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atx-20250630x10q.htm"/>
        <w:bookmarkStart w:id="1" w:name="ksmatx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left"/>
        <w:rPr/>
      </w:pPr>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2fd8a103_3e18_435d_adeb_5bb846a410b7"/>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2025</w:t>
      </w:r>
    </w:p>
    <w:p>
      <w:pPr>
        <w:pStyle w:val="TextBody"/>
        <w:pBdr/>
        <w:bidi w:val="0"/>
        <w:spacing w:before="0" w:after="0"/>
        <w:ind w:left="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001-34187</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Matson,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drPay0R20aPfA_GewytuA_4_1"/>
      <w:bookmarkStart w:id="4" w:name="Tc_ctGYETCDYEeMHyFJYjjpbA_4_0"/>
      <w:bookmarkStart w:id="5" w:name="Tc_5FeV0AFsVUCIGJcDSDM2nw_2_1"/>
      <w:bookmarkStart w:id="6" w:name="Tc_-U2tUdIe_kajuti6pUXz2w_2_0"/>
      <w:bookmarkStart w:id="7" w:name="_af43c18c_e622_4da7_b8c0_a30e09a9a76f"/>
      <w:bookmarkStart w:id="8" w:name="Tc_-drPay0R20aPfA_GewytuA_4_1"/>
      <w:bookmarkStart w:id="9" w:name="Tc_ctGYETCDYEeMHyFJYjjpbA_4_0"/>
      <w:bookmarkStart w:id="10" w:name="Tc_5FeV0AFsVUCIGJcDSDM2nw_2_1"/>
      <w:bookmarkStart w:id="11" w:name="Tc_-U2tUdIe_kajuti6pUXz2w_2_0"/>
      <w:bookmarkStart w:id="12" w:name="_af43c18c_e622_4da7_b8c0_a30e09a9a76f"/>
      <w:bookmarkEnd w:id="8"/>
      <w:bookmarkEnd w:id="9"/>
      <w:bookmarkEnd w:id="10"/>
      <w:bookmarkEnd w:id="11"/>
      <w:bookmarkEnd w:id="12"/>
    </w:p>
    <w:tbl>
      <w:tblPr>
        <w:tblW w:w="4952" w:type="dxa"/>
        <w:jc w:val="left"/>
        <w:tblInd w:w="0" w:type="dxa"/>
        <w:tblLayout w:type="fixed"/>
        <w:tblCellMar>
          <w:top w:w="0" w:type="dxa"/>
          <w:left w:w="0" w:type="dxa"/>
          <w:bottom w:w="0" w:type="dxa"/>
          <w:right w:w="0" w:type="dxa"/>
        </w:tblCellMar>
      </w:tblPr>
      <w:tblGrid>
        <w:gridCol w:w="3301"/>
        <w:gridCol w:w="1651"/>
      </w:tblGrid>
      <w:tr>
        <w:trPr/>
        <w:tc>
          <w:tcPr>
            <w:tcW w:w="3301" w:type="dxa"/>
            <w:tcBorders/>
            <w:vAlign w:val="center"/>
          </w:tcPr>
          <w:p>
            <w:pPr>
              <w:pStyle w:val="TableContents"/>
              <w:bidi w:val="0"/>
              <w:spacing w:lineRule="atLeast" w:line="220" w:before="0" w:after="0"/>
              <w:ind w:left="0" w:right="0" w:hanging="0"/>
              <w:jc w:val="left"/>
              <w:rPr/>
            </w:pPr>
            <w:r>
              <w:rPr/>
              <w:t>​</w:t>
            </w:r>
          </w:p>
        </w:tc>
        <w:tc>
          <w:tcPr>
            <w:tcW w:w="1651" w:type="dxa"/>
            <w:tcBorders/>
            <w:vAlign w:val="center"/>
          </w:tcPr>
          <w:p>
            <w:pPr>
              <w:pStyle w:val="TableContents"/>
              <w:bidi w:val="0"/>
              <w:spacing w:lineRule="atLeast" w:line="220" w:before="0" w:after="0"/>
              <w:ind w:left="0" w:right="0" w:hanging="0"/>
              <w:jc w:val="left"/>
              <w:rPr/>
            </w:pPr>
            <w:r>
              <w:rPr/>
              <w:t>​</w:t>
            </w:r>
          </w:p>
        </w:tc>
      </w:tr>
      <w:tr>
        <w:trPr/>
        <w:tc>
          <w:tcPr>
            <w:tcW w:w="3301" w:type="dxa"/>
            <w:tcBorders/>
            <w:vAlign w:val="center"/>
          </w:tcPr>
          <w:p>
            <w:pPr>
              <w:pStyle w:val="TableContents"/>
              <w:pBdr/>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Hawaii</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99-0032630</w:t>
            </w:r>
          </w:p>
        </w:tc>
      </w:tr>
      <w:tr>
        <w:trPr/>
        <w:tc>
          <w:tcPr>
            <w:tcW w:w="3301" w:type="dxa"/>
            <w:tcBorders/>
            <w:vAlign w:val="center"/>
          </w:tcPr>
          <w:p>
            <w:pPr>
              <w:pStyle w:val="TableContents"/>
              <w:pBdr/>
              <w:bidi w:val="0"/>
              <w:spacing w:lineRule="atLeast" w:line="220" w:before="0" w:after="0"/>
              <w:ind w:left="0" w:right="0" w:hanging="144"/>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pBdr/>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301" w:type="dxa"/>
            <w:tcBorders/>
            <w:vAlign w:val="center"/>
          </w:tcPr>
          <w:p>
            <w:pPr>
              <w:pStyle w:val="TableContents"/>
              <w:bidi w:val="0"/>
              <w:spacing w:lineRule="atLeast" w:line="160" w:before="0" w:after="0"/>
              <w:ind w:left="0" w:right="0" w:hanging="0"/>
              <w:jc w:val="center"/>
              <w:rPr/>
            </w:pPr>
            <w:r>
              <w:rPr/>
              <w:t>​</w:t>
            </w:r>
          </w:p>
        </w:tc>
        <w:tc>
          <w:tcPr>
            <w:tcW w:w="1651" w:type="dxa"/>
            <w:tcBorders/>
            <w:vAlign w:val="center"/>
          </w:tcPr>
          <w:p>
            <w:pPr>
              <w:pStyle w:val="TableContents"/>
              <w:bidi w:val="0"/>
              <w:spacing w:lineRule="atLeast" w:line="160" w:before="0" w:after="0"/>
              <w:ind w:left="0" w:right="0" w:hanging="0"/>
              <w:jc w:val="center"/>
              <w:rPr/>
            </w:pPr>
            <w:r>
              <w:rPr/>
              <w:t>​</w:t>
            </w:r>
          </w:p>
        </w:tc>
      </w:tr>
      <w:tr>
        <w:trPr/>
        <w:tc>
          <w:tcPr>
            <w:tcW w:w="3301" w:type="dxa"/>
            <w:tcBorders/>
            <w:vAlign w:val="center"/>
          </w:tcPr>
          <w:p>
            <w:pPr>
              <w:pStyle w:val="TableContents"/>
              <w:pBdr/>
              <w:bidi w:val="0"/>
              <w:spacing w:lineRule="atLeast" w:line="220" w:before="0" w:after="0"/>
              <w:ind w:left="0" w:right="0" w:hanging="144"/>
              <w:jc w:val="center"/>
              <w:rPr>
                <w:rFonts w:ascii="Times New Roman;Times;serif" w:hAnsi="Times New Roman;Times;serif"/>
                <w:b/>
                <w:sz w:val="20"/>
              </w:rPr>
            </w:pPr>
            <w:r>
              <w:rPr>
                <w:rFonts w:ascii="Times New Roman;Times;serif" w:hAnsi="Times New Roman;Times;serif"/>
                <w:b/>
                <w:sz w:val="20"/>
              </w:rPr>
              <w:t>1411 Sand Island Parkway</w:t>
            </w:r>
          </w:p>
          <w:p>
            <w:pPr>
              <w:pStyle w:val="TableContents"/>
              <w:pBdr/>
              <w:bidi w:val="0"/>
              <w:spacing w:lineRule="atLeast" w:line="220" w:before="0" w:after="0"/>
              <w:ind w:left="0" w:right="0" w:hanging="144"/>
              <w:jc w:val="center"/>
              <w:rPr>
                <w:rFonts w:ascii="Times New Roman;Times;serif" w:hAnsi="Times New Roman;Times;serif"/>
                <w:b/>
                <w:sz w:val="20"/>
              </w:rPr>
            </w:pPr>
            <w:r>
              <w:rPr>
                <w:rFonts w:ascii="Times New Roman;Times;serif" w:hAnsi="Times New Roman;Times;serif"/>
                <w:b/>
                <w:sz w:val="20"/>
              </w:rPr>
              <w:t>Honolulu, HI</w:t>
            </w:r>
          </w:p>
          <w:p>
            <w:pPr>
              <w:pStyle w:val="TableContents"/>
              <w:pBdr/>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96819</w:t>
            </w:r>
          </w:p>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(808) 848-1211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lineRule="atLeast" w:line="160" w:before="0" w:after="0"/>
        <w:ind w:left="0" w:right="0" w:hanging="0"/>
        <w:jc w:val="center"/>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q2nDgbOq0EmXmbrBv9Sl5g_1_2"/>
      <w:bookmarkStart w:id="14" w:name="Tc_eUW6eXy74EKyfBEENJkaog_1_1"/>
      <w:bookmarkStart w:id="15" w:name="Tc_k1IBrE1C7Uy0UvgGk0g0oQ_1_0"/>
      <w:bookmarkStart w:id="16" w:name="_9ec5e65e_c459_445f_8eeb_4921fa4e128f"/>
      <w:bookmarkStart w:id="17" w:name="Tc_q2nDgbOq0EmXmbrBv9Sl5g_1_2"/>
      <w:bookmarkStart w:id="18" w:name="Tc_eUW6eXy74EKyfBEENJkaog_1_1"/>
      <w:bookmarkStart w:id="19" w:name="Tc_k1IBrE1C7Uy0UvgGk0g0oQ_1_0"/>
      <w:bookmarkStart w:id="20" w:name="_9ec5e65e_c459_445f_8eeb_4921fa4e128f"/>
      <w:bookmarkEnd w:id="17"/>
      <w:bookmarkEnd w:id="18"/>
      <w:bookmarkEnd w:id="19"/>
      <w:bookmarkEnd w:id="20"/>
    </w:p>
    <w:tbl>
      <w:tblPr>
        <w:tblW w:w="8223" w:type="dxa"/>
        <w:jc w:val="left"/>
        <w:tblInd w:w="0" w:type="dxa"/>
        <w:tblLayout w:type="fixed"/>
        <w:tblCellMar>
          <w:top w:w="0" w:type="dxa"/>
          <w:left w:w="0" w:type="dxa"/>
          <w:bottom w:w="0" w:type="dxa"/>
          <w:right w:w="0" w:type="dxa"/>
        </w:tblCellMar>
      </w:tblPr>
      <w:tblGrid>
        <w:gridCol w:w="2896"/>
        <w:gridCol w:w="1621"/>
        <w:gridCol w:w="37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without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MATX</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6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tLeast" w:line="160" w:before="0" w:after="0"/>
        <w:ind w:left="0" w:right="0" w:hanging="0"/>
        <w:jc w:val="left"/>
        <w:rPr/>
      </w:pPr>
      <w:r>
        <w:rPr/>
        <w:t>​</w:t>
      </w:r>
    </w:p>
    <w:tbl>
      <w:tblPr>
        <w:tblW w:w="4727" w:type="dxa"/>
        <w:jc w:val="left"/>
        <w:tblInd w:w="0" w:type="dxa"/>
        <w:tblLayout w:type="fixed"/>
        <w:tblCellMar>
          <w:top w:w="0" w:type="dxa"/>
          <w:left w:w="0" w:type="dxa"/>
          <w:bottom w:w="0" w:type="dxa"/>
          <w:right w:w="0" w:type="dxa"/>
        </w:tblCellMar>
      </w:tblPr>
      <w:tblGrid>
        <w:gridCol w:w="2146"/>
        <w:gridCol w:w="2581"/>
      </w:tblGrid>
      <w:tr>
        <w:trPr/>
        <w:tc>
          <w:tcPr>
            <w:tcW w:w="2146" w:type="dxa"/>
            <w:tcBorders/>
            <w:vAlign w:val="center"/>
          </w:tcPr>
          <w:p>
            <w:pPr>
              <w:pStyle w:val="TableContents"/>
              <w:bidi w:val="0"/>
              <w:spacing w:lineRule="atLeast" w:line="142" w:before="0" w:after="0"/>
              <w:ind w:left="0" w:right="0" w:hanging="0"/>
              <w:jc w:val="left"/>
              <w:rPr/>
            </w:pPr>
            <w:r>
              <w:rPr/>
              <w:t>​</w:t>
            </w:r>
          </w:p>
        </w:tc>
        <w:tc>
          <w:tcPr>
            <w:tcW w:w="2581" w:type="dxa"/>
            <w:tcBorders/>
            <w:vAlign w:val="center"/>
          </w:tcPr>
          <w:p>
            <w:pPr>
              <w:pStyle w:val="TableContents"/>
              <w:bidi w:val="0"/>
              <w:spacing w:lineRule="atLeast" w:line="142" w:before="0" w:after="0"/>
              <w:ind w:left="0" w:right="0" w:hanging="0"/>
              <w:jc w:val="left"/>
              <w:rPr/>
            </w:pPr>
            <w:r>
              <w:rPr/>
              <w:t>​</w:t>
            </w:r>
          </w:p>
        </w:tc>
      </w:tr>
      <w:tr>
        <w:trPr/>
        <w:tc>
          <w:tcPr>
            <w:tcW w:w="21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pBdr/>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pBdr/>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center"/>
        <w:rPr/>
      </w:pPr>
      <w:r>
        <w:rPr/>
        <w:t>​</w:t>
      </w:r>
    </w:p>
    <w:p>
      <w:pPr>
        <w:pStyle w:val="TextBody"/>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Number of shares of common stock outstanding as of June 30, 2025: 31,789,018</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 w:name="_c802b730_3cc0_4de7_9420_d091ccdfc060"/>
      <w:bookmarkEnd w:id="21"/>
      <w:r>
        <w:rPr>
          <w:rFonts w:ascii="Times New Roman;Times;serif" w:hAnsi="Times New Roman;Times;serif"/>
          <w:b/>
          <w:sz w:val="20"/>
        </w:rPr>
        <w:t>MATSON, INC. AND SUBSIDIARIES</w:t>
      </w:r>
    </w:p>
    <w:p>
      <w:pPr>
        <w:pStyle w:val="TextBody"/>
        <w:shd w:fill="FFFFFF" w:val="clear"/>
        <w:bidi w:val="0"/>
        <w:spacing w:before="24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shd w:fill="FFFFFF" w:val="clear"/>
        <w:bidi w:val="0"/>
        <w:spacing w:before="0" w:after="0"/>
        <w:ind w:left="0" w:right="0" w:hanging="0"/>
        <w:jc w:val="center"/>
        <w:rPr/>
      </w:pPr>
      <w:r>
        <w:rPr/>
        <w:t>​</w:t>
      </w:r>
    </w:p>
    <w:tbl>
      <w:tblPr>
        <w:tblW w:w="8924" w:type="dxa"/>
        <w:jc w:val="left"/>
        <w:tblInd w:w="0" w:type="dxa"/>
        <w:shd w:fill="FFFFFF" w:val="clear"/>
        <w:tblLayout w:type="fixed"/>
        <w:tblCellMar>
          <w:top w:w="0" w:type="dxa"/>
          <w:left w:w="0" w:type="dxa"/>
          <w:bottom w:w="0" w:type="dxa"/>
          <w:right w:w="0" w:type="dxa"/>
        </w:tblCellMar>
      </w:tblPr>
      <w:tblGrid>
        <w:gridCol w:w="811"/>
        <w:gridCol w:w="7366"/>
        <w:gridCol w:w="206"/>
        <w:gridCol w:w="541"/>
      </w:tblGrid>
      <w:tr>
        <w:trPr/>
        <w:tc>
          <w:tcPr>
            <w:tcW w:w="811" w:type="dxa"/>
            <w:tcBorders/>
            <w:shd w:fill="FFFFFF" w:val="clear"/>
            <w:vAlign w:val="center"/>
          </w:tcPr>
          <w:p>
            <w:pPr>
              <w:pStyle w:val="TableContents"/>
              <w:bidi w:val="0"/>
              <w:spacing w:lineRule="atLeast" w:line="240" w:before="0" w:after="0"/>
              <w:ind w:left="0" w:right="0" w:hanging="0"/>
              <w:jc w:val="left"/>
              <w:rPr/>
            </w:pPr>
            <w:r>
              <w:rPr/>
              <w:t>​</w:t>
            </w:r>
          </w:p>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06" w:type="dxa"/>
            <w:tcBorders/>
            <w:shd w:fill="FFFFFF" w:val="clear"/>
            <w:vAlign w:val="center"/>
          </w:tcPr>
          <w:p>
            <w:pPr>
              <w:pStyle w:val="TableContents"/>
              <w:bidi w:val="0"/>
              <w:spacing w:lineRule="atLeast" w:line="240"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177" w:type="dxa"/>
            <w:gridSpan w:val="2"/>
            <w:tcBorders/>
            <w:shd w:fill="FFFFFF" w:val="clear"/>
            <w:vAlign w:val="center"/>
          </w:tcPr>
          <w:p>
            <w:pPr>
              <w:pStyle w:val="TableContents"/>
              <w:pBdr/>
              <w:bidi w:val="0"/>
              <w:spacing w:lineRule="atLeast" w:line="240" w:before="0" w:after="0"/>
              <w:ind w:left="0" w:right="0" w:hanging="0"/>
              <w:jc w:val="left"/>
              <w:rPr/>
            </w:pPr>
            <w:hyperlink w:anchor="PART_I_FINANCIAL_INFORMATION">
              <w:r>
                <w:rPr>
                  <w:rStyle w:val="InternetLink"/>
                  <w:rFonts w:ascii="Times New Roman;Times;serif" w:hAnsi="Times New Roman;Times;serif"/>
                  <w:b w:val="false"/>
                  <w:i w:val="false"/>
                  <w:caps w:val="false"/>
                  <w:smallCaps w:val="false"/>
                  <w:sz w:val="20"/>
                  <w:shd w:fill="FFFFFF" w:val="clear"/>
                </w:rPr>
                <w:t>Part I—FINANCIAL INFORMATION</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top w:val="single" w:sz="2" w:space="0" w:color="000000"/>
            </w:tcBorders>
            <w:shd w:fill="FFFFFF" w:val="clear"/>
            <w:tcMar>
              <w:top w:w="28" w:type="dxa"/>
            </w:tcM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lineRule="atLeast" w:line="240" w:before="0" w:after="0"/>
              <w:ind w:left="0" w:right="0" w:hanging="0"/>
              <w:jc w:val="left"/>
              <w:rPr/>
            </w:pPr>
            <w:r>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left"/>
              <w:rPr/>
            </w:pPr>
            <w:r>
              <w:rPr/>
              <w:t>​</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Item 1.</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shd w:fill="FFFFFF" w:val="clear"/>
                </w:rPr>
                <w:t>Financial Statements (Unaudited)</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Consolidated_Statements_of_Income">
              <w:r>
                <w:rPr>
                  <w:rStyle w:val="InternetLink"/>
                  <w:rFonts w:ascii="Times New Roman;Times;serif" w:hAnsi="Times New Roman;Times;serif"/>
                  <w:b w:val="false"/>
                  <w:i w:val="false"/>
                  <w:caps w:val="false"/>
                  <w:smallCaps w:val="false"/>
                  <w:sz w:val="20"/>
                  <w:shd w:fill="FFFFFF" w:val="clear"/>
                </w:rPr>
                <w:t>Condensed Consolidated Statements of Income and Comprehensive Income</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ConsolidatedBalanceSheets_846706">
              <w:r>
                <w:rPr>
                  <w:rStyle w:val="InternetLink"/>
                  <w:rFonts w:ascii="Times New Roman;Times;serif" w:hAnsi="Times New Roman;Times;serif"/>
                  <w:b w:val="false"/>
                  <w:i w:val="false"/>
                  <w:caps w:val="false"/>
                  <w:smallCaps w:val="false"/>
                  <w:sz w:val="20"/>
                  <w:shd w:fill="FFFFFF" w:val="clear"/>
                </w:rPr>
                <w:t>Condensed Consolidated Balance Sheets</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StatementsofCashFlows_473640">
              <w:r>
                <w:rPr>
                  <w:rStyle w:val="InternetLink"/>
                  <w:rFonts w:ascii="Times New Roman;Times;serif" w:hAnsi="Times New Roman;Times;serif"/>
                  <w:b w:val="false"/>
                  <w:i w:val="false"/>
                  <w:caps w:val="false"/>
                  <w:smallCaps w:val="false"/>
                  <w:sz w:val="20"/>
                  <w:shd w:fill="FFFFFF" w:val="clear"/>
                </w:rPr>
                <w:t>Condensed Consolidated Statements of Cash Flows</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shd w:fill="FFFFFF" w:val="clear"/>
            <w:vAlign w:val="center"/>
          </w:tcPr>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StatementsofShareholdersEquity">
              <w:r>
                <w:rPr>
                  <w:rStyle w:val="InternetLink"/>
                  <w:rFonts w:ascii="Times New Roman;Times;serif" w:hAnsi="Times New Roman;Times;serif"/>
                  <w:b w:val="false"/>
                  <w:i w:val="false"/>
                  <w:caps w:val="false"/>
                  <w:smallCaps w:val="false"/>
                  <w:sz w:val="20"/>
                  <w:shd w:fill="FFFFFF" w:val="clear"/>
                </w:rPr>
                <w:t>Condensed Consolidated Statements of Shareholders’ Equity</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NOTESTOTHECONDENSEDCONSOLIDATEDFINANICAL">
              <w:r>
                <w:rPr>
                  <w:rStyle w:val="InternetLink"/>
                  <w:rFonts w:ascii="Times New Roman;Times;serif" w:hAnsi="Times New Roman;Times;serif"/>
                  <w:b w:val="false"/>
                  <w:i w:val="false"/>
                  <w:caps w:val="false"/>
                  <w:smallCaps w:val="false"/>
                  <w:sz w:val="20"/>
                  <w:shd w:fill="FFFFFF" w:val="clear"/>
                </w:rPr>
                <w:t>Notes to the Condensed Consolidated Financial Statements</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Item 2.</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shd w:fill="FFFFFF" w:val="clear"/>
                </w:rPr>
                <w:t>Management’s Discussion and Analysis of Financial Condition and Results of Operations</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18</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shd w:fill="FFFFFF" w:val="clear"/>
                </w:rPr>
                <w:t>Quantitative and Qualitative Disclosures about Market Risk</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4CONTROLSANDPROCEDURES_278454">
              <w:r>
                <w:rPr>
                  <w:rStyle w:val="InternetLink"/>
                  <w:rFonts w:ascii="Times New Roman;Times;serif" w:hAnsi="Times New Roman;Times;serif"/>
                  <w:b w:val="false"/>
                  <w:i w:val="false"/>
                  <w:caps w:val="false"/>
                  <w:smallCaps w:val="false"/>
                  <w:sz w:val="20"/>
                </w:rPr>
                <w:t>Item 4.</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4CONTROLSANDPROCEDURES_278454">
              <w:r>
                <w:rPr>
                  <w:rStyle w:val="InternetLink"/>
                  <w:rFonts w:ascii="Times New Roman;Times;serif" w:hAnsi="Times New Roman;Times;serif"/>
                  <w:b w:val="false"/>
                  <w:i w:val="false"/>
                  <w:caps w:val="false"/>
                  <w:smallCaps w:val="false"/>
                  <w:sz w:val="20"/>
                  <w:shd w:fill="FFFFFF" w:val="clear"/>
                </w:rPr>
                <w:t>Controls and Procedures</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shd w:fill="FFFFFF" w:val="clear"/>
            <w:vAlign w:val="center"/>
          </w:tcPr>
          <w:p>
            <w:pPr>
              <w:pStyle w:val="TableContents"/>
              <w:bidi w:val="0"/>
              <w:spacing w:lineRule="atLeast" w:line="240" w:before="0" w:after="0"/>
              <w:ind w:left="0" w:right="0" w:hanging="0"/>
              <w:jc w:val="left"/>
              <w:rPr>
                <w:shd w:fill="FFFF00" w:val="clear"/>
              </w:rPr>
            </w:pPr>
            <w:r>
              <w:rPr>
                <w:shd w:fill="FFFF00" w:val="clear"/>
              </w:rPr>
              <w:t>​</w:t>
            </w:r>
          </w:p>
        </w:tc>
        <w:tc>
          <w:tcPr>
            <w:tcW w:w="7366" w:type="dxa"/>
            <w:tcBorders/>
            <w:shd w:fill="FFFFFF" w:val="clear"/>
            <w:vAlign w:val="center"/>
          </w:tcPr>
          <w:p>
            <w:pPr>
              <w:pStyle w:val="TableContents"/>
              <w:bidi w:val="0"/>
              <w:spacing w:lineRule="atLeast" w:line="240" w:before="0" w:after="0"/>
              <w:ind w:left="0" w:right="0" w:hanging="0"/>
              <w:jc w:val="left"/>
              <w:rPr>
                <w:shd w:fill="FFFF00" w:val="clear"/>
              </w:rPr>
            </w:pPr>
            <w:r>
              <w:rPr>
                <w:shd w:fill="FFFF00" w:val="clear"/>
              </w:rPr>
              <w:t>​</w:t>
            </w:r>
          </w:p>
        </w:tc>
        <w:tc>
          <w:tcPr>
            <w:tcW w:w="206" w:type="dxa"/>
            <w:tcBorders/>
            <w:shd w:fill="FFFFFF" w:val="clear"/>
            <w:vAlign w:val="center"/>
          </w:tcPr>
          <w:p>
            <w:pPr>
              <w:pStyle w:val="TableContents"/>
              <w:bidi w:val="0"/>
              <w:spacing w:lineRule="atLeast" w:line="240" w:before="0" w:after="0"/>
              <w:ind w:left="0" w:right="0" w:hanging="0"/>
              <w:jc w:val="right"/>
              <w:rPr>
                <w:shd w:fill="FFFF00" w:val="clear"/>
              </w:rPr>
            </w:pPr>
            <w:r>
              <w:rPr>
                <w:shd w:fill="FFFF00" w:val="clear"/>
              </w:rPr>
              <w:t>​</w:t>
            </w:r>
          </w:p>
        </w:tc>
        <w:tc>
          <w:tcPr>
            <w:tcW w:w="541" w:type="dxa"/>
            <w:tcBorders/>
            <w:shd w:fill="FFFFFF" w:val="clear"/>
            <w:vAlign w:val="center"/>
          </w:tcPr>
          <w:p>
            <w:pPr>
              <w:pStyle w:val="TableContents"/>
              <w:bidi w:val="0"/>
              <w:spacing w:lineRule="atLeast" w:line="240" w:before="0" w:after="0"/>
              <w:ind w:left="0" w:right="0" w:hanging="0"/>
              <w:jc w:val="center"/>
              <w:rPr>
                <w:shd w:fill="FFFF00" w:val="clear"/>
              </w:rPr>
            </w:pPr>
            <w:r>
              <w:rPr>
                <w:shd w:fill="FFFF00" w:val="clear"/>
              </w:rPr>
              <w:t>​</w:t>
            </w:r>
          </w:p>
        </w:tc>
      </w:tr>
      <w:tr>
        <w:trPr/>
        <w:tc>
          <w:tcPr>
            <w:tcW w:w="8177" w:type="dxa"/>
            <w:gridSpan w:val="2"/>
            <w:tcBorders/>
            <w:shd w:fill="FFFFFF" w:val="clear"/>
            <w:vAlign w:val="center"/>
          </w:tcPr>
          <w:p>
            <w:pPr>
              <w:pStyle w:val="TableContents"/>
              <w:pBdr/>
              <w:bidi w:val="0"/>
              <w:spacing w:lineRule="atLeast" w:line="240" w:before="0" w:after="0"/>
              <w:ind w:left="0" w:right="0" w:hanging="0"/>
              <w:jc w:val="left"/>
              <w:rPr/>
            </w:pPr>
            <w:hyperlink w:anchor="PARTIIOTHERINFORMATION_744928">
              <w:r>
                <w:rPr>
                  <w:rStyle w:val="InternetLink"/>
                  <w:rFonts w:ascii="Times New Roman;Times;serif" w:hAnsi="Times New Roman;Times;serif"/>
                  <w:b w:val="false"/>
                  <w:i w:val="false"/>
                  <w:caps w:val="false"/>
                  <w:smallCaps w:val="false"/>
                  <w:sz w:val="20"/>
                  <w:shd w:fill="FFFFFF" w:val="clear"/>
                </w:rPr>
                <w:t>Part II—OTHER INFORMATION</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r>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pPr>
            <w:r>
              <w:rPr/>
              <w:t>​</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1LEGALPROCEEDINGS_436162">
              <w:r>
                <w:rPr>
                  <w:rStyle w:val="InternetLink"/>
                  <w:rFonts w:ascii="Times New Roman;Times;serif" w:hAnsi="Times New Roman;Times;serif"/>
                  <w:b w:val="false"/>
                  <w:i w:val="false"/>
                  <w:caps w:val="false"/>
                  <w:smallCaps w:val="false"/>
                  <w:sz w:val="20"/>
                </w:rPr>
                <w:t>Item 1.</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1LEGALPROCEEDINGS_436162">
              <w:r>
                <w:rPr>
                  <w:rStyle w:val="InternetLink"/>
                  <w:rFonts w:ascii="Times New Roman;Times;serif" w:hAnsi="Times New Roman;Times;serif"/>
                  <w:b w:val="false"/>
                  <w:i w:val="false"/>
                  <w:caps w:val="false"/>
                  <w:smallCaps w:val="false"/>
                  <w:sz w:val="20"/>
                  <w:shd w:fill="FFFFFF" w:val="clear"/>
                </w:rPr>
                <w:t>Legal Proceedings</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1ARISKFACTORS_897747">
              <w:r>
                <w:rPr>
                  <w:rStyle w:val="InternetLink"/>
                  <w:rFonts w:ascii="Times New Roman;Times;serif" w:hAnsi="Times New Roman;Times;serif"/>
                  <w:b w:val="false"/>
                  <w:i w:val="false"/>
                  <w:caps w:val="false"/>
                  <w:smallCaps w:val="false"/>
                  <w:sz w:val="20"/>
                </w:rPr>
                <w:t>Item 1A.</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1ARISKFACTORS_897747">
              <w:r>
                <w:rPr>
                  <w:rStyle w:val="InternetLink"/>
                  <w:rFonts w:ascii="Times New Roman;Times;serif" w:hAnsi="Times New Roman;Times;serif"/>
                  <w:b w:val="false"/>
                  <w:i w:val="false"/>
                  <w:caps w:val="false"/>
                  <w:smallCaps w:val="false"/>
                  <w:sz w:val="20"/>
                  <w:shd w:fill="FFFFFF" w:val="clear"/>
                </w:rPr>
                <w:t>Risk Factors</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shd w:fill="FFFFFF" w:val="clear"/>
                </w:rPr>
                <w:t>Unregistered Sales of Equity Securities and Use of Proceeds</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3DEFAULTSUPONSENIORSECURITIES_766025">
              <w:r>
                <w:rPr>
                  <w:rStyle w:val="InternetLink"/>
                  <w:rFonts w:ascii="Times New Roman;Times;serif" w:hAnsi="Times New Roman;Times;serif"/>
                  <w:b w:val="false"/>
                  <w:i w:val="false"/>
                  <w:caps w:val="false"/>
                  <w:smallCaps w:val="false"/>
                  <w:sz w:val="20"/>
                </w:rPr>
                <w:t>Item 3.</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3DEFAULTSUPONSENIORSECURITIES_766025">
              <w:r>
                <w:rPr>
                  <w:rStyle w:val="InternetLink"/>
                  <w:rFonts w:ascii="Times New Roman;Times;serif" w:hAnsi="Times New Roman;Times;serif"/>
                  <w:b w:val="false"/>
                  <w:i w:val="false"/>
                  <w:caps w:val="false"/>
                  <w:smallCaps w:val="false"/>
                  <w:sz w:val="20"/>
                  <w:shd w:fill="FFFFFF" w:val="clear"/>
                </w:rPr>
                <w:t>Defaults Upon Senior Securities</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4MINESAFETYDISCLOSURES_922547">
              <w:r>
                <w:rPr>
                  <w:rStyle w:val="InternetLink"/>
                  <w:rFonts w:ascii="Times New Roman;Times;serif" w:hAnsi="Times New Roman;Times;serif"/>
                  <w:b w:val="false"/>
                  <w:i w:val="false"/>
                  <w:caps w:val="false"/>
                  <w:smallCaps w:val="false"/>
                  <w:sz w:val="20"/>
                </w:rPr>
                <w:t>Item 4.</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4MINESAFETYDISCLOSURES_922547">
              <w:r>
                <w:rPr>
                  <w:rStyle w:val="InternetLink"/>
                  <w:rFonts w:ascii="Times New Roman;Times;serif" w:hAnsi="Times New Roman;Times;serif"/>
                  <w:b w:val="false"/>
                  <w:i w:val="false"/>
                  <w:caps w:val="false"/>
                  <w:smallCaps w:val="false"/>
                  <w:sz w:val="20"/>
                  <w:shd w:fill="FFFFFF" w:val="clear"/>
                </w:rPr>
                <w:t>Mine Safety Disclosures</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5OTHERINFORMATION_110834">
              <w:r>
                <w:rPr>
                  <w:rStyle w:val="InternetLink"/>
                  <w:rFonts w:ascii="Times New Roman;Times;serif" w:hAnsi="Times New Roman;Times;serif"/>
                  <w:b w:val="false"/>
                  <w:i w:val="false"/>
                  <w:caps w:val="false"/>
                  <w:smallCaps w:val="false"/>
                  <w:sz w:val="20"/>
                </w:rPr>
                <w:t>Item 5.</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5OTHERINFORMATION_110834">
              <w:r>
                <w:rPr>
                  <w:rStyle w:val="InternetLink"/>
                  <w:rFonts w:ascii="Times New Roman;Times;serif" w:hAnsi="Times New Roman;Times;serif"/>
                  <w:b w:val="false"/>
                  <w:i w:val="false"/>
                  <w:caps w:val="false"/>
                  <w:smallCaps w:val="false"/>
                  <w:sz w:val="20"/>
                  <w:shd w:fill="FFFFFF" w:val="clear"/>
                </w:rPr>
                <w:t>Other Information</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6EXHIBITS_599668">
              <w:r>
                <w:rPr>
                  <w:rStyle w:val="InternetLink"/>
                  <w:rFonts w:ascii="Times New Roman;Times;serif" w:hAnsi="Times New Roman;Times;serif"/>
                  <w:b w:val="false"/>
                  <w:i w:val="false"/>
                  <w:caps w:val="false"/>
                  <w:smallCaps w:val="false"/>
                  <w:sz w:val="20"/>
                </w:rPr>
                <w:t>Item 6.</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6EXHIBITS_599668">
              <w:r>
                <w:rPr>
                  <w:rStyle w:val="InternetLink"/>
                  <w:rFonts w:ascii="Times New Roman;Times;serif" w:hAnsi="Times New Roman;Times;serif"/>
                  <w:b w:val="false"/>
                  <w:i w:val="false"/>
                  <w:caps w:val="false"/>
                  <w:smallCaps w:val="false"/>
                  <w:sz w:val="20"/>
                  <w:shd w:fill="FFFFFF" w:val="clear"/>
                </w:rPr>
                <w:t>Exhibits</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SIGNATURES_841218">
              <w:r>
                <w:rPr>
                  <w:rStyle w:val="InternetLink"/>
                  <w:rFonts w:ascii="Times New Roman;Times;serif" w:hAnsi="Times New Roman;Times;serif"/>
                  <w:b w:val="false"/>
                  <w:i w:val="false"/>
                  <w:caps w:val="false"/>
                  <w:smallCaps w:val="false"/>
                  <w:sz w:val="20"/>
                  <w:shd w:fill="FFFFFF" w:val="clear"/>
                </w:rPr>
                <w:t>Signatures</w:t>
              </w:r>
            </w:hyperlink>
            <w:r>
              <w:rPr>
                <w:rFonts w:ascii="Times New Roman;Times;serif" w:hAnsi="Times New Roman;Times;serif"/>
                <w:sz w:val="20"/>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PART_I_FINANCIAL_INFORMATION"/>
      <w:bookmarkStart w:id="24" w:name="_2bb83c36_231f_449e_9ce7_4d98eda016f0"/>
      <w:bookmarkEnd w:id="23"/>
      <w:bookmarkEnd w:id="24"/>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25" w:name="ITEM_1_FINANCIAL_STATEMENTS"/>
      <w:bookmarkEnd w:id="25"/>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6" w:name="Consolidated_Statements_of_Income"/>
      <w:bookmarkEnd w:id="26"/>
      <w:r>
        <w:rPr>
          <w:rFonts w:ascii="Times New Roman;Times;serif" w:hAnsi="Times New Roman;Times;serif"/>
          <w:b/>
          <w:sz w:val="20"/>
        </w:rPr>
        <w:t>Condensed Consolidated Statements of Income and Comprehensive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7" w:name="Tc_4oHLUVqMmUWN-Dz6sEFz6Q_36_0"/>
      <w:bookmarkStart w:id="28" w:name="Tc_DezlNctl30aq6Cx3LW5YYQ_35_0"/>
      <w:bookmarkStart w:id="29" w:name="Tc_5Vm9FscnnEqh-Pqo1TcBNA_34_0"/>
      <w:bookmarkStart w:id="30" w:name="Tc_TOFWy4B_5k6StDq5ty4Hew_32_11"/>
      <w:bookmarkStart w:id="31" w:name="Tc_D93l5-2Tv0CYnFME1O7fPg_32_8"/>
      <w:bookmarkStart w:id="32" w:name="Tc_mw8C5QCuGEaggCSD_Vj7GQ_32_5"/>
      <w:bookmarkStart w:id="33" w:name="Tc_b1z7LlzbXU6ZyQg5TlY4aQ_32_2"/>
      <w:bookmarkStart w:id="34" w:name="Tc_6SpuVe0OmE2p7kB0UbYH4A_32_0"/>
      <w:bookmarkStart w:id="35" w:name="Tc_2v5PfWVsP0SY3xZIwyiDlg_31_11"/>
      <w:bookmarkStart w:id="36" w:name="Tc_Oe6faS0YFUKxEGmDW0ynAA_31_8"/>
      <w:bookmarkStart w:id="37" w:name="Tc__Q46qBTxRkSSHNt_6RujfA_31_5"/>
      <w:bookmarkStart w:id="38" w:name="Tc_PL3LYAY9VEW1KXIXCTmlTg_31_2"/>
      <w:bookmarkStart w:id="39" w:name="Tc_DqOw6XWTaE-Kf3UOrvyiVA_31_0"/>
      <w:bookmarkStart w:id="40" w:name="Tc_wNKDWwoPtEmNtVptPbSO8Q_29_11"/>
      <w:bookmarkStart w:id="41" w:name="Tc_Lm3RkI4TdE6X_rHN3-mB8w_29_8"/>
      <w:bookmarkStart w:id="42" w:name="Tc_5taAIShsTEmvhH5LVPR5rw_29_5"/>
      <w:bookmarkStart w:id="43" w:name="Tc_4iQALL1StUK3EA_LpLf78w_29_2"/>
      <w:bookmarkStart w:id="44" w:name="Tc_JKWhTjX9j0O172dOItf0BQ_29_0"/>
      <w:bookmarkStart w:id="45" w:name="Tc_B2PDXPgJK0ujrnf0NN9HjQ_28_0"/>
      <w:bookmarkStart w:id="46" w:name="Tc_ZdfFRpChmkS1v2qYY1dm1Q_27_0"/>
      <w:bookmarkStart w:id="47" w:name="Tc_-p7aVW0EbUyos687RWhG-g_26_0"/>
      <w:bookmarkStart w:id="48" w:name="Tc_CQ6yTapCZEG2f1mGKroHlQ_25_0"/>
      <w:bookmarkStart w:id="49" w:name="Tc_lNJsMnX0gECZKToBXZyRgQ_24_11"/>
      <w:bookmarkStart w:id="50" w:name="Tc_F4z3BlPgAkaZwo3xJVjRdw_24_8"/>
      <w:bookmarkStart w:id="51" w:name="Tc_k3JE08Q_okC4au61LDl4Cw_24_5"/>
      <w:bookmarkStart w:id="52" w:name="Tc_BB1wXWotWUGcAq4Ff1kfcA_24_2"/>
      <w:bookmarkStart w:id="53" w:name="Tc_4BNKF3qTnkCFXLUjCEAphA_24_0"/>
      <w:bookmarkStart w:id="54" w:name="Tc_aIojRI4OjES5NP7vuf7Z6Q_23_0"/>
      <w:bookmarkStart w:id="55" w:name="Tc_iVRh_BbAqk-IDVPDQJJpaA_21_11"/>
      <w:bookmarkStart w:id="56" w:name="Tc_S90-lZlbOkiccmHMLQZunQ_21_8"/>
      <w:bookmarkStart w:id="57" w:name="Tc_KAXN-Je8pU2ewGEQAc0I0w_21_5"/>
      <w:bookmarkStart w:id="58" w:name="Tc_fYRMMtq9ZUKihMxwrKbM0w_21_2"/>
      <w:bookmarkStart w:id="59" w:name="Tc_eMcr-9QgXUqlmWYwqT2pBQ_21_0"/>
      <w:bookmarkStart w:id="60" w:name="Tc_ehfBsmpsrE6aOBefqFK-PA_20_0"/>
      <w:bookmarkStart w:id="61" w:name="Tc_DfCwYs3peki8MSE4jacH2A_19_0"/>
      <w:bookmarkStart w:id="62" w:name="Tc_1YkdeKNZ_0K-h-4ZbQIPOA_18_0"/>
      <w:bookmarkStart w:id="63" w:name="Tc_yP8MMJm0_0CvNU5hJSEItA_17_0"/>
      <w:bookmarkStart w:id="64" w:name="Tc_OzfKQ_5i8EWpfnQvmFHiMQ_16_0"/>
      <w:bookmarkStart w:id="65" w:name="Tc_KR4nvAgpRk2A-OMTsv9FZA_15_0"/>
      <w:bookmarkStart w:id="66" w:name="Tc_ijtaFqWnYUyVCd-PjebR0A_13_0"/>
      <w:bookmarkStart w:id="67" w:name="Tc_QNIrkko5nUqaujno5yYhyg_12_0"/>
      <w:bookmarkStart w:id="68" w:name="Tc_7CFW2AyxcEuZGE4JrbZOBg_11_0"/>
      <w:bookmarkStart w:id="69" w:name="Tc_dcwkFlmA9EuyivK7UeSeiw_10_0"/>
      <w:bookmarkStart w:id="70" w:name="Tc_V0dbSDQWXk23sXhK6MsqEQ_9_0"/>
      <w:bookmarkStart w:id="71" w:name="Tc_xd7jMDJKFk-FzHfmACGR5A_7_0"/>
      <w:bookmarkStart w:id="72" w:name="Tc_VyCfY9B0fkWSXFkX0floXw_6_0"/>
      <w:bookmarkStart w:id="73" w:name="Tc_ndh_nlXgwU6GxGm7lLXumw_5_11"/>
      <w:bookmarkStart w:id="74" w:name="Tc_zCnRz-upQ0yB6FdNg0ItRg_5_8"/>
      <w:bookmarkStart w:id="75" w:name="Tc_HOBT3aKawE-7bR6rQOKusg_5_5"/>
      <w:bookmarkStart w:id="76" w:name="Tc_EygpnK77lku47BaEt6KxLw_5_2"/>
      <w:bookmarkStart w:id="77" w:name="Tc_ctupBwyq70mXyu_wo5Uaew_5_0"/>
      <w:bookmarkStart w:id="78" w:name="Tc_BD2vVcK2h0aK2jy6RUDI0w_4_0"/>
      <w:bookmarkStart w:id="79" w:name="Tc_R6m531u6V0CFcTXxyDtmtQ_3_11"/>
      <w:bookmarkStart w:id="80" w:name="Tc_3T-YbI-tv06OrLdvn1Unsg_3_8"/>
      <w:bookmarkStart w:id="81" w:name="Tc_u1Dbj2HUhUm7J_7rkvJcyw_3_5"/>
      <w:bookmarkStart w:id="82" w:name="Tc_ysZA6b1KLUW2JVVIKyEHrg_3_2"/>
      <w:bookmarkStart w:id="83" w:name="Tc_jQGqeehiW02n66F1H0zVPQ_3_0"/>
      <w:bookmarkStart w:id="84" w:name="Tc_9Pnkja7bX0O_vhShd4LvOQ_2_8"/>
      <w:bookmarkStart w:id="85" w:name="Tc_1_yJlVoO9U2nabQyUcIGAA_2_2"/>
      <w:bookmarkStart w:id="86" w:name="Tc_rJi5qjkJdEaDO0SYw9Qxlg_1_8"/>
      <w:bookmarkStart w:id="87" w:name="Tc_8-maBm6QOkGgGmdpeSshrw_1_2"/>
      <w:bookmarkStart w:id="88" w:name="_40632128_9b38_41f2_99c4_634cee63da95"/>
      <w:bookmarkStart w:id="89" w:name="Tc_4oHLUVqMmUWN-Dz6sEFz6Q_36_0"/>
      <w:bookmarkStart w:id="90" w:name="Tc_DezlNctl30aq6Cx3LW5YYQ_35_0"/>
      <w:bookmarkStart w:id="91" w:name="Tc_5Vm9FscnnEqh-Pqo1TcBNA_34_0"/>
      <w:bookmarkStart w:id="92" w:name="Tc_TOFWy4B_5k6StDq5ty4Hew_32_11"/>
      <w:bookmarkStart w:id="93" w:name="Tc_D93l5-2Tv0CYnFME1O7fPg_32_8"/>
      <w:bookmarkStart w:id="94" w:name="Tc_mw8C5QCuGEaggCSD_Vj7GQ_32_5"/>
      <w:bookmarkStart w:id="95" w:name="Tc_b1z7LlzbXU6ZyQg5TlY4aQ_32_2"/>
      <w:bookmarkStart w:id="96" w:name="Tc_6SpuVe0OmE2p7kB0UbYH4A_32_0"/>
      <w:bookmarkStart w:id="97" w:name="Tc_2v5PfWVsP0SY3xZIwyiDlg_31_11"/>
      <w:bookmarkStart w:id="98" w:name="Tc_Oe6faS0YFUKxEGmDW0ynAA_31_8"/>
      <w:bookmarkStart w:id="99" w:name="Tc__Q46qBTxRkSSHNt_6RujfA_31_5"/>
      <w:bookmarkStart w:id="100" w:name="Tc_PL3LYAY9VEW1KXIXCTmlTg_31_2"/>
      <w:bookmarkStart w:id="101" w:name="Tc_DqOw6XWTaE-Kf3UOrvyiVA_31_0"/>
      <w:bookmarkStart w:id="102" w:name="Tc_wNKDWwoPtEmNtVptPbSO8Q_29_11"/>
      <w:bookmarkStart w:id="103" w:name="Tc_Lm3RkI4TdE6X_rHN3-mB8w_29_8"/>
      <w:bookmarkStart w:id="104" w:name="Tc_5taAIShsTEmvhH5LVPR5rw_29_5"/>
      <w:bookmarkStart w:id="105" w:name="Tc_4iQALL1StUK3EA_LpLf78w_29_2"/>
      <w:bookmarkStart w:id="106" w:name="Tc_JKWhTjX9j0O172dOItf0BQ_29_0"/>
      <w:bookmarkStart w:id="107" w:name="Tc_B2PDXPgJK0ujrnf0NN9HjQ_28_0"/>
      <w:bookmarkStart w:id="108" w:name="Tc_ZdfFRpChmkS1v2qYY1dm1Q_27_0"/>
      <w:bookmarkStart w:id="109" w:name="Tc_-p7aVW0EbUyos687RWhG-g_26_0"/>
      <w:bookmarkStart w:id="110" w:name="Tc_CQ6yTapCZEG2f1mGKroHlQ_25_0"/>
      <w:bookmarkStart w:id="111" w:name="Tc_lNJsMnX0gECZKToBXZyRgQ_24_11"/>
      <w:bookmarkStart w:id="112" w:name="Tc_F4z3BlPgAkaZwo3xJVjRdw_24_8"/>
      <w:bookmarkStart w:id="113" w:name="Tc_k3JE08Q_okC4au61LDl4Cw_24_5"/>
      <w:bookmarkStart w:id="114" w:name="Tc_BB1wXWotWUGcAq4Ff1kfcA_24_2"/>
      <w:bookmarkStart w:id="115" w:name="Tc_4BNKF3qTnkCFXLUjCEAphA_24_0"/>
      <w:bookmarkStart w:id="116" w:name="Tc_aIojRI4OjES5NP7vuf7Z6Q_23_0"/>
      <w:bookmarkStart w:id="117" w:name="Tc_iVRh_BbAqk-IDVPDQJJpaA_21_11"/>
      <w:bookmarkStart w:id="118" w:name="Tc_S90-lZlbOkiccmHMLQZunQ_21_8"/>
      <w:bookmarkStart w:id="119" w:name="Tc_KAXN-Je8pU2ewGEQAc0I0w_21_5"/>
      <w:bookmarkStart w:id="120" w:name="Tc_fYRMMtq9ZUKihMxwrKbM0w_21_2"/>
      <w:bookmarkStart w:id="121" w:name="Tc_eMcr-9QgXUqlmWYwqT2pBQ_21_0"/>
      <w:bookmarkStart w:id="122" w:name="Tc_ehfBsmpsrE6aOBefqFK-PA_20_0"/>
      <w:bookmarkStart w:id="123" w:name="Tc_DfCwYs3peki8MSE4jacH2A_19_0"/>
      <w:bookmarkStart w:id="124" w:name="Tc_1YkdeKNZ_0K-h-4ZbQIPOA_18_0"/>
      <w:bookmarkStart w:id="125" w:name="Tc_yP8MMJm0_0CvNU5hJSEItA_17_0"/>
      <w:bookmarkStart w:id="126" w:name="Tc_OzfKQ_5i8EWpfnQvmFHiMQ_16_0"/>
      <w:bookmarkStart w:id="127" w:name="Tc_KR4nvAgpRk2A-OMTsv9FZA_15_0"/>
      <w:bookmarkStart w:id="128" w:name="Tc_ijtaFqWnYUyVCd-PjebR0A_13_0"/>
      <w:bookmarkStart w:id="129" w:name="Tc_QNIrkko5nUqaujno5yYhyg_12_0"/>
      <w:bookmarkStart w:id="130" w:name="Tc_7CFW2AyxcEuZGE4JrbZOBg_11_0"/>
      <w:bookmarkStart w:id="131" w:name="Tc_dcwkFlmA9EuyivK7UeSeiw_10_0"/>
      <w:bookmarkStart w:id="132" w:name="Tc_V0dbSDQWXk23sXhK6MsqEQ_9_0"/>
      <w:bookmarkStart w:id="133" w:name="Tc_xd7jMDJKFk-FzHfmACGR5A_7_0"/>
      <w:bookmarkStart w:id="134" w:name="Tc_VyCfY9B0fkWSXFkX0floXw_6_0"/>
      <w:bookmarkStart w:id="135" w:name="Tc_ndh_nlXgwU6GxGm7lLXumw_5_11"/>
      <w:bookmarkStart w:id="136" w:name="Tc_zCnRz-upQ0yB6FdNg0ItRg_5_8"/>
      <w:bookmarkStart w:id="137" w:name="Tc_HOBT3aKawE-7bR6rQOKusg_5_5"/>
      <w:bookmarkStart w:id="138" w:name="Tc_EygpnK77lku47BaEt6KxLw_5_2"/>
      <w:bookmarkStart w:id="139" w:name="Tc_ctupBwyq70mXyu_wo5Uaew_5_0"/>
      <w:bookmarkStart w:id="140" w:name="Tc_BD2vVcK2h0aK2jy6RUDI0w_4_0"/>
      <w:bookmarkStart w:id="141" w:name="Tc_R6m531u6V0CFcTXxyDtmtQ_3_11"/>
      <w:bookmarkStart w:id="142" w:name="Tc_3T-YbI-tv06OrLdvn1Unsg_3_8"/>
      <w:bookmarkStart w:id="143" w:name="Tc_u1Dbj2HUhUm7J_7rkvJcyw_3_5"/>
      <w:bookmarkStart w:id="144" w:name="Tc_ysZA6b1KLUW2JVVIKyEHrg_3_2"/>
      <w:bookmarkStart w:id="145" w:name="Tc_jQGqeehiW02n66F1H0zVPQ_3_0"/>
      <w:bookmarkStart w:id="146" w:name="Tc_9Pnkja7bX0O_vhShd4LvOQ_2_8"/>
      <w:bookmarkStart w:id="147" w:name="Tc_1_yJlVoO9U2nabQyUcIGAA_2_2"/>
      <w:bookmarkStart w:id="148" w:name="Tc_rJi5qjkJdEaDO0SYw9Qxlg_1_8"/>
      <w:bookmarkStart w:id="149" w:name="Tc_8-maBm6QOkGgGmdpeSshrw_1_2"/>
      <w:bookmarkStart w:id="150" w:name="_40632128_9b38_41f2_99c4_634cee63da95"/>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10205" w:type="dxa"/>
        <w:jc w:val="left"/>
        <w:tblInd w:w="0" w:type="dxa"/>
        <w:tblLayout w:type="fixed"/>
        <w:tblCellMar>
          <w:top w:w="0" w:type="dxa"/>
          <w:left w:w="0" w:type="dxa"/>
          <w:bottom w:w="0" w:type="dxa"/>
          <w:right w:w="0" w:type="dxa"/>
        </w:tblCellMar>
      </w:tblPr>
      <w:tblGrid>
        <w:gridCol w:w="4968"/>
        <w:gridCol w:w="326"/>
        <w:gridCol w:w="211"/>
        <w:gridCol w:w="685"/>
        <w:gridCol w:w="326"/>
        <w:gridCol w:w="211"/>
        <w:gridCol w:w="685"/>
        <w:gridCol w:w="326"/>
        <w:gridCol w:w="211"/>
        <w:gridCol w:w="835"/>
        <w:gridCol w:w="326"/>
        <w:gridCol w:w="211"/>
        <w:gridCol w:w="884"/>
      </w:tblGrid>
      <w:tr>
        <w:trPr/>
        <w:tc>
          <w:tcPr>
            <w:tcW w:w="4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54680" cy="175260"/>
                      <wp:effectExtent l="0" t="0" r="0" b="0"/>
                      <wp:wrapNone/>
                      <wp:docPr id="1" name="Frame1"/>
                      <a:graphic xmlns:a="http://schemas.openxmlformats.org/drawingml/2006/main">
                        <a:graphicData uri="http://schemas.microsoft.com/office/word/2010/wordprocessingShape">
                          <wps:wsp>
                            <wps:cNvSpPr txBox="1"/>
                            <wps:spPr>
                              <a:xfrm>
                                <a:off x="0" y="0"/>
                                <a:ext cx="3154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4975" cy="175260"/>
                      <wp:effectExtent l="0" t="0" r="0" b="0"/>
                      <wp:wrapNone/>
                      <wp:docPr id="4" name="Frame4"/>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34975" cy="175260"/>
                      <wp:effectExtent l="0" t="0" r="0" b="0"/>
                      <wp:wrapNone/>
                      <wp:docPr id="7" name="Frame7"/>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30225" cy="175260"/>
                      <wp:effectExtent l="0" t="0" r="0" b="0"/>
                      <wp:wrapNone/>
                      <wp:docPr id="10" name="Frame10"/>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61340" cy="175260"/>
                      <wp:effectExtent l="0" t="0" r="0" b="0"/>
                      <wp:wrapNone/>
                      <wp:docPr id="13" name="Frame13"/>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46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9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4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9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326" w:type="dxa"/>
            <w:tcBorders/>
            <w:vAlign w:val="center"/>
          </w:tcPr>
          <w:p>
            <w:pPr>
              <w:pStyle w:val="TableContents"/>
              <w:bidi w:val="0"/>
              <w:spacing w:before="0" w:after="0"/>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1,268.9</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1,569.5</w:t>
            </w:r>
          </w:p>
        </w:tc>
      </w:tr>
      <w:tr>
        <w:trPr/>
        <w:tc>
          <w:tcPr>
            <w:tcW w:w="49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(1,259.1)</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SSAT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(1,408.0)</w:t>
            </w:r>
          </w:p>
        </w:tc>
      </w:tr>
      <w:tr>
        <w:trPr/>
        <w:tc>
          <w:tcPr>
            <w:tcW w:w="49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w:t>
            </w:r>
          </w:p>
        </w:tc>
      </w:tr>
      <w:tr>
        <w:trPr/>
        <w:tc>
          <w:tcPr>
            <w:tcW w:w="49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Net of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pension and post-retirement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w:t>
            </w:r>
          </w:p>
        </w:tc>
      </w:tr>
      <w:tr>
        <w:trPr/>
        <w:tc>
          <w:tcPr>
            <w:tcW w:w="49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r>
      <w:tr>
        <w:trPr/>
        <w:tc>
          <w:tcPr>
            <w:tcW w:w="49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1" w:name="_dee1004e_e234_4106_abb9_900075f8c350"/>
      <w:bookmarkEnd w:id="151"/>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152" w:name="ConsolidatedBalanceSheets_846706"/>
      <w:bookmarkEnd w:id="152"/>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3" w:name="Tc_y6yUzzI6M0u5iH777PCxVQ_41_5"/>
      <w:bookmarkStart w:id="154" w:name="Tc_ngOEmCXIOEGbxdjXvHHtwg_41_2"/>
      <w:bookmarkStart w:id="155" w:name="Tc_cZEQjqVEWEeVfprRRAQTpQ_41_0"/>
      <w:bookmarkStart w:id="156" w:name="Tc_HV8i_h_sw061GmY578glJA_40_0"/>
      <w:bookmarkStart w:id="157" w:name="Tc_QhoRugsI8kqphvu0d0VUlQ_39_0"/>
      <w:bookmarkStart w:id="158" w:name="Tc_TaDanz63g0iL7o3YslOdMg_38_0"/>
      <w:bookmarkStart w:id="159" w:name="Tc_SdI8bEsuCkiFL0isiZtLGA_37_0"/>
      <w:bookmarkStart w:id="160" w:name="Tc_N7nMeqwBFEi4b43uVhFfTQ_36_0"/>
      <w:bookmarkStart w:id="161" w:name="Tc_z2JfMTDv0USwbQ4GgRJRKw_35_0"/>
      <w:bookmarkStart w:id="162" w:name="Tc_BAt3t8_vk0CrLLNL6XFw5A_34_0"/>
      <w:bookmarkStart w:id="163" w:name="Tc_QBzhj7IWPkuOi0FWPuP5-Q_33_0"/>
      <w:bookmarkStart w:id="164" w:name="Tc_s8OAUAvO00CEJb7lXM61xg_32_0"/>
      <w:bookmarkStart w:id="165" w:name="Tc_rquHXg0fUUq9vLcD56gpwg_31_0"/>
      <w:bookmarkStart w:id="166" w:name="Tc_BuodLizBCUiKqRtgkSTsMQ_30_0"/>
      <w:bookmarkStart w:id="167" w:name="Tc_yL7iYzIo7UuYxVmBYAmYeg_29_0"/>
      <w:bookmarkStart w:id="168" w:name="Tc_9-hnugHQI0uD_fxPNkeYHQ_28_0"/>
      <w:bookmarkStart w:id="169" w:name="Tc_lqH15uEuOEmvsFyBnhvfKw_27_0"/>
      <w:bookmarkStart w:id="170" w:name="Tc_uGefd3L9OkaY0phpvJ5PXw_26_0"/>
      <w:bookmarkStart w:id="171" w:name="Tc_BOKgKXxm0U6gsDvd3o5Lkw_25_0"/>
      <w:bookmarkStart w:id="172" w:name="Tc_dVaqdvctcUq59kIscPtmVg_24_0"/>
      <w:bookmarkStart w:id="173" w:name="Tc_s4Q3cRPvhkavQhKwXI7dPw_23_5"/>
      <w:bookmarkStart w:id="174" w:name="Tc_w1O4Kr-Yo0akdSl7kPrK3g_23_2"/>
      <w:bookmarkStart w:id="175" w:name="Tc_ef7dAvj1l0uhVSm7dV1VKQ_23_0"/>
      <w:bookmarkStart w:id="176" w:name="Tc_Jtbop3eN5UqJvAnx8CnK_w_22_0"/>
      <w:bookmarkStart w:id="177" w:name="Tc_ol-vLQZvgUGhh_Ru5w62xA_21_0"/>
      <w:bookmarkStart w:id="178" w:name="Tc_i5tXOgI4jEO_q5CVTgYU0Q_19_5"/>
      <w:bookmarkStart w:id="179" w:name="Tc_0Vi9cCZ3qUesEpy77MHowg_19_2"/>
      <w:bookmarkStart w:id="180" w:name="Tc_k6d-mxY06EqYKXF3vIRIdQ_19_0"/>
      <w:bookmarkStart w:id="181" w:name="Tc_nn_OeFgttEeC5UhLrcgdcw_18_0"/>
      <w:bookmarkStart w:id="182" w:name="Tc_ZzqHDgejt0y5RXYzMYv4_Q_17_0"/>
      <w:bookmarkStart w:id="183" w:name="Tc_Al_ObN-Vjk6bCCagr2WO2Q_16_0"/>
      <w:bookmarkStart w:id="184" w:name="Tc_qAJYVOXOQkyOnh7SqMXbpA_15_0"/>
      <w:bookmarkStart w:id="185" w:name="Tc_MAW540DjGkWKJGfIiSgyUA_14_0"/>
      <w:bookmarkStart w:id="186" w:name="Tc_wcmVHUwVqUSmtBh8Fufsow_13_0"/>
      <w:bookmarkStart w:id="187" w:name="Tc_0LtyxUyev0uhFOt64Bqb_Q_12_0"/>
      <w:bookmarkStart w:id="188" w:name="Tc_befjC4dfw0qGEfoH1Adp_A_11_0"/>
      <w:bookmarkStart w:id="189" w:name="Tc_6SFN4tdDVkm3dZ9eadOo3Q_10_0"/>
      <w:bookmarkStart w:id="190" w:name="Tc_beWFGqhow0CU-67gcHXeFw_9_0"/>
      <w:bookmarkStart w:id="191" w:name="Tc_DwfeYBJk0US2yH3yBzjdjg_8_0"/>
      <w:bookmarkStart w:id="192" w:name="Tc_EWTcqAoNrkaNWJiU-h0Ujg_7_0"/>
      <w:bookmarkStart w:id="193" w:name="Tc_q2v-Arv6BkO_HIMUTTkvGA_6_0"/>
      <w:bookmarkStart w:id="194" w:name="Tc_-KkYo9cDhkeWzrKHXfqNvg_5_5"/>
      <w:bookmarkStart w:id="195" w:name="Tc_OdaZN7WpCEuozO7GUZOq2g_5_2"/>
      <w:bookmarkStart w:id="196" w:name="Tc_fZ4F00Wh4UuQaMR5yU64Bw_5_0"/>
      <w:bookmarkStart w:id="197" w:name="Tc_zrrtJQtn80ScaQyaYgxbtQ_4_0"/>
      <w:bookmarkStart w:id="198" w:name="Tc_HXwikV_WSUm3JpPqvTzmwg_3_0"/>
      <w:bookmarkStart w:id="199" w:name="Tc_p_Bjg0LxKkWALXrZyzP3zw_2_5"/>
      <w:bookmarkStart w:id="200" w:name="Tc_-nzfbqOisUKorHiOee6V3g_2_2"/>
      <w:bookmarkStart w:id="201" w:name="Tc_VVkw0NCrIkCtC0Onv8hgRA_2_0"/>
      <w:bookmarkStart w:id="202" w:name="Tc_viL-S3ugL0-fFYFTjMTo8A_1_5"/>
      <w:bookmarkStart w:id="203" w:name="Tc_zOO9oVtB-UevwLAZcvciCg_1_2"/>
      <w:bookmarkStart w:id="204" w:name="_4e639415_3bef_4e1f_89c3_54bf7449adc0"/>
      <w:bookmarkStart w:id="205" w:name="Tc_y6yUzzI6M0u5iH777PCxVQ_41_5"/>
      <w:bookmarkStart w:id="206" w:name="Tc_ngOEmCXIOEGbxdjXvHHtwg_41_2"/>
      <w:bookmarkStart w:id="207" w:name="Tc_cZEQjqVEWEeVfprRRAQTpQ_41_0"/>
      <w:bookmarkStart w:id="208" w:name="Tc_HV8i_h_sw061GmY578glJA_40_0"/>
      <w:bookmarkStart w:id="209" w:name="Tc_QhoRugsI8kqphvu0d0VUlQ_39_0"/>
      <w:bookmarkStart w:id="210" w:name="Tc_TaDanz63g0iL7o3YslOdMg_38_0"/>
      <w:bookmarkStart w:id="211" w:name="Tc_SdI8bEsuCkiFL0isiZtLGA_37_0"/>
      <w:bookmarkStart w:id="212" w:name="Tc_N7nMeqwBFEi4b43uVhFfTQ_36_0"/>
      <w:bookmarkStart w:id="213" w:name="Tc_z2JfMTDv0USwbQ4GgRJRKw_35_0"/>
      <w:bookmarkStart w:id="214" w:name="Tc_BAt3t8_vk0CrLLNL6XFw5A_34_0"/>
      <w:bookmarkStart w:id="215" w:name="Tc_QBzhj7IWPkuOi0FWPuP5-Q_33_0"/>
      <w:bookmarkStart w:id="216" w:name="Tc_s8OAUAvO00CEJb7lXM61xg_32_0"/>
      <w:bookmarkStart w:id="217" w:name="Tc_rquHXg0fUUq9vLcD56gpwg_31_0"/>
      <w:bookmarkStart w:id="218" w:name="Tc_BuodLizBCUiKqRtgkSTsMQ_30_0"/>
      <w:bookmarkStart w:id="219" w:name="Tc_yL7iYzIo7UuYxVmBYAmYeg_29_0"/>
      <w:bookmarkStart w:id="220" w:name="Tc_9-hnugHQI0uD_fxPNkeYHQ_28_0"/>
      <w:bookmarkStart w:id="221" w:name="Tc_lqH15uEuOEmvsFyBnhvfKw_27_0"/>
      <w:bookmarkStart w:id="222" w:name="Tc_uGefd3L9OkaY0phpvJ5PXw_26_0"/>
      <w:bookmarkStart w:id="223" w:name="Tc_BOKgKXxm0U6gsDvd3o5Lkw_25_0"/>
      <w:bookmarkStart w:id="224" w:name="Tc_dVaqdvctcUq59kIscPtmVg_24_0"/>
      <w:bookmarkStart w:id="225" w:name="Tc_s4Q3cRPvhkavQhKwXI7dPw_23_5"/>
      <w:bookmarkStart w:id="226" w:name="Tc_w1O4Kr-Yo0akdSl7kPrK3g_23_2"/>
      <w:bookmarkStart w:id="227" w:name="Tc_ef7dAvj1l0uhVSm7dV1VKQ_23_0"/>
      <w:bookmarkStart w:id="228" w:name="Tc_Jtbop3eN5UqJvAnx8CnK_w_22_0"/>
      <w:bookmarkStart w:id="229" w:name="Tc_ol-vLQZvgUGhh_Ru5w62xA_21_0"/>
      <w:bookmarkStart w:id="230" w:name="Tc_i5tXOgI4jEO_q5CVTgYU0Q_19_5"/>
      <w:bookmarkStart w:id="231" w:name="Tc_0Vi9cCZ3qUesEpy77MHowg_19_2"/>
      <w:bookmarkStart w:id="232" w:name="Tc_k6d-mxY06EqYKXF3vIRIdQ_19_0"/>
      <w:bookmarkStart w:id="233" w:name="Tc_nn_OeFgttEeC5UhLrcgdcw_18_0"/>
      <w:bookmarkStart w:id="234" w:name="Tc_ZzqHDgejt0y5RXYzMYv4_Q_17_0"/>
      <w:bookmarkStart w:id="235" w:name="Tc_Al_ObN-Vjk6bCCagr2WO2Q_16_0"/>
      <w:bookmarkStart w:id="236" w:name="Tc_qAJYVOXOQkyOnh7SqMXbpA_15_0"/>
      <w:bookmarkStart w:id="237" w:name="Tc_MAW540DjGkWKJGfIiSgyUA_14_0"/>
      <w:bookmarkStart w:id="238" w:name="Tc_wcmVHUwVqUSmtBh8Fufsow_13_0"/>
      <w:bookmarkStart w:id="239" w:name="Tc_0LtyxUyev0uhFOt64Bqb_Q_12_0"/>
      <w:bookmarkStart w:id="240" w:name="Tc_befjC4dfw0qGEfoH1Adp_A_11_0"/>
      <w:bookmarkStart w:id="241" w:name="Tc_6SFN4tdDVkm3dZ9eadOo3Q_10_0"/>
      <w:bookmarkStart w:id="242" w:name="Tc_beWFGqhow0CU-67gcHXeFw_9_0"/>
      <w:bookmarkStart w:id="243" w:name="Tc_DwfeYBJk0US2yH3yBzjdjg_8_0"/>
      <w:bookmarkStart w:id="244" w:name="Tc_EWTcqAoNrkaNWJiU-h0Ujg_7_0"/>
      <w:bookmarkStart w:id="245" w:name="Tc_q2v-Arv6BkO_HIMUTTkvGA_6_0"/>
      <w:bookmarkStart w:id="246" w:name="Tc_-KkYo9cDhkeWzrKHXfqNvg_5_5"/>
      <w:bookmarkStart w:id="247" w:name="Tc_OdaZN7WpCEuozO7GUZOq2g_5_2"/>
      <w:bookmarkStart w:id="248" w:name="Tc_fZ4F00Wh4UuQaMR5yU64Bw_5_0"/>
      <w:bookmarkStart w:id="249" w:name="Tc_zrrtJQtn80ScaQyaYgxbtQ_4_0"/>
      <w:bookmarkStart w:id="250" w:name="Tc_HXwikV_WSUm3JpPqvTzmwg_3_0"/>
      <w:bookmarkStart w:id="251" w:name="Tc_p_Bjg0LxKkWALXrZyzP3zw_2_5"/>
      <w:bookmarkStart w:id="252" w:name="Tc_-nzfbqOisUKorHiOee6V3g_2_2"/>
      <w:bookmarkStart w:id="253" w:name="Tc_VVkw0NCrIkCtC0Onv8hgRA_2_0"/>
      <w:bookmarkStart w:id="254" w:name="Tc_viL-S3ugL0-fFYFTjMTo8A_1_5"/>
      <w:bookmarkStart w:id="255" w:name="Tc_zOO9oVtB-UevwLAZcvciCg_1_2"/>
      <w:bookmarkStart w:id="256" w:name="_4e639415_3bef_4e1f_89c3_54bf7449adc0"/>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tbl>
      <w:tblPr>
        <w:tblW w:w="10205" w:type="dxa"/>
        <w:jc w:val="left"/>
        <w:tblInd w:w="0" w:type="dxa"/>
        <w:tblLayout w:type="fixed"/>
        <w:tblCellMar>
          <w:top w:w="0" w:type="dxa"/>
          <w:left w:w="0" w:type="dxa"/>
          <w:bottom w:w="0" w:type="dxa"/>
          <w:right w:w="0" w:type="dxa"/>
        </w:tblCellMar>
      </w:tblPr>
      <w:tblGrid>
        <w:gridCol w:w="7446"/>
        <w:gridCol w:w="326"/>
        <w:gridCol w:w="211"/>
        <w:gridCol w:w="721"/>
        <w:gridCol w:w="326"/>
        <w:gridCol w:w="238"/>
        <w:gridCol w:w="937"/>
      </w:tblGrid>
      <w:tr>
        <w:trPr/>
        <w:tc>
          <w:tcPr>
            <w:tcW w:w="7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728210" cy="175260"/>
                      <wp:effectExtent l="0" t="0" r="0" b="0"/>
                      <wp:wrapNone/>
                      <wp:docPr id="14" name="Frame14"/>
                      <a:graphic xmlns:a="http://schemas.openxmlformats.org/drawingml/2006/main">
                        <a:graphicData uri="http://schemas.microsoft.com/office/word/2010/wordprocessingShape">
                          <wps:wsp>
                            <wps:cNvSpPr txBox="1"/>
                            <wps:spPr>
                              <a:xfrm>
                                <a:off x="0" y="0"/>
                                <a:ext cx="472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57835" cy="175260"/>
                      <wp:effectExtent l="0" t="0" r="0" b="0"/>
                      <wp:wrapNone/>
                      <wp:docPr id="17" name="Frame1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51130" cy="175260"/>
                      <wp:effectExtent l="0" t="0" r="0" b="0"/>
                      <wp:wrapNone/>
                      <wp:docPr id="19" name="Frame1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94995" cy="175260"/>
                      <wp:effectExtent l="0" t="0" r="0" b="0"/>
                      <wp:wrapNone/>
                      <wp:docPr id="20" name="Frame20"/>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$9.0</w:t>
            </w:r>
            <w:r>
              <w:rPr>
                <w:rFonts w:ascii="Times New Roman;Times;serif" w:hAnsi="Times New Roman;Times;serif"/>
                <w:color w:val="FF0000"/>
                <w:sz w:val="20"/>
              </w:rPr>
              <w:t> </w:t>
            </w:r>
            <w:r>
              <w:rPr>
                <w:rFonts w:ascii="Times New Roman;Times;serif" w:hAnsi="Times New Roman;Times;serif"/>
                <w:sz w:val="20"/>
              </w:rPr>
              <w:t>million and $9.8 million,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424.5</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609.6</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SSAT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2,260.9</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 of 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357.7</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642.6</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costs,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4,057.6</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3,985.8</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4,482.1</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4,595.4</w:t>
            </w:r>
          </w:p>
        </w:tc>
      </w:tr>
      <w:tr>
        <w:trPr/>
        <w:tc>
          <w:tcPr>
            <w:tcW w:w="7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282.4</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546.9</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560.4</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deferred loan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693.8</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693.4</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1,317.2</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1,383.0</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(see Note 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288.0</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2,312.5</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2,337.1</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2,618.0</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2,652.0</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4,482.1</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4,595.4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7" w:name="_21321b2d_3b15_42b7_83de_7cf5e2e0feea"/>
      <w:bookmarkEnd w:id="257"/>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58" w:name="StatementsofCashFlows_473640"/>
      <w:bookmarkEnd w:id="25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259" w:name="Tc_GK3PrGT_J0yKlCJZWe2rZw_53_5"/>
      <w:bookmarkStart w:id="260" w:name="Tc_9RgD4MnfokWXf-JdQlHX7w_53_2"/>
      <w:bookmarkStart w:id="261" w:name="Tc_wezPU0ASgUK2J9CiaI2bgg_53_0"/>
      <w:bookmarkStart w:id="262" w:name="Tc_NGy6oiQYuUGP5lS59XIA1Q_52_5"/>
      <w:bookmarkStart w:id="263" w:name="Tc_T0MbvbH5qEaTCJ5m2MN2eg_52_2"/>
      <w:bookmarkStart w:id="264" w:name="Tc_2IVi38UXsUu6i87HrxfYOw_52_0"/>
      <w:bookmarkStart w:id="265" w:name="Tc_RoO0avVg70O9A5TIVm2WXw_51_0"/>
      <w:bookmarkStart w:id="266" w:name="Tc_gNLiF6_mw0SWHmmadDiCuA_49_5"/>
      <w:bookmarkStart w:id="267" w:name="Tc_6koZt0b3ZUK4zcpawHNJ0w_49_2"/>
      <w:bookmarkStart w:id="268" w:name="Tc_v-UyTQU3P0-C2ogI_uB9Bg_49_0"/>
      <w:bookmarkStart w:id="269" w:name="Tc_kv8PQyQoCUC4ne6LHO4row_48_5"/>
      <w:bookmarkStart w:id="270" w:name="Tc_eAhzj8TYdU25QOHtRUJPPw_48_2"/>
      <w:bookmarkStart w:id="271" w:name="Tc_SN5olgg_VkuOMQfW9YnY6w_48_0"/>
      <w:bookmarkStart w:id="272" w:name="Tc_IjzpqBhfykGHbuGpx0zWRw_47_0"/>
      <w:bookmarkStart w:id="273" w:name="Tc_Vd1yAR7DCEqYq3C4Ij-nCA_45_5"/>
      <w:bookmarkStart w:id="274" w:name="Tc_QqzPW84CREWxGhtUa83ASg_45_2"/>
      <w:bookmarkStart w:id="275" w:name="Tc_6nr1uh4VoECfey-1y5Rcvg_45_0"/>
      <w:bookmarkStart w:id="276" w:name="Tc_PRy-hP1buEWvClOtXL_cOA_44_3"/>
      <w:bookmarkStart w:id="277" w:name="Tc_wdNsCJoLME2yBRDNAN-FsQ_44_0"/>
      <w:bookmarkStart w:id="278" w:name="Tc_LfqXI_aCHkefUJ-_zAV-ag_43_5"/>
      <w:bookmarkStart w:id="279" w:name="Tc_fcA9YpOocEiuNrESHTVblQ_43_2"/>
      <w:bookmarkStart w:id="280" w:name="Tc_6mZB0BQxMkm9dfv5LqrIlg_43_0"/>
      <w:bookmarkStart w:id="281" w:name="Tc_l5NCsh_Znka4tCt7InLDAA_42_0"/>
      <w:bookmarkStart w:id="282" w:name="Tc_FodLWdEbgEusDGOHFMD6xA_40_5"/>
      <w:bookmarkStart w:id="283" w:name="Tc_lzRzBJ4jKkqsA3Nk4LsNcQ_40_2"/>
      <w:bookmarkStart w:id="284" w:name="Tc_fha5Zh_MHEy6illLkorcGg_40_0"/>
      <w:bookmarkStart w:id="285" w:name="Tc_uOFEerSLd0ulz_SGS0L5QQ_39_0"/>
      <w:bookmarkStart w:id="286" w:name="Tc_Sbr7y1uLEkGZyHgeSczkqA_38_0"/>
      <w:bookmarkStart w:id="287" w:name="Tc_iVzqZnWeAECWV46rlDSviQ_36_0"/>
      <w:bookmarkStart w:id="288" w:name="Tc_SHryn5eQIkmHqO3BpczZxg_35_0"/>
      <w:bookmarkStart w:id="289" w:name="Tc_m76Lu9nUqEOdR--vwSnhNg_34_0"/>
      <w:bookmarkStart w:id="290" w:name="Tc_KVABAa5220eGBjW-0yp6qw_33_0"/>
      <w:bookmarkStart w:id="291" w:name="Tc_nLDskkvoZUanN2Z_ZulDeg_32_0"/>
      <w:bookmarkStart w:id="292" w:name="Tc_3-xKvBl3rEuzTQH5ArcIWw_31_0"/>
      <w:bookmarkStart w:id="293" w:name="Tc_Y9Voz6sMvkWACLWGkvd4Eg_29_0"/>
      <w:bookmarkStart w:id="294" w:name="Tc_JyRjEstfQ06awfUbe65bdw_28_0"/>
      <w:bookmarkStart w:id="295" w:name="Tc_hRJh8rL9h0qDUmifYZTo2A_27_0"/>
      <w:bookmarkStart w:id="296" w:name="Tc_s1QOBibWyEmsWXcBE2MlUg_26_0"/>
      <w:bookmarkStart w:id="297" w:name="Tc_eaSPUscUX0GzqOsAVKf7fA_25_0"/>
      <w:bookmarkStart w:id="298" w:name="Tc_BH3NW7vU4kORdj0FdNx5Ag_24_0"/>
      <w:bookmarkStart w:id="299" w:name="Tc_fVkg3znNAkS_C3HGe5Bqyg_23_0"/>
      <w:bookmarkStart w:id="300" w:name="Tc_QRhUEpa7vkm1zjk8c_M9-w_21_0"/>
      <w:bookmarkStart w:id="301" w:name="Tc_bJm1oo5Ze0qxTl2Tdpf9Ww_20_0"/>
      <w:bookmarkStart w:id="302" w:name="Tc_mwOJlod2xUa7FhjtfaqmYg_19_0"/>
      <w:bookmarkStart w:id="303" w:name="Tc_r3dGoNdWvkGOKLndYDUqRQ_18_0"/>
      <w:bookmarkStart w:id="304" w:name="Tc_3KP1a0AmhU-XmcYPsHQZ1w_17_0"/>
      <w:bookmarkStart w:id="305" w:name="Tc_71mKjJesDEm8RC27DSNnWA_16_0"/>
      <w:bookmarkStart w:id="306" w:name="Tc_YJ743zGKmk6ChGD59G9HfA_15_0"/>
      <w:bookmarkStart w:id="307" w:name="Tc_O0wXGRP0I0qZfHWA1DnY1g_14_0"/>
      <w:bookmarkStart w:id="308" w:name="Tc_qDTVq5N1o02hykMKl1s1ag_13_0"/>
      <w:bookmarkStart w:id="309" w:name="Tc_WMI9bMlz8EiAhAPOCtumUA_12_0"/>
      <w:bookmarkStart w:id="310" w:name="Tc_e1zPhaXhQEm_a7a-KoYzJg_11_3"/>
      <w:bookmarkStart w:id="311" w:name="Tc_Y75Ek2IwrUi_VgbmyVMkew_11_0"/>
      <w:bookmarkStart w:id="312" w:name="Tc_5Hr9rahqL0eVHy-nicGcYQ_10_0"/>
      <w:bookmarkStart w:id="313" w:name="Tc_4YbrEePUI0qzClO-m9xj5Q_9_0"/>
      <w:bookmarkStart w:id="314" w:name="Tc_WzeXuyuBeEmOnUW94gYgXQ_8_0"/>
      <w:bookmarkStart w:id="315" w:name="Tc_x6LvIkB1LkmkFFNFhu5U6g_7_0"/>
      <w:bookmarkStart w:id="316" w:name="Tc_3OxZ66lI5UWmjddmW_PZKw_6_0"/>
      <w:bookmarkStart w:id="317" w:name="Tc_aRC-xeN3WkKRPdQDujNKfQ_5_0"/>
      <w:bookmarkStart w:id="318" w:name="Tc_7d-TA5bfj0CAw6-AwZ6kOA_4_5"/>
      <w:bookmarkStart w:id="319" w:name="Tc_rhaFGoV3TU22EAsyxS1UwQ_4_2"/>
      <w:bookmarkStart w:id="320" w:name="Tc_BVQ2U5YXFEGyrx51z35fTQ_4_0"/>
      <w:bookmarkStart w:id="321" w:name="Tc_1g9Ws4qQsU-AyvvoJWgGRw_3_0"/>
      <w:bookmarkStart w:id="322" w:name="Tc_hQxbGEH5tEmdz89uI9v6QA_2_5"/>
      <w:bookmarkStart w:id="323" w:name="Tc_Plb8vzvr3kOvIfkc9ltMNg_2_2"/>
      <w:bookmarkStart w:id="324" w:name="Tc_Slu23iCR_EuJfwOElFtT0g_2_0"/>
      <w:bookmarkStart w:id="325" w:name="Tc_saAyU_YsEUGuyIVf2XH6bg_1_2"/>
      <w:bookmarkStart w:id="326" w:name="_dcb652cd_b01d_4c77_8295_5774b4278ea0"/>
      <w:bookmarkStart w:id="327" w:name="Tc_GK3PrGT_J0yKlCJZWe2rZw_53_5"/>
      <w:bookmarkStart w:id="328" w:name="Tc_9RgD4MnfokWXf-JdQlHX7w_53_2"/>
      <w:bookmarkStart w:id="329" w:name="Tc_wezPU0ASgUK2J9CiaI2bgg_53_0"/>
      <w:bookmarkStart w:id="330" w:name="Tc_NGy6oiQYuUGP5lS59XIA1Q_52_5"/>
      <w:bookmarkStart w:id="331" w:name="Tc_T0MbvbH5qEaTCJ5m2MN2eg_52_2"/>
      <w:bookmarkStart w:id="332" w:name="Tc_2IVi38UXsUu6i87HrxfYOw_52_0"/>
      <w:bookmarkStart w:id="333" w:name="Tc_RoO0avVg70O9A5TIVm2WXw_51_0"/>
      <w:bookmarkStart w:id="334" w:name="Tc_gNLiF6_mw0SWHmmadDiCuA_49_5"/>
      <w:bookmarkStart w:id="335" w:name="Tc_6koZt0b3ZUK4zcpawHNJ0w_49_2"/>
      <w:bookmarkStart w:id="336" w:name="Tc_v-UyTQU3P0-C2ogI_uB9Bg_49_0"/>
      <w:bookmarkStart w:id="337" w:name="Tc_kv8PQyQoCUC4ne6LHO4row_48_5"/>
      <w:bookmarkStart w:id="338" w:name="Tc_eAhzj8TYdU25QOHtRUJPPw_48_2"/>
      <w:bookmarkStart w:id="339" w:name="Tc_SN5olgg_VkuOMQfW9YnY6w_48_0"/>
      <w:bookmarkStart w:id="340" w:name="Tc_IjzpqBhfykGHbuGpx0zWRw_47_0"/>
      <w:bookmarkStart w:id="341" w:name="Tc_Vd1yAR7DCEqYq3C4Ij-nCA_45_5"/>
      <w:bookmarkStart w:id="342" w:name="Tc_QqzPW84CREWxGhtUa83ASg_45_2"/>
      <w:bookmarkStart w:id="343" w:name="Tc_6nr1uh4VoECfey-1y5Rcvg_45_0"/>
      <w:bookmarkStart w:id="344" w:name="Tc_PRy-hP1buEWvClOtXL_cOA_44_3"/>
      <w:bookmarkStart w:id="345" w:name="Tc_wdNsCJoLME2yBRDNAN-FsQ_44_0"/>
      <w:bookmarkStart w:id="346" w:name="Tc_LfqXI_aCHkefUJ-_zAV-ag_43_5"/>
      <w:bookmarkStart w:id="347" w:name="Tc_fcA9YpOocEiuNrESHTVblQ_43_2"/>
      <w:bookmarkStart w:id="348" w:name="Tc_6mZB0BQxMkm9dfv5LqrIlg_43_0"/>
      <w:bookmarkStart w:id="349" w:name="Tc_l5NCsh_Znka4tCt7InLDAA_42_0"/>
      <w:bookmarkStart w:id="350" w:name="Tc_FodLWdEbgEusDGOHFMD6xA_40_5"/>
      <w:bookmarkStart w:id="351" w:name="Tc_lzRzBJ4jKkqsA3Nk4LsNcQ_40_2"/>
      <w:bookmarkStart w:id="352" w:name="Tc_fha5Zh_MHEy6illLkorcGg_40_0"/>
      <w:bookmarkStart w:id="353" w:name="Tc_uOFEerSLd0ulz_SGS0L5QQ_39_0"/>
      <w:bookmarkStart w:id="354" w:name="Tc_Sbr7y1uLEkGZyHgeSczkqA_38_0"/>
      <w:bookmarkStart w:id="355" w:name="Tc_iVzqZnWeAECWV46rlDSviQ_36_0"/>
      <w:bookmarkStart w:id="356" w:name="Tc_SHryn5eQIkmHqO3BpczZxg_35_0"/>
      <w:bookmarkStart w:id="357" w:name="Tc_m76Lu9nUqEOdR--vwSnhNg_34_0"/>
      <w:bookmarkStart w:id="358" w:name="Tc_KVABAa5220eGBjW-0yp6qw_33_0"/>
      <w:bookmarkStart w:id="359" w:name="Tc_nLDskkvoZUanN2Z_ZulDeg_32_0"/>
      <w:bookmarkStart w:id="360" w:name="Tc_3-xKvBl3rEuzTQH5ArcIWw_31_0"/>
      <w:bookmarkStart w:id="361" w:name="Tc_Y9Voz6sMvkWACLWGkvd4Eg_29_0"/>
      <w:bookmarkStart w:id="362" w:name="Tc_JyRjEstfQ06awfUbe65bdw_28_0"/>
      <w:bookmarkStart w:id="363" w:name="Tc_hRJh8rL9h0qDUmifYZTo2A_27_0"/>
      <w:bookmarkStart w:id="364" w:name="Tc_s1QOBibWyEmsWXcBE2MlUg_26_0"/>
      <w:bookmarkStart w:id="365" w:name="Tc_eaSPUscUX0GzqOsAVKf7fA_25_0"/>
      <w:bookmarkStart w:id="366" w:name="Tc_BH3NW7vU4kORdj0FdNx5Ag_24_0"/>
      <w:bookmarkStart w:id="367" w:name="Tc_fVkg3znNAkS_C3HGe5Bqyg_23_0"/>
      <w:bookmarkStart w:id="368" w:name="Tc_QRhUEpa7vkm1zjk8c_M9-w_21_0"/>
      <w:bookmarkStart w:id="369" w:name="Tc_bJm1oo5Ze0qxTl2Tdpf9Ww_20_0"/>
      <w:bookmarkStart w:id="370" w:name="Tc_mwOJlod2xUa7FhjtfaqmYg_19_0"/>
      <w:bookmarkStart w:id="371" w:name="Tc_r3dGoNdWvkGOKLndYDUqRQ_18_0"/>
      <w:bookmarkStart w:id="372" w:name="Tc_3KP1a0AmhU-XmcYPsHQZ1w_17_0"/>
      <w:bookmarkStart w:id="373" w:name="Tc_71mKjJesDEm8RC27DSNnWA_16_0"/>
      <w:bookmarkStart w:id="374" w:name="Tc_YJ743zGKmk6ChGD59G9HfA_15_0"/>
      <w:bookmarkStart w:id="375" w:name="Tc_O0wXGRP0I0qZfHWA1DnY1g_14_0"/>
      <w:bookmarkStart w:id="376" w:name="Tc_qDTVq5N1o02hykMKl1s1ag_13_0"/>
      <w:bookmarkStart w:id="377" w:name="Tc_WMI9bMlz8EiAhAPOCtumUA_12_0"/>
      <w:bookmarkStart w:id="378" w:name="Tc_e1zPhaXhQEm_a7a-KoYzJg_11_3"/>
      <w:bookmarkStart w:id="379" w:name="Tc_Y75Ek2IwrUi_VgbmyVMkew_11_0"/>
      <w:bookmarkStart w:id="380" w:name="Tc_5Hr9rahqL0eVHy-nicGcYQ_10_0"/>
      <w:bookmarkStart w:id="381" w:name="Tc_4YbrEePUI0qzClO-m9xj5Q_9_0"/>
      <w:bookmarkStart w:id="382" w:name="Tc_WzeXuyuBeEmOnUW94gYgXQ_8_0"/>
      <w:bookmarkStart w:id="383" w:name="Tc_x6LvIkB1LkmkFFNFhu5U6g_7_0"/>
      <w:bookmarkStart w:id="384" w:name="Tc_3OxZ66lI5UWmjddmW_PZKw_6_0"/>
      <w:bookmarkStart w:id="385" w:name="Tc_aRC-xeN3WkKRPdQDujNKfQ_5_0"/>
      <w:bookmarkStart w:id="386" w:name="Tc_7d-TA5bfj0CAw6-AwZ6kOA_4_5"/>
      <w:bookmarkStart w:id="387" w:name="Tc_rhaFGoV3TU22EAsyxS1UwQ_4_2"/>
      <w:bookmarkStart w:id="388" w:name="Tc_BVQ2U5YXFEGyrx51z35fTQ_4_0"/>
      <w:bookmarkStart w:id="389" w:name="Tc_1g9Ws4qQsU-AyvvoJWgGRw_3_0"/>
      <w:bookmarkStart w:id="390" w:name="Tc_hQxbGEH5tEmdz89uI9v6QA_2_5"/>
      <w:bookmarkStart w:id="391" w:name="Tc_Plb8vzvr3kOvIfkc9ltMNg_2_2"/>
      <w:bookmarkStart w:id="392" w:name="Tc_Slu23iCR_EuJfwOElFtT0g_2_0"/>
      <w:bookmarkStart w:id="393" w:name="Tc_saAyU_YsEUGuyIVf2XH6bg_1_2"/>
      <w:bookmarkStart w:id="394" w:name="_dcb652cd_b01d_4c77_8295_5774b4278ea0"/>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tbl>
      <w:tblPr>
        <w:tblW w:w="8692" w:type="dxa"/>
        <w:jc w:val="left"/>
        <w:tblInd w:w="0" w:type="dxa"/>
        <w:tblLayout w:type="fixed"/>
        <w:tblCellMar>
          <w:top w:w="0" w:type="dxa"/>
          <w:left w:w="0" w:type="dxa"/>
          <w:bottom w:w="0" w:type="dxa"/>
          <w:right w:w="0" w:type="dxa"/>
        </w:tblCellMar>
      </w:tblPr>
      <w:tblGrid>
        <w:gridCol w:w="5881"/>
        <w:gridCol w:w="326"/>
        <w:gridCol w:w="209"/>
        <w:gridCol w:w="674"/>
        <w:gridCol w:w="348"/>
        <w:gridCol w:w="209"/>
        <w:gridCol w:w="674"/>
        <w:gridCol w:w="371"/>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734435" cy="175260"/>
                      <wp:effectExtent l="0" t="0" r="0" b="0"/>
                      <wp:wrapNone/>
                      <wp:docPr id="21" name="Frame21"/>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2715" cy="175260"/>
                      <wp:effectExtent l="0" t="0" r="0" b="0"/>
                      <wp:wrapNone/>
                      <wp:docPr id="23" name="Frame23"/>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27990" cy="175260"/>
                      <wp:effectExtent l="0" t="0" r="0" b="0"/>
                      <wp:wrapNone/>
                      <wp:docPr id="24" name="Frame24"/>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20980" cy="175260"/>
                      <wp:effectExtent l="0" t="0" r="0" b="0"/>
                      <wp:wrapNone/>
                      <wp:docPr id="25" name="Frame25"/>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2715" cy="175260"/>
                      <wp:effectExtent l="0" t="0" r="0" b="0"/>
                      <wp:wrapNone/>
                      <wp:docPr id="26" name="Frame26"/>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27990" cy="175260"/>
                      <wp:effectExtent l="0" t="0" r="0" b="0"/>
                      <wp:wrapNone/>
                      <wp:docPr id="27" name="Frame27"/>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35585" cy="175260"/>
                      <wp:effectExtent l="0" t="0" r="0" b="0"/>
                      <wp:wrapNone/>
                      <wp:docPr id="28" name="Frame2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8" w:type="dxa"/>
            <w:tcBorders/>
            <w:vAlign w:val="center"/>
          </w:tcPr>
          <w:p>
            <w:pPr>
              <w:pStyle w:val="TableContents"/>
              <w:bidi w:val="0"/>
              <w:spacing w:before="0" w:after="0"/>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left"/>
              <w:rPr/>
            </w:pPr>
            <w:r>
              <w:rPr/>
              <w:t>    </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167.0</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Reconciling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81.8</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operating lease right of 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66.9</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from SSAT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from SSAT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amortization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accruals and other liabilities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assets and liabilities,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194.6</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Vessel construction expenditures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(104.1)</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(excluding vessel construction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(71.4)</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disposal of property and equipment, net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interest deposited into the Capital Construction Fund</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(109.1)</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Withdrawals from Capital Construction Fund</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(183.4)</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of debt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Matson common stock</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(160.4)</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(120.1)</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withholding related to net share settlements of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(218.9)</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(179.1)</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(207.7)</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266.8</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End of the Period</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170.6</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Reconciliation of Cash, Cash Equivalents and Restricted Cash, End of the Period:</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Cash and Cash Equivalents, and Restricted Cash, End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 net of capitalized interest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payments (refunds), net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included in accounts payable, accruals and other liabilities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95" w:name="_d7953563_4ca6_40b6_a9df_e752a86abe73"/>
      <w:bookmarkEnd w:id="395"/>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396" w:name="StatementsofShareholdersEquity"/>
      <w:bookmarkEnd w:id="396"/>
      <w:r>
        <w:rPr>
          <w:rFonts w:ascii="Times New Roman;Times;serif" w:hAnsi="Times New Roman;Times;serif"/>
          <w:b/>
          <w:sz w:val="20"/>
        </w:rPr>
        <w:t>Condensed Consolidated Statements of Shareholders’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97" w:name="Tc_IpltVxtHXUG602arqROnpg_19_16"/>
      <w:bookmarkStart w:id="398" w:name="Tc_h7lsIFM0qUqjG_NViw_ZSg_19_13"/>
      <w:bookmarkStart w:id="399" w:name="Tc_FkK60D5DZkOrEdqQTfvf0w_19_10"/>
      <w:bookmarkStart w:id="400" w:name="Tc_V-X0vxUcBUy7rGKjOakxHQ_19_7"/>
      <w:bookmarkStart w:id="401" w:name="Tc_l4RmAS-88UOgY1dYDZPAeQ_19_4"/>
      <w:bookmarkStart w:id="402" w:name="Tc_V0L859GtPEugkVmdlWnHGA_19_0"/>
      <w:bookmarkStart w:id="403" w:name="Tc_bAB8ni2XVUeXY5lUi1fl3Q_18_11"/>
      <w:bookmarkStart w:id="404" w:name="Tc_wUU1ohcoCk2DLdMtArnxLw_18_8"/>
      <w:bookmarkStart w:id="405" w:name="Tc_7LiXiNCk7UGCDC9-8Nmj2A_18_5"/>
      <w:bookmarkStart w:id="406" w:name="Tc_Uwvqi5URZ0S35J0p8ERh0w_18_2"/>
      <w:bookmarkStart w:id="407" w:name="Tc_E3R4yyNEXkGPaz0JbPzBGg_18_0"/>
      <w:bookmarkStart w:id="408" w:name="Tc_IJHIsHrLn0KVVICC8BvM1w_17_11"/>
      <w:bookmarkStart w:id="409" w:name="Tc_HUzV4FfJqk-BdL-e2dx67g_17_0"/>
      <w:bookmarkStart w:id="410" w:name="Tc_X-k7Fdne6k-gIZBmVcA08A_16_14"/>
      <w:bookmarkStart w:id="411" w:name="Tc_7dcrB3XQqEWhzByuoaisiA_16_11"/>
      <w:bookmarkStart w:id="412" w:name="Tc_rtmKMXnKWUOu_nj8sYc3ww_16_5"/>
      <w:bookmarkStart w:id="413" w:name="Tc_vn8YjVx6RkKTK-8Pi8qH2A_16_0"/>
      <w:bookmarkStart w:id="414" w:name="Tc_xZubKUMdKE6W-PsfF-Hd0A_15_14"/>
      <w:bookmarkStart w:id="415" w:name="Tc_icMIDtDhKUimHk3ttdDjYw_15_11"/>
      <w:bookmarkStart w:id="416" w:name="Tc_HUP5HAvm7EaD5F2LTcN2Nw_15_5"/>
      <w:bookmarkStart w:id="417" w:name="Tc_KpD9T-4sKEy36VeXIMfUSg_15_2"/>
      <w:bookmarkStart w:id="418" w:name="Tc_MZYPs2THUUifHyF3xQUJtg_15_0"/>
      <w:bookmarkStart w:id="419" w:name="Tc_QM54l5hroE65MIMijSTalQ_14_14"/>
      <w:bookmarkStart w:id="420" w:name="Tc_iO_QT_t7o0auaUzuLrNjyA_14_8"/>
      <w:bookmarkStart w:id="421" w:name="Tc_LirR99N9n0e8oYtbUQSv6g_14_5"/>
      <w:bookmarkStart w:id="422" w:name="Tc_6juG5YLy2Ue7ufA_2L6-YQ_14_2"/>
      <w:bookmarkStart w:id="423" w:name="Tc_dXmz96YyLUaJHmxru6hSQA_14_0"/>
      <w:bookmarkStart w:id="424" w:name="Tc_uWw_AKUaj0ipqmZokxraig_13_11"/>
      <w:bookmarkStart w:id="425" w:name="Tc_SN9xAkm8JkuqsZ4gP_hbnA_13_8"/>
      <w:bookmarkStart w:id="426" w:name="Tc_9lSrXW-4hEuVHOuBTk4DQQ_13_5"/>
      <w:bookmarkStart w:id="427" w:name="Tc_Ha1sEVFz9ECXXVrMOYLgNw_13_2"/>
      <w:bookmarkStart w:id="428" w:name="Tc_FChBc7unyUigAhigO5-jWg_13_0"/>
      <w:bookmarkStart w:id="429" w:name="Tc_bSFw8R30okuYUnOZtTCe9Q_12_0"/>
      <w:bookmarkStart w:id="430" w:name="Tc_37MlVQejPUOdiEd8q7PRAA_11_11"/>
      <w:bookmarkStart w:id="431" w:name="Tc_c9lOkrsG1ECBkHVEtuQ5Aw_11_8"/>
      <w:bookmarkStart w:id="432" w:name="Tc_KBD61OK8YUq8glMwZbAwjA_11_5"/>
      <w:bookmarkStart w:id="433" w:name="Tc_y7f9AfiCQkOQ864B0YxeMQ_11_2"/>
      <w:bookmarkStart w:id="434" w:name="Tc_1ZUNoo2mM0WH25nflOahNw_11_0"/>
      <w:bookmarkStart w:id="435" w:name="Tc_Q96uraB8c0KD5NdsvyFBlw_10_11"/>
      <w:bookmarkStart w:id="436" w:name="Tc__8qGq_su2kC7AJ-Jsp1ETg_10_0"/>
      <w:bookmarkStart w:id="437" w:name="Tc_bAWqHOqejEakz4dlxBzKWA_9_14"/>
      <w:bookmarkStart w:id="438" w:name="Tc_AWIeayAoP0WVlqZxM1QlJw_9_11"/>
      <w:bookmarkStart w:id="439" w:name="Tc_Bfx8O2cT50mSguyJ7OXENA_9_0"/>
      <w:bookmarkStart w:id="440" w:name="Tc_AwECaTVV40-bPD9Rml7eVA_8_14"/>
      <w:bookmarkStart w:id="441" w:name="Tc_LZXDD06ISkSZvuepyO0LWQ_8_11"/>
      <w:bookmarkStart w:id="442" w:name="Tc__6XMCo0sA0aRD_UKuBpuXg_8_5"/>
      <w:bookmarkStart w:id="443" w:name="Tc_qSXtMlElXUGX7T7GZ4dE_A_8_2"/>
      <w:bookmarkStart w:id="444" w:name="Tc_bCeKftJLwUO-G1euo_rFxA_8_0"/>
      <w:bookmarkStart w:id="445" w:name="Tc_eKAzJg_nHUKn4xVpB6kWiA_7_14"/>
      <w:bookmarkStart w:id="446" w:name="Tc_BVnl82k4P0ulJ5HtHLv_LA_7_8"/>
      <w:bookmarkStart w:id="447" w:name="Tc_e3YRUGDcFkOZWTLTA0jIjg_7_5"/>
      <w:bookmarkStart w:id="448" w:name="Tc_ETATWgUdbU67ksnNPekMKg_7_2"/>
      <w:bookmarkStart w:id="449" w:name="Tc_KlaGJ0LkvkWZCEyxtzTMaw_7_0"/>
      <w:bookmarkStart w:id="450" w:name="Tc_YBbJBxo3J0m9NtmX0mxuMg_6_11"/>
      <w:bookmarkStart w:id="451" w:name="Tc_lh2_cWbx70miHvpt9FBApg_6_8"/>
      <w:bookmarkStart w:id="452" w:name="Tc_6aoQR9rO80ieWBe584Juew_6_5"/>
      <w:bookmarkStart w:id="453" w:name="Tc_lPv44O_eNkCI_IGHtYKuOA_6_2"/>
      <w:bookmarkStart w:id="454" w:name="Tc_ozVstJt980uAJpHyXShB-w_6_0"/>
      <w:bookmarkStart w:id="455" w:name="Tc_oPU8IdB5t02E2QrgDrMO7Q_5_16"/>
      <w:bookmarkStart w:id="456" w:name="Tc_fBS5SpC8K0u_0lVy4jW_LQ_5_13"/>
      <w:bookmarkStart w:id="457" w:name="Tc_xGEF5YpeWEe4_U63v7phzw_5_10"/>
      <w:bookmarkStart w:id="458" w:name="Tc_ZjI2tVyFaE-a0gexbp_1zQ_5_7"/>
      <w:bookmarkStart w:id="459" w:name="Tc_skuaBgrXD0myboK3TzLrtg_5_4"/>
      <w:bookmarkStart w:id="460" w:name="Tc_Xe4C5yZ_WkCaQ_ii1y9haQ_5_0"/>
      <w:bookmarkStart w:id="461" w:name="Tc_CcTJWKg3m0yptrlhAFrcDg_4_16"/>
      <w:bookmarkStart w:id="462" w:name="Tc_qzklAH3B5UCKHAVQQ8xtVQ_4_13"/>
      <w:bookmarkStart w:id="463" w:name="Tc_OpPpVCzDgkqvrWwy6jTDWg_4_10"/>
      <w:bookmarkStart w:id="464" w:name="Tc_JHCUqkf8U0-7_H1a2T7akQ_4_7"/>
      <w:bookmarkStart w:id="465" w:name="Tc_cf6qc80UOU-81WMbzNQZIg_4_4"/>
      <w:bookmarkStart w:id="466" w:name="Tc_ZkO95tMtC0up4ItVeF8eMg_4_2"/>
      <w:bookmarkStart w:id="467" w:name="Tc_IyobEluWwEul9NIj7lPwEw_4_0"/>
      <w:bookmarkStart w:id="468" w:name="Tc_pjmJQf_AoUS4GmG1uHuk-A_3_13"/>
      <w:bookmarkStart w:id="469" w:name="Tc_8hXv_NKKK0e_cKQBopj8dA_3_10"/>
      <w:bookmarkStart w:id="470" w:name="Tc_q65DQVUyXUKdx53NNylWaA_3_7"/>
      <w:bookmarkStart w:id="471" w:name="Tc_kPqJwJPLzECo3faMnEsSAQ_3_4"/>
      <w:bookmarkStart w:id="472" w:name="Tc_yusQ8gdWk0iuJV0KjulfMg_2_10"/>
      <w:bookmarkStart w:id="473" w:name="Tc_b2bP9cfoxE-YGo6qX07fZQ_2_7"/>
      <w:bookmarkStart w:id="474" w:name="Tc_J6z7-1PEEkOSAcIYMiPPbA_2_2"/>
      <w:bookmarkStart w:id="475" w:name="Tc_9yp9SNyVjkmZz05xYOQT_A_1_10"/>
      <w:bookmarkStart w:id="476" w:name="_84d7cc09_d41a_43f0_b3da_141481ad90f8"/>
      <w:bookmarkStart w:id="477" w:name="Tc_IpltVxtHXUG602arqROnpg_19_16"/>
      <w:bookmarkStart w:id="478" w:name="Tc_h7lsIFM0qUqjG_NViw_ZSg_19_13"/>
      <w:bookmarkStart w:id="479" w:name="Tc_FkK60D5DZkOrEdqQTfvf0w_19_10"/>
      <w:bookmarkStart w:id="480" w:name="Tc_V-X0vxUcBUy7rGKjOakxHQ_19_7"/>
      <w:bookmarkStart w:id="481" w:name="Tc_l4RmAS-88UOgY1dYDZPAeQ_19_4"/>
      <w:bookmarkStart w:id="482" w:name="Tc_V0L859GtPEugkVmdlWnHGA_19_0"/>
      <w:bookmarkStart w:id="483" w:name="Tc_bAB8ni2XVUeXY5lUi1fl3Q_18_11"/>
      <w:bookmarkStart w:id="484" w:name="Tc_wUU1ohcoCk2DLdMtArnxLw_18_8"/>
      <w:bookmarkStart w:id="485" w:name="Tc_7LiXiNCk7UGCDC9-8Nmj2A_18_5"/>
      <w:bookmarkStart w:id="486" w:name="Tc_Uwvqi5URZ0S35J0p8ERh0w_18_2"/>
      <w:bookmarkStart w:id="487" w:name="Tc_E3R4yyNEXkGPaz0JbPzBGg_18_0"/>
      <w:bookmarkStart w:id="488" w:name="Tc_IJHIsHrLn0KVVICC8BvM1w_17_11"/>
      <w:bookmarkStart w:id="489" w:name="Tc_HUzV4FfJqk-BdL-e2dx67g_17_0"/>
      <w:bookmarkStart w:id="490" w:name="Tc_X-k7Fdne6k-gIZBmVcA08A_16_14"/>
      <w:bookmarkStart w:id="491" w:name="Tc_7dcrB3XQqEWhzByuoaisiA_16_11"/>
      <w:bookmarkStart w:id="492" w:name="Tc_rtmKMXnKWUOu_nj8sYc3ww_16_5"/>
      <w:bookmarkStart w:id="493" w:name="Tc_vn8YjVx6RkKTK-8Pi8qH2A_16_0"/>
      <w:bookmarkStart w:id="494" w:name="Tc_xZubKUMdKE6W-PsfF-Hd0A_15_14"/>
      <w:bookmarkStart w:id="495" w:name="Tc_icMIDtDhKUimHk3ttdDjYw_15_11"/>
      <w:bookmarkStart w:id="496" w:name="Tc_HUP5HAvm7EaD5F2LTcN2Nw_15_5"/>
      <w:bookmarkStart w:id="497" w:name="Tc_KpD9T-4sKEy36VeXIMfUSg_15_2"/>
      <w:bookmarkStart w:id="498" w:name="Tc_MZYPs2THUUifHyF3xQUJtg_15_0"/>
      <w:bookmarkStart w:id="499" w:name="Tc_QM54l5hroE65MIMijSTalQ_14_14"/>
      <w:bookmarkStart w:id="500" w:name="Tc_iO_QT_t7o0auaUzuLrNjyA_14_8"/>
      <w:bookmarkStart w:id="501" w:name="Tc_LirR99N9n0e8oYtbUQSv6g_14_5"/>
      <w:bookmarkStart w:id="502" w:name="Tc_6juG5YLy2Ue7ufA_2L6-YQ_14_2"/>
      <w:bookmarkStart w:id="503" w:name="Tc_dXmz96YyLUaJHmxru6hSQA_14_0"/>
      <w:bookmarkStart w:id="504" w:name="Tc_uWw_AKUaj0ipqmZokxraig_13_11"/>
      <w:bookmarkStart w:id="505" w:name="Tc_SN9xAkm8JkuqsZ4gP_hbnA_13_8"/>
      <w:bookmarkStart w:id="506" w:name="Tc_9lSrXW-4hEuVHOuBTk4DQQ_13_5"/>
      <w:bookmarkStart w:id="507" w:name="Tc_Ha1sEVFz9ECXXVrMOYLgNw_13_2"/>
      <w:bookmarkStart w:id="508" w:name="Tc_FChBc7unyUigAhigO5-jWg_13_0"/>
      <w:bookmarkStart w:id="509" w:name="Tc_bSFw8R30okuYUnOZtTCe9Q_12_0"/>
      <w:bookmarkStart w:id="510" w:name="Tc_37MlVQejPUOdiEd8q7PRAA_11_11"/>
      <w:bookmarkStart w:id="511" w:name="Tc_c9lOkrsG1ECBkHVEtuQ5Aw_11_8"/>
      <w:bookmarkStart w:id="512" w:name="Tc_KBD61OK8YUq8glMwZbAwjA_11_5"/>
      <w:bookmarkStart w:id="513" w:name="Tc_y7f9AfiCQkOQ864B0YxeMQ_11_2"/>
      <w:bookmarkStart w:id="514" w:name="Tc_1ZUNoo2mM0WH25nflOahNw_11_0"/>
      <w:bookmarkStart w:id="515" w:name="Tc_Q96uraB8c0KD5NdsvyFBlw_10_11"/>
      <w:bookmarkStart w:id="516" w:name="Tc__8qGq_su2kC7AJ-Jsp1ETg_10_0"/>
      <w:bookmarkStart w:id="517" w:name="Tc_bAWqHOqejEakz4dlxBzKWA_9_14"/>
      <w:bookmarkStart w:id="518" w:name="Tc_AWIeayAoP0WVlqZxM1QlJw_9_11"/>
      <w:bookmarkStart w:id="519" w:name="Tc_Bfx8O2cT50mSguyJ7OXENA_9_0"/>
      <w:bookmarkStart w:id="520" w:name="Tc_AwECaTVV40-bPD9Rml7eVA_8_14"/>
      <w:bookmarkStart w:id="521" w:name="Tc_LZXDD06ISkSZvuepyO0LWQ_8_11"/>
      <w:bookmarkStart w:id="522" w:name="Tc__6XMCo0sA0aRD_UKuBpuXg_8_5"/>
      <w:bookmarkStart w:id="523" w:name="Tc_qSXtMlElXUGX7T7GZ4dE_A_8_2"/>
      <w:bookmarkStart w:id="524" w:name="Tc_bCeKftJLwUO-G1euo_rFxA_8_0"/>
      <w:bookmarkStart w:id="525" w:name="Tc_eKAzJg_nHUKn4xVpB6kWiA_7_14"/>
      <w:bookmarkStart w:id="526" w:name="Tc_BVnl82k4P0ulJ5HtHLv_LA_7_8"/>
      <w:bookmarkStart w:id="527" w:name="Tc_e3YRUGDcFkOZWTLTA0jIjg_7_5"/>
      <w:bookmarkStart w:id="528" w:name="Tc_ETATWgUdbU67ksnNPekMKg_7_2"/>
      <w:bookmarkStart w:id="529" w:name="Tc_KlaGJ0LkvkWZCEyxtzTMaw_7_0"/>
      <w:bookmarkStart w:id="530" w:name="Tc_YBbJBxo3J0m9NtmX0mxuMg_6_11"/>
      <w:bookmarkStart w:id="531" w:name="Tc_lh2_cWbx70miHvpt9FBApg_6_8"/>
      <w:bookmarkStart w:id="532" w:name="Tc_6aoQR9rO80ieWBe584Juew_6_5"/>
      <w:bookmarkStart w:id="533" w:name="Tc_lPv44O_eNkCI_IGHtYKuOA_6_2"/>
      <w:bookmarkStart w:id="534" w:name="Tc_ozVstJt980uAJpHyXShB-w_6_0"/>
      <w:bookmarkStart w:id="535" w:name="Tc_oPU8IdB5t02E2QrgDrMO7Q_5_16"/>
      <w:bookmarkStart w:id="536" w:name="Tc_fBS5SpC8K0u_0lVy4jW_LQ_5_13"/>
      <w:bookmarkStart w:id="537" w:name="Tc_xGEF5YpeWEe4_U63v7phzw_5_10"/>
      <w:bookmarkStart w:id="538" w:name="Tc_ZjI2tVyFaE-a0gexbp_1zQ_5_7"/>
      <w:bookmarkStart w:id="539" w:name="Tc_skuaBgrXD0myboK3TzLrtg_5_4"/>
      <w:bookmarkStart w:id="540" w:name="Tc_Xe4C5yZ_WkCaQ_ii1y9haQ_5_0"/>
      <w:bookmarkStart w:id="541" w:name="Tc_CcTJWKg3m0yptrlhAFrcDg_4_16"/>
      <w:bookmarkStart w:id="542" w:name="Tc_qzklAH3B5UCKHAVQQ8xtVQ_4_13"/>
      <w:bookmarkStart w:id="543" w:name="Tc_OpPpVCzDgkqvrWwy6jTDWg_4_10"/>
      <w:bookmarkStart w:id="544" w:name="Tc_JHCUqkf8U0-7_H1a2T7akQ_4_7"/>
      <w:bookmarkStart w:id="545" w:name="Tc_cf6qc80UOU-81WMbzNQZIg_4_4"/>
      <w:bookmarkStart w:id="546" w:name="Tc_ZkO95tMtC0up4ItVeF8eMg_4_2"/>
      <w:bookmarkStart w:id="547" w:name="Tc_IyobEluWwEul9NIj7lPwEw_4_0"/>
      <w:bookmarkStart w:id="548" w:name="Tc_pjmJQf_AoUS4GmG1uHuk-A_3_13"/>
      <w:bookmarkStart w:id="549" w:name="Tc_8hXv_NKKK0e_cKQBopj8dA_3_10"/>
      <w:bookmarkStart w:id="550" w:name="Tc_q65DQVUyXUKdx53NNylWaA_3_7"/>
      <w:bookmarkStart w:id="551" w:name="Tc_kPqJwJPLzECo3faMnEsSAQ_3_4"/>
      <w:bookmarkStart w:id="552" w:name="Tc_yusQ8gdWk0iuJV0KjulfMg_2_10"/>
      <w:bookmarkStart w:id="553" w:name="Tc_b2bP9cfoxE-YGo6qX07fZQ_2_7"/>
      <w:bookmarkStart w:id="554" w:name="Tc_J6z7-1PEEkOSAcIYMiPPbA_2_2"/>
      <w:bookmarkStart w:id="555" w:name="Tc_9yp9SNyVjkmZz05xYOQT_A_1_10"/>
      <w:bookmarkStart w:id="556" w:name="_84d7cc09_d41a_43f0_b3da_141481ad90f8"/>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tbl>
      <w:tblPr>
        <w:tblW w:w="10205" w:type="dxa"/>
        <w:jc w:val="left"/>
        <w:tblInd w:w="0" w:type="dxa"/>
        <w:tblLayout w:type="fixed"/>
        <w:tblCellMar>
          <w:top w:w="0" w:type="dxa"/>
          <w:left w:w="0" w:type="dxa"/>
          <w:bottom w:w="0" w:type="dxa"/>
          <w:right w:w="0" w:type="dxa"/>
        </w:tblCellMar>
      </w:tblPr>
      <w:tblGrid>
        <w:gridCol w:w="3272"/>
        <w:gridCol w:w="326"/>
        <w:gridCol w:w="511"/>
        <w:gridCol w:w="326"/>
        <w:gridCol w:w="211"/>
        <w:gridCol w:w="474"/>
        <w:gridCol w:w="326"/>
        <w:gridCol w:w="211"/>
        <w:gridCol w:w="579"/>
        <w:gridCol w:w="326"/>
        <w:gridCol w:w="339"/>
        <w:gridCol w:w="682"/>
        <w:gridCol w:w="326"/>
        <w:gridCol w:w="211"/>
        <w:gridCol w:w="721"/>
        <w:gridCol w:w="326"/>
        <w:gridCol w:w="211"/>
        <w:gridCol w:w="827"/>
      </w:tblGrid>
      <w:tr>
        <w:trPr/>
        <w:tc>
          <w:tcPr>
            <w:tcW w:w="3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7720" cy="175260"/>
                      <wp:effectExtent l="0" t="0" r="0" b="0"/>
                      <wp:wrapNone/>
                      <wp:docPr id="29" name="Frame29"/>
                      <a:graphic xmlns:a="http://schemas.openxmlformats.org/drawingml/2006/main">
                        <a:graphicData uri="http://schemas.microsoft.com/office/word/2010/wordprocessingShape">
                          <wps:wsp>
                            <wps:cNvSpPr txBox="1"/>
                            <wps:spPr>
                              <a:xfrm>
                                <a:off x="0" y="0"/>
                                <a:ext cx="207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24485" cy="175260"/>
                      <wp:effectExtent l="0" t="0" r="0" b="0"/>
                      <wp:wrapNone/>
                      <wp:docPr id="31" name="Frame3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00990" cy="175260"/>
                      <wp:effectExtent l="0" t="0" r="0" b="0"/>
                      <wp:wrapNone/>
                      <wp:docPr id="34" name="Frame34"/>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67665" cy="175260"/>
                      <wp:effectExtent l="0" t="0" r="0" b="0"/>
                      <wp:wrapNone/>
                      <wp:docPr id="37" name="Frame37"/>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5265" cy="175260"/>
                      <wp:effectExtent l="0" t="0" r="0" b="0"/>
                      <wp:wrapNone/>
                      <wp:docPr id="39" name="Frame39"/>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33070" cy="175260"/>
                      <wp:effectExtent l="0" t="0" r="0" b="0"/>
                      <wp:wrapNone/>
                      <wp:docPr id="40" name="Frame40"/>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57835" cy="175260"/>
                      <wp:effectExtent l="0" t="0" r="0" b="0"/>
                      <wp:wrapNone/>
                      <wp:docPr id="43" name="Frame4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25145" cy="175260"/>
                      <wp:effectExtent l="0" t="0" r="0" b="0"/>
                      <wp:wrapNone/>
                      <wp:docPr id="46" name="Frame46"/>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Stated</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4"/>
              </w:rPr>
              <w:t>Retained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center"/>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0"/>
              <w:ind w:left="0" w:right="0" w:hanging="0"/>
              <w:jc w:val="center"/>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Total      </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296.7</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2,652.0</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72.3</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(69.2)</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($0.34</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March 31, 2025</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284.7</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2,633.2</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94.7</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(93.7)</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($0.34</w:t>
            </w:r>
            <w:r>
              <w:rPr>
                <w:rFonts w:ascii="Times New Roman;Times;serif" w:hAnsi="Times New Roman;Times;serif"/>
                <w:sz w:val="18"/>
              </w:rPr>
              <w:t xml:space="preserve"> </w:t>
            </w:r>
            <w:r>
              <w:rPr>
                <w:rFonts w:ascii="Times New Roman;Times;serif" w:hAnsi="Times New Roman;Times;serif"/>
                <w:sz w:val="19"/>
              </w:rPr>
              <w:t>per share and $0.36</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June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288.0</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2,618.0</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57" w:name="Tc_Eqbv0L9jz0C1Qjwtc8iylw_20_16"/>
      <w:bookmarkStart w:id="558" w:name="Tc_jsCBzBYLvUGTJtFbgGsgFg_20_13"/>
      <w:bookmarkStart w:id="559" w:name="Tc_x_h_i3OdYUaEO9l14z_IeA_20_10"/>
      <w:bookmarkStart w:id="560" w:name="Tc_Ov-kbFDYHUC9SsMvFMNzQQ_20_7"/>
      <w:bookmarkStart w:id="561" w:name="Tc_jc0_8VsEvkyMzeG1ANIUDw_20_4"/>
      <w:bookmarkStart w:id="562" w:name="Tc_VhMOh3rWqE6JRvjOQbdPWA_20_0"/>
      <w:bookmarkStart w:id="563" w:name="Tc_oGhglJaVtU2Hz5srt-7L-g_19_11"/>
      <w:bookmarkStart w:id="564" w:name="Tc_b8vwTZ1sAk69PYDm9IzQHA_19_8"/>
      <w:bookmarkStart w:id="565" w:name="Tc_J33xeNQhkE2Uo09UlMD2Iw_19_5"/>
      <w:bookmarkStart w:id="566" w:name="Tc_p5VozglGE0uI9cD8ZH4pvQ_19_2"/>
      <w:bookmarkStart w:id="567" w:name="Tc_kowbsiAnLkizdJPLPQ0Qlg_19_0"/>
      <w:bookmarkStart w:id="568" w:name="Tc_sDNxVqugBES8Q5lWadHbtQ_18_11"/>
      <w:bookmarkStart w:id="569" w:name="Tc_lxFcPuFsJUqrAa3_j3InVA_18_0"/>
      <w:bookmarkStart w:id="570" w:name="Tc_NEit17xuRUqgRKRmH551rQ_17_14"/>
      <w:bookmarkStart w:id="571" w:name="Tc_NoPs7RpwYEGuhEqIJ56dVg_17_11"/>
      <w:bookmarkStart w:id="572" w:name="Tc_mIYpG-ylbkWBRuBZWPJ_iQ_17_5"/>
      <w:bookmarkStart w:id="573" w:name="Tc_m2Umf98qSUiKnQdGAXA2lA_17_2"/>
      <w:bookmarkStart w:id="574" w:name="Tc_kfTtxsb1EkCv2BiDmolyZA_17_0"/>
      <w:bookmarkStart w:id="575" w:name="Tc_YLrLE3UuKUWgtx5Qs991Dw_16_14"/>
      <w:bookmarkStart w:id="576" w:name="Tc_DPIfjejmMUOeH0QM7n6P_Q_16_11"/>
      <w:bookmarkStart w:id="577" w:name="Tc_2W0VoXFAiUeTWFqIAR6_5A_16_5"/>
      <w:bookmarkStart w:id="578" w:name="Tc__O0FsRmlmUW0N9TRnIn7hg_16_2"/>
      <w:bookmarkStart w:id="579" w:name="Tc_hdqFM_K0B0Cmyt2JNn_45Q_16_0"/>
      <w:bookmarkStart w:id="580" w:name="Tc_MHLoFKWTVEq1A6HxIHZdMw_15_14"/>
      <w:bookmarkStart w:id="581" w:name="Tc_qDK47wmI6UOwLV--UrTLeg_15_8"/>
      <w:bookmarkStart w:id="582" w:name="Tc_A8tesZVfbUKL325zG_BHNg_15_5"/>
      <w:bookmarkStart w:id="583" w:name="Tc_e3zfo2wQqkmGbasfbC7LQA_15_2"/>
      <w:bookmarkStart w:id="584" w:name="Tc_Y5ZHkTm9U06UqCZuB4n9rw_15_0"/>
      <w:bookmarkStart w:id="585" w:name="Tc_g6EYnk-MGUWekCwq_hQUhw_14_11"/>
      <w:bookmarkStart w:id="586" w:name="Tc_4KPtImYJtEemicb6X_MOig_14_8"/>
      <w:bookmarkStart w:id="587" w:name="Tc_Gr7EnHHuaUGSAVWpKcJFrA_14_5"/>
      <w:bookmarkStart w:id="588" w:name="Tc_Hbkg-anJa06rwQ47DmLwdQ_14_2"/>
      <w:bookmarkStart w:id="589" w:name="Tc_T1k49q8ur0CZbgOB2UHkew_14_0"/>
      <w:bookmarkStart w:id="590" w:name="Tc_mLHyE6PGsEuDx8fiIwO9gw_13_0"/>
      <w:bookmarkStart w:id="591" w:name="Tc_8luMBBwQWk26tYfSxgDRPA_12_11"/>
      <w:bookmarkStart w:id="592" w:name="Tc_brkoP84Z5kyYGRF6WurhrA_12_8"/>
      <w:bookmarkStart w:id="593" w:name="Tc_Wql2R9LqcUKIpB0mTe88Fg_12_5"/>
      <w:bookmarkStart w:id="594" w:name="Tc_rH7mA4oObE2jQWD_iUt_LA_12_2"/>
      <w:bookmarkStart w:id="595" w:name="Tc_YMf0sQXeAU6WLTxdQw9-Tg_12_0"/>
      <w:bookmarkStart w:id="596" w:name="Tc_gzrHsQ0hc0iEC6ngkIndgQ_11_11"/>
      <w:bookmarkStart w:id="597" w:name="Tc_SJLhlUSSnUms2k6_xouFPQ_11_8"/>
      <w:bookmarkStart w:id="598" w:name="Tc_Q9qu9jB4hU6zAbbQUkVXhQ_11_5"/>
      <w:bookmarkStart w:id="599" w:name="Tc_h7tkoa4WgkSriYWSgJQHmA_11_2"/>
      <w:bookmarkStart w:id="600" w:name="Tc_TJeqZaE9hE6JyCrb_ZlCOQ_11_0"/>
      <w:bookmarkStart w:id="601" w:name="Tc_2YKYQxaDL0CjD97JcoRqQQ_10_11"/>
      <w:bookmarkStart w:id="602" w:name="Tc_MfcE-xMkmUuEuEjWxcOFuQ_10_0"/>
      <w:bookmarkStart w:id="603" w:name="Tc_v1oXQuDgtUaMbPPEVT5T0Q_9_14"/>
      <w:bookmarkStart w:id="604" w:name="Tc_NzsG8JUdfkiG80drldmhSQ_9_11"/>
      <w:bookmarkStart w:id="605" w:name="Tc_4cTOdcBDt06HHKi03IYoGA_9_0"/>
      <w:bookmarkStart w:id="606" w:name="Tc_dseQghqlsEumKY00lwLYQA_8_14"/>
      <w:bookmarkStart w:id="607" w:name="Tc_Mwl753xfDk2GsH8ItzZC7g_8_11"/>
      <w:bookmarkStart w:id="608" w:name="Tc_0Sfm1giyk02xIXysS5qSEA_8_5"/>
      <w:bookmarkStart w:id="609" w:name="Tc_3mmnXwcVeEaMwguqJiFXLw_8_2"/>
      <w:bookmarkStart w:id="610" w:name="Tc_5LsMntEbqkaUFiiNloGYDA_8_0"/>
      <w:bookmarkStart w:id="611" w:name="Tc_rMIh-KyU50yKllzhaET9zw_7_14"/>
      <w:bookmarkStart w:id="612" w:name="Tc_Gd6nqUuVa0mHRkBlNWjb4w_7_8"/>
      <w:bookmarkStart w:id="613" w:name="Tc_0TD_jNJLV0ewCUDU6vN-uw_7_5"/>
      <w:bookmarkStart w:id="614" w:name="Tc_x7AlhJt6J0aqfsL6B8JO6w_7_2"/>
      <w:bookmarkStart w:id="615" w:name="Tc_iOtucuVvQkulkOvEPJmOpA_7_0"/>
      <w:bookmarkStart w:id="616" w:name="Tc_sArjKs6hAE63E3RJN_3Tpg_6_11"/>
      <w:bookmarkStart w:id="617" w:name="Tc_astetdMnf0qn96A_uDeZwA_6_8"/>
      <w:bookmarkStart w:id="618" w:name="Tc_0NcBD6viwk-T2nd8ydXTkw_6_5"/>
      <w:bookmarkStart w:id="619" w:name="Tc_AJQOZ7c0dEKyyY2pEkJjsw_6_2"/>
      <w:bookmarkStart w:id="620" w:name="Tc_QYkg-a1P60eM2OTv4sOekA_6_0"/>
      <w:bookmarkStart w:id="621" w:name="Tc_kfShg0y1_Ei-ero2_t-lDA_5_16"/>
      <w:bookmarkStart w:id="622" w:name="Tc_dYxTIKIN2UOkZNe8ggCHmg_5_13"/>
      <w:bookmarkStart w:id="623" w:name="Tc_XqSLAe_4x0OrUZkEjmIAaw_5_10"/>
      <w:bookmarkStart w:id="624" w:name="Tc_09Yh-PCfDE6IHmJL_XAumA_5_7"/>
      <w:bookmarkStart w:id="625" w:name="Tc_nVgwVZ4nBkajSf_zmkC0lw_5_4"/>
      <w:bookmarkStart w:id="626" w:name="Tc_Gr0yr8MDLk6RP_e4qPMfBA_5_0"/>
      <w:bookmarkStart w:id="627" w:name="Tc_FEPQvzOIH0OgURmIAHFMmA_4_16"/>
      <w:bookmarkStart w:id="628" w:name="Tc_qBpd1exrX0azTigYsS_vwA_4_13"/>
      <w:bookmarkStart w:id="629" w:name="Tc_CuwMCEPma0aaXQoHUmg-sg_4_10"/>
      <w:bookmarkStart w:id="630" w:name="Tc_-pPBxqhJ006GphKwrV6MMg_4_7"/>
      <w:bookmarkStart w:id="631" w:name="Tc_pNCMxrcIEUuCmAF8Ng277w_4_4"/>
      <w:bookmarkStart w:id="632" w:name="Tc_-SSYtFmYPUWx5lT4YDGi6g_4_2"/>
      <w:bookmarkStart w:id="633" w:name="Tc_vVqSf_0ukkKjYr_QzvCY8g_4_0"/>
      <w:bookmarkStart w:id="634" w:name="Tc_7_kr8sBPtEeIU3cjNni9dA_3_13"/>
      <w:bookmarkStart w:id="635" w:name="Tc_76rIKvbLg0uDbQ0a1H8Ucw_3_10"/>
      <w:bookmarkStart w:id="636" w:name="Tc_Zt7jGYJKCk-UoL2GzgY_oQ_3_7"/>
      <w:bookmarkStart w:id="637" w:name="Tc_wfsG2GfPkk65nzBviWFzFg_3_4"/>
      <w:bookmarkStart w:id="638" w:name="Tc_PFR6wIbXvEuAfxLdtpE5PQ_2_10"/>
      <w:bookmarkStart w:id="639" w:name="Tc_hFJTH8ULtUikLDojwr-KDA_2_7"/>
      <w:bookmarkStart w:id="640" w:name="Tc_BhJsvjswO06BirRjPbIM5Q_2_2"/>
      <w:bookmarkStart w:id="641" w:name="Tc_AKk3DBwFekWnm_dZcrnmdw_1_10"/>
      <w:bookmarkStart w:id="642" w:name="_b37e51c8_13fe_428b_9ad1_1dea474ee262"/>
      <w:bookmarkStart w:id="643" w:name="Tc_Eqbv0L9jz0C1Qjwtc8iylw_20_16"/>
      <w:bookmarkStart w:id="644" w:name="Tc_jsCBzBYLvUGTJtFbgGsgFg_20_13"/>
      <w:bookmarkStart w:id="645" w:name="Tc_x_h_i3OdYUaEO9l14z_IeA_20_10"/>
      <w:bookmarkStart w:id="646" w:name="Tc_Ov-kbFDYHUC9SsMvFMNzQQ_20_7"/>
      <w:bookmarkStart w:id="647" w:name="Tc_jc0_8VsEvkyMzeG1ANIUDw_20_4"/>
      <w:bookmarkStart w:id="648" w:name="Tc_VhMOh3rWqE6JRvjOQbdPWA_20_0"/>
      <w:bookmarkStart w:id="649" w:name="Tc_oGhglJaVtU2Hz5srt-7L-g_19_11"/>
      <w:bookmarkStart w:id="650" w:name="Tc_b8vwTZ1sAk69PYDm9IzQHA_19_8"/>
      <w:bookmarkStart w:id="651" w:name="Tc_J33xeNQhkE2Uo09UlMD2Iw_19_5"/>
      <w:bookmarkStart w:id="652" w:name="Tc_p5VozglGE0uI9cD8ZH4pvQ_19_2"/>
      <w:bookmarkStart w:id="653" w:name="Tc_kowbsiAnLkizdJPLPQ0Qlg_19_0"/>
      <w:bookmarkStart w:id="654" w:name="Tc_sDNxVqugBES8Q5lWadHbtQ_18_11"/>
      <w:bookmarkStart w:id="655" w:name="Tc_lxFcPuFsJUqrAa3_j3InVA_18_0"/>
      <w:bookmarkStart w:id="656" w:name="Tc_NEit17xuRUqgRKRmH551rQ_17_14"/>
      <w:bookmarkStart w:id="657" w:name="Tc_NoPs7RpwYEGuhEqIJ56dVg_17_11"/>
      <w:bookmarkStart w:id="658" w:name="Tc_mIYpG-ylbkWBRuBZWPJ_iQ_17_5"/>
      <w:bookmarkStart w:id="659" w:name="Tc_m2Umf98qSUiKnQdGAXA2lA_17_2"/>
      <w:bookmarkStart w:id="660" w:name="Tc_kfTtxsb1EkCv2BiDmolyZA_17_0"/>
      <w:bookmarkStart w:id="661" w:name="Tc_YLrLE3UuKUWgtx5Qs991Dw_16_14"/>
      <w:bookmarkStart w:id="662" w:name="Tc_DPIfjejmMUOeH0QM7n6P_Q_16_11"/>
      <w:bookmarkStart w:id="663" w:name="Tc_2W0VoXFAiUeTWFqIAR6_5A_16_5"/>
      <w:bookmarkStart w:id="664" w:name="Tc__O0FsRmlmUW0N9TRnIn7hg_16_2"/>
      <w:bookmarkStart w:id="665" w:name="Tc_hdqFM_K0B0Cmyt2JNn_45Q_16_0"/>
      <w:bookmarkStart w:id="666" w:name="Tc_MHLoFKWTVEq1A6HxIHZdMw_15_14"/>
      <w:bookmarkStart w:id="667" w:name="Tc_qDK47wmI6UOwLV--UrTLeg_15_8"/>
      <w:bookmarkStart w:id="668" w:name="Tc_A8tesZVfbUKL325zG_BHNg_15_5"/>
      <w:bookmarkStart w:id="669" w:name="Tc_e3zfo2wQqkmGbasfbC7LQA_15_2"/>
      <w:bookmarkStart w:id="670" w:name="Tc_Y5ZHkTm9U06UqCZuB4n9rw_15_0"/>
      <w:bookmarkStart w:id="671" w:name="Tc_g6EYnk-MGUWekCwq_hQUhw_14_11"/>
      <w:bookmarkStart w:id="672" w:name="Tc_4KPtImYJtEemicb6X_MOig_14_8"/>
      <w:bookmarkStart w:id="673" w:name="Tc_Gr7EnHHuaUGSAVWpKcJFrA_14_5"/>
      <w:bookmarkStart w:id="674" w:name="Tc_Hbkg-anJa06rwQ47DmLwdQ_14_2"/>
      <w:bookmarkStart w:id="675" w:name="Tc_T1k49q8ur0CZbgOB2UHkew_14_0"/>
      <w:bookmarkStart w:id="676" w:name="Tc_mLHyE6PGsEuDx8fiIwO9gw_13_0"/>
      <w:bookmarkStart w:id="677" w:name="Tc_8luMBBwQWk26tYfSxgDRPA_12_11"/>
      <w:bookmarkStart w:id="678" w:name="Tc_brkoP84Z5kyYGRF6WurhrA_12_8"/>
      <w:bookmarkStart w:id="679" w:name="Tc_Wql2R9LqcUKIpB0mTe88Fg_12_5"/>
      <w:bookmarkStart w:id="680" w:name="Tc_rH7mA4oObE2jQWD_iUt_LA_12_2"/>
      <w:bookmarkStart w:id="681" w:name="Tc_YMf0sQXeAU6WLTxdQw9-Tg_12_0"/>
      <w:bookmarkStart w:id="682" w:name="Tc_gzrHsQ0hc0iEC6ngkIndgQ_11_11"/>
      <w:bookmarkStart w:id="683" w:name="Tc_SJLhlUSSnUms2k6_xouFPQ_11_8"/>
      <w:bookmarkStart w:id="684" w:name="Tc_Q9qu9jB4hU6zAbbQUkVXhQ_11_5"/>
      <w:bookmarkStart w:id="685" w:name="Tc_h7tkoa4WgkSriYWSgJQHmA_11_2"/>
      <w:bookmarkStart w:id="686" w:name="Tc_TJeqZaE9hE6JyCrb_ZlCOQ_11_0"/>
      <w:bookmarkStart w:id="687" w:name="Tc_2YKYQxaDL0CjD97JcoRqQQ_10_11"/>
      <w:bookmarkStart w:id="688" w:name="Tc_MfcE-xMkmUuEuEjWxcOFuQ_10_0"/>
      <w:bookmarkStart w:id="689" w:name="Tc_v1oXQuDgtUaMbPPEVT5T0Q_9_14"/>
      <w:bookmarkStart w:id="690" w:name="Tc_NzsG8JUdfkiG80drldmhSQ_9_11"/>
      <w:bookmarkStart w:id="691" w:name="Tc_4cTOdcBDt06HHKi03IYoGA_9_0"/>
      <w:bookmarkStart w:id="692" w:name="Tc_dseQghqlsEumKY00lwLYQA_8_14"/>
      <w:bookmarkStart w:id="693" w:name="Tc_Mwl753xfDk2GsH8ItzZC7g_8_11"/>
      <w:bookmarkStart w:id="694" w:name="Tc_0Sfm1giyk02xIXysS5qSEA_8_5"/>
      <w:bookmarkStart w:id="695" w:name="Tc_3mmnXwcVeEaMwguqJiFXLw_8_2"/>
      <w:bookmarkStart w:id="696" w:name="Tc_5LsMntEbqkaUFiiNloGYDA_8_0"/>
      <w:bookmarkStart w:id="697" w:name="Tc_rMIh-KyU50yKllzhaET9zw_7_14"/>
      <w:bookmarkStart w:id="698" w:name="Tc_Gd6nqUuVa0mHRkBlNWjb4w_7_8"/>
      <w:bookmarkStart w:id="699" w:name="Tc_0TD_jNJLV0ewCUDU6vN-uw_7_5"/>
      <w:bookmarkStart w:id="700" w:name="Tc_x7AlhJt6J0aqfsL6B8JO6w_7_2"/>
      <w:bookmarkStart w:id="701" w:name="Tc_iOtucuVvQkulkOvEPJmOpA_7_0"/>
      <w:bookmarkStart w:id="702" w:name="Tc_sArjKs6hAE63E3RJN_3Tpg_6_11"/>
      <w:bookmarkStart w:id="703" w:name="Tc_astetdMnf0qn96A_uDeZwA_6_8"/>
      <w:bookmarkStart w:id="704" w:name="Tc_0NcBD6viwk-T2nd8ydXTkw_6_5"/>
      <w:bookmarkStart w:id="705" w:name="Tc_AJQOZ7c0dEKyyY2pEkJjsw_6_2"/>
      <w:bookmarkStart w:id="706" w:name="Tc_QYkg-a1P60eM2OTv4sOekA_6_0"/>
      <w:bookmarkStart w:id="707" w:name="Tc_kfShg0y1_Ei-ero2_t-lDA_5_16"/>
      <w:bookmarkStart w:id="708" w:name="Tc_dYxTIKIN2UOkZNe8ggCHmg_5_13"/>
      <w:bookmarkStart w:id="709" w:name="Tc_XqSLAe_4x0OrUZkEjmIAaw_5_10"/>
      <w:bookmarkStart w:id="710" w:name="Tc_09Yh-PCfDE6IHmJL_XAumA_5_7"/>
      <w:bookmarkStart w:id="711" w:name="Tc_nVgwVZ4nBkajSf_zmkC0lw_5_4"/>
      <w:bookmarkStart w:id="712" w:name="Tc_Gr0yr8MDLk6RP_e4qPMfBA_5_0"/>
      <w:bookmarkStart w:id="713" w:name="Tc_FEPQvzOIH0OgURmIAHFMmA_4_16"/>
      <w:bookmarkStart w:id="714" w:name="Tc_qBpd1exrX0azTigYsS_vwA_4_13"/>
      <w:bookmarkStart w:id="715" w:name="Tc_CuwMCEPma0aaXQoHUmg-sg_4_10"/>
      <w:bookmarkStart w:id="716" w:name="Tc_-pPBxqhJ006GphKwrV6MMg_4_7"/>
      <w:bookmarkStart w:id="717" w:name="Tc_pNCMxrcIEUuCmAF8Ng277w_4_4"/>
      <w:bookmarkStart w:id="718" w:name="Tc_-SSYtFmYPUWx5lT4YDGi6g_4_2"/>
      <w:bookmarkStart w:id="719" w:name="Tc_vVqSf_0ukkKjYr_QzvCY8g_4_0"/>
      <w:bookmarkStart w:id="720" w:name="Tc_7_kr8sBPtEeIU3cjNni9dA_3_13"/>
      <w:bookmarkStart w:id="721" w:name="Tc_76rIKvbLg0uDbQ0a1H8Ucw_3_10"/>
      <w:bookmarkStart w:id="722" w:name="Tc_Zt7jGYJKCk-UoL2GzgY_oQ_3_7"/>
      <w:bookmarkStart w:id="723" w:name="Tc_wfsG2GfPkk65nzBviWFzFg_3_4"/>
      <w:bookmarkStart w:id="724" w:name="Tc_PFR6wIbXvEuAfxLdtpE5PQ_2_10"/>
      <w:bookmarkStart w:id="725" w:name="Tc_hFJTH8ULtUikLDojwr-KDA_2_7"/>
      <w:bookmarkStart w:id="726" w:name="Tc_BhJsvjswO06BirRjPbIM5Q_2_2"/>
      <w:bookmarkStart w:id="727" w:name="Tc_AKk3DBwFekWnm_dZcrnmdw_1_10"/>
      <w:bookmarkStart w:id="728" w:name="_b37e51c8_13fe_428b_9ad1_1dea474ee26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tbl>
      <w:tblPr>
        <w:tblW w:w="10205" w:type="dxa"/>
        <w:jc w:val="left"/>
        <w:tblInd w:w="0" w:type="dxa"/>
        <w:tblLayout w:type="fixed"/>
        <w:tblCellMar>
          <w:top w:w="0" w:type="dxa"/>
          <w:left w:w="0" w:type="dxa"/>
          <w:bottom w:w="0" w:type="dxa"/>
          <w:right w:w="0" w:type="dxa"/>
        </w:tblCellMar>
      </w:tblPr>
      <w:tblGrid>
        <w:gridCol w:w="3272"/>
        <w:gridCol w:w="326"/>
        <w:gridCol w:w="511"/>
        <w:gridCol w:w="326"/>
        <w:gridCol w:w="211"/>
        <w:gridCol w:w="474"/>
        <w:gridCol w:w="326"/>
        <w:gridCol w:w="211"/>
        <w:gridCol w:w="579"/>
        <w:gridCol w:w="326"/>
        <w:gridCol w:w="291"/>
        <w:gridCol w:w="730"/>
        <w:gridCol w:w="326"/>
        <w:gridCol w:w="211"/>
        <w:gridCol w:w="721"/>
        <w:gridCol w:w="326"/>
        <w:gridCol w:w="211"/>
        <w:gridCol w:w="827"/>
      </w:tblGrid>
      <w:tr>
        <w:trPr/>
        <w:tc>
          <w:tcPr>
            <w:tcW w:w="3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7720" cy="175260"/>
                      <wp:effectExtent l="0" t="0" r="0" b="0"/>
                      <wp:wrapNone/>
                      <wp:docPr id="47" name="Frame47"/>
                      <a:graphic xmlns:a="http://schemas.openxmlformats.org/drawingml/2006/main">
                        <a:graphicData uri="http://schemas.microsoft.com/office/word/2010/wordprocessingShape">
                          <wps:wsp>
                            <wps:cNvSpPr txBox="1"/>
                            <wps:spPr>
                              <a:xfrm>
                                <a:off x="0" y="0"/>
                                <a:ext cx="207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24485" cy="175260"/>
                      <wp:effectExtent l="0" t="0" r="0" b="0"/>
                      <wp:wrapNone/>
                      <wp:docPr id="49" name="Frame4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00990" cy="175260"/>
                      <wp:effectExtent l="0" t="0" r="0" b="0"/>
                      <wp:wrapNone/>
                      <wp:docPr id="52" name="Frame52"/>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67665" cy="175260"/>
                      <wp:effectExtent l="0" t="0" r="0" b="0"/>
                      <wp:wrapNone/>
                      <wp:docPr id="55" name="Frame55"/>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84785" cy="175260"/>
                      <wp:effectExtent l="0" t="0" r="0" b="0"/>
                      <wp:wrapNone/>
                      <wp:docPr id="57" name="Frame57"/>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63550" cy="175260"/>
                      <wp:effectExtent l="0" t="0" r="0" b="0"/>
                      <wp:wrapNone/>
                      <wp:docPr id="58" name="Frame58"/>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57835" cy="175260"/>
                      <wp:effectExtent l="0" t="0" r="0" b="0"/>
                      <wp:wrapNone/>
                      <wp:docPr id="61" name="Frame6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25145" cy="175260"/>
                      <wp:effectExtent l="0" t="0" r="0" b="0"/>
                      <wp:wrapNone/>
                      <wp:docPr id="64" name="Frame64"/>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Stated</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4"/>
              </w:rPr>
              <w:t>Retained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center"/>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0"/>
              <w:ind w:left="0" w:right="0" w:hanging="0"/>
              <w:jc w:val="center"/>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Total      </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293.4</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2,089.7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2,400.7</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36.1</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(48.9)</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 interest in SSAT (See Note 4)</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($0.32</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280.2</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2,077.8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2,373.8</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113.2</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(72.2)</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($0.32</w:t>
            </w:r>
            <w:r>
              <w:rPr>
                <w:rFonts w:ascii="Times New Roman;Times;serif" w:hAnsi="Times New Roman;Times;serif"/>
                <w:sz w:val="18"/>
              </w:rPr>
              <w:t xml:space="preserve"> </w:t>
            </w:r>
            <w:r>
              <w:rPr>
                <w:rFonts w:ascii="Times New Roman;Times;serif" w:hAnsi="Times New Roman;Times;serif"/>
                <w:sz w:val="19"/>
              </w:rPr>
              <w:t>per share and $0.34</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June 30, 2024</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284.7</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2,098.8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2,398.5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29" w:name="_ece589c6_74db_443a_8dbe_1bb0965dc96b"/>
      <w:bookmarkEnd w:id="729"/>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730" w:name="NOTESTOTHECONDENSEDCONSOLIDATEDFINANICAL"/>
      <w:bookmarkEnd w:id="730"/>
      <w:r>
        <w:rPr>
          <w:rFonts w:ascii="Times New Roman;Times;serif" w:hAnsi="Times New Roman;Times;serif"/>
          <w:b/>
          <w:sz w:val="20"/>
        </w:rPr>
        <w:t>NOTES TO THE CONDENSED CONSOLIDATED FINANICAL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DESCRIPTION OF THE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Inc., a holding company incorporated in the State of Hawaii, and its subsidiaries (“Matson” or the “Company”), is a leading provider of ocean transportation and logistics services. The Company consists of two segments, Ocean Transportation and Logistics.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Ocean Transportation:</w:t>
      </w:r>
      <w:r>
        <w:rPr>
          <w:rFonts w:ascii="Times New Roman;Times;serif" w:hAnsi="Times New Roman;Times;serif"/>
          <w:sz w:val="20"/>
        </w:rPr>
        <w:t xml:space="preserve"> Matson’s Ocean Transportation business is conducted through Matson Navigation Company, Inc. (“MatNav”),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which includes transshipment of cargo from other Asia origins, provides services to Okinawa, Japan and various islands in the South Pacific, and operates an international export service from Alaska to Asia. In addition, subsidiaries of MatNav provide stevedoring, refrigerated cargo services, inland transportation and other terminal services for MatNav on the Hawaiian islands of Oahu, Hawaii, Maui and Kauai, and in Alaska.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has a 35 percent ownership interest in SSA Terminals, LLC (“SSAT”), a joint venture between Matson Ventures, Inc., a wholly-owned subsidiary of MatNav, and SSA Ventures, Inc., a subsidiary of Carrix, Inc. SSAT currently provides terminal and stevedoring services to various carriers at eight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Logistics:</w:t>
      </w:r>
      <w:r>
        <w:rPr>
          <w:rFonts w:ascii="Times New Roman;Times;serif" w:hAnsi="Times New Roman;Times;serif"/>
          <w:sz w:val="20"/>
        </w:rPr>
        <w:t xml:space="preserve"> Matson’s Logistics business is conducted through Matson Logistics, Inc. (“Matson Logistics”), a wholly-owned 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purchase order management, booking services, and non-vessel operating common carrier (“NVOCC”) freight forwarding services (collectively, “Supply Chain Management” services).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GENERAL AND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Basis of Presentation:</w:t>
      </w:r>
      <w:r>
        <w:rPr>
          <w:rFonts w:ascii="Times New Roman;Times;serif" w:hAnsi="Times New Roman;Times;serif"/>
          <w:sz w:val="20"/>
        </w:rPr>
        <w:t xml:space="preserve"> The Condensed Consolidated Financial Statements are unaudited, and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should be read in conjunction with the Consolidated Financial Statements and notes thereto included in the Company’s Annual Report on Form 10-K for the year ended December 31, 2024, filed with the Securities and Exchange Commission (“SEC”) on February 28, 2025.</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31" w:name="Tc_Kh8am5O-HUafuShSp1YZeg_8_11"/>
      <w:bookmarkStart w:id="732" w:name="Tc_-DCKEtE__0mBZFpqVTPD0g_8_8"/>
      <w:bookmarkStart w:id="733" w:name="Tc_abPXZN-zQkmTcJSmYnsttQ_8_5"/>
      <w:bookmarkStart w:id="734" w:name="Tc_esdlMXHaKkucsrCWCb6JlA_8_2"/>
      <w:bookmarkStart w:id="735" w:name="Tc_sRA3FAPs10uFE6X405zA8w_8_0"/>
      <w:bookmarkStart w:id="736" w:name="Tc_tibfdwwrZkyjGm4bP1867w_7_9"/>
      <w:bookmarkStart w:id="737" w:name="Tc_YIRWzEN140Oe1fh9xr3DAQ_7_3"/>
      <w:bookmarkStart w:id="738" w:name="Tc_7_S04Nl5okiHxEXYS-Y-QA_7_0"/>
      <w:bookmarkStart w:id="739" w:name="Tc_dg7czwGvekS6SsjFaN3w5A_6_0"/>
      <w:bookmarkStart w:id="740" w:name="Tc_XIJOykDMAkiL_dHN7Njdaw_5_0"/>
      <w:bookmarkStart w:id="741" w:name="Tc_D8so7eJWEky-XDETtg1PEg_4_11"/>
      <w:bookmarkStart w:id="742" w:name="Tc_wlaIvmwdmEe969rQ__iNeg_4_8"/>
      <w:bookmarkStart w:id="743" w:name="Tc_sCixphz_sk2p1JuY37BNLQ_4_5"/>
      <w:bookmarkStart w:id="744" w:name="Tc_JIIYmqXmMEivROkmgjHAbQ_4_2"/>
      <w:bookmarkStart w:id="745" w:name="Tc_4m0D-wZEDEyngLZhjngDXg_4_0"/>
      <w:bookmarkStart w:id="746" w:name="Tc_ovGz6tJy-kWwzNTljIelaw_3_11"/>
      <w:bookmarkStart w:id="747" w:name="Tc_b_j8-1ISsEqZULhOZE6xqw_3_8"/>
      <w:bookmarkStart w:id="748" w:name="Tc_MBPUkxUb0kixiI2P3lBXHw_3_5"/>
      <w:bookmarkStart w:id="749" w:name="Tc_hW0F-i2wakOuJ-wuRHO3lw_3_2"/>
      <w:bookmarkStart w:id="750" w:name="Tc_f61SSvg1Mki2Wf4ZLBMVJA_3_0"/>
      <w:bookmarkStart w:id="751" w:name="Tc_PMDRLWkIEk-gqL4yeIML6g_2_8"/>
      <w:bookmarkStart w:id="752" w:name="Tc_ScrXMLjvp0SAXRsVbOW76w_2_2"/>
      <w:bookmarkStart w:id="753" w:name="Tc_ki87YmB80kyLq6YBn5l_ag_1_8"/>
      <w:bookmarkStart w:id="754" w:name="Tc_e5eL6rb5JEufYaBvGto0BA_1_2"/>
      <w:bookmarkStart w:id="755" w:name="_9c390c95_6a03_4dd1_88e9_a2cd103bb29e"/>
      <w:bookmarkStart w:id="756" w:name="Tc_QGh2M4EZWEaN1021UukUoA_8_5"/>
      <w:bookmarkStart w:id="757" w:name="Tc_mxh2vEjHlkquN6VdhtSxmA_8_2"/>
      <w:bookmarkStart w:id="758" w:name="Tc_Jy6LC5N5gUiBkPWR7ak-kg_8_0"/>
      <w:bookmarkStart w:id="759" w:name="Tc__4iFQu8QVUqX4_knYrnW2g_7_0"/>
      <w:bookmarkStart w:id="760" w:name="Tc_gPwogE5PWUC__4S3on83Zg_6_3"/>
      <w:bookmarkStart w:id="761" w:name="Tc_rFJEjd6hakin6hj5JComOw_6_0"/>
      <w:bookmarkStart w:id="762" w:name="Tc_zkZIpZFKt06U6i6uJzYIyA_5_0"/>
      <w:bookmarkStart w:id="763" w:name="Tc_SnQi_tLHk0K6Jr8hNVRV_w_4_0"/>
      <w:bookmarkStart w:id="764" w:name="Tc_gnJdC3bSPU2LbE6Jl9VTvQ_3_5"/>
      <w:bookmarkStart w:id="765" w:name="Tc_jBD1p24RG0mVmO7fjvKOIw_3_2"/>
      <w:bookmarkStart w:id="766" w:name="Tc_Oo4cpAN1cUuYpRZA9bqBWQ_3_0"/>
      <w:bookmarkStart w:id="767" w:name="Tc_TuYcANtG0EiDokd8opv64A_2_5"/>
      <w:bookmarkStart w:id="768" w:name="Tc_DB_uaEQp30mVmLPT7-5DCg_2_2"/>
      <w:bookmarkStart w:id="769" w:name="Tc_3PhVNy1eIEK3AuDXiIgFBw_2_0"/>
      <w:bookmarkStart w:id="770" w:name="Tc_bst-49OgD0WfjvPCz02RYw_1_5"/>
      <w:bookmarkStart w:id="771" w:name="Tc_emkjbFYvYEe0iLLGecQGyw_1_2"/>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r>
        <w:rPr>
          <w:rFonts w:ascii="Times New Roman;Times;serif" w:hAnsi="Times New Roman;Times;serif"/>
          <w:b/>
          <w:i/>
          <w:sz w:val="20"/>
        </w:rPr>
        <w:t>Fiscal Period:</w:t>
      </w:r>
      <w:r>
        <w:rPr>
          <w:rFonts w:ascii="Times New Roman;Times;serif" w:hAnsi="Times New Roman;Times;serif"/>
          <w:sz w:val="20"/>
        </w:rPr>
        <w:t xml:space="preserve"> The period end for Matson covered by this report is June 30, 2025. The period end for MatNav and its subsidiaries covered by this report is June 27,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Significant Accounting Policies:</w:t>
      </w:r>
      <w:r>
        <w:rPr>
          <w:rFonts w:ascii="Times New Roman;Times;serif" w:hAnsi="Times New Roman;Times;serif"/>
          <w:sz w:val="20"/>
        </w:rPr>
        <w:t xml:space="preserve"> The Company’s significant accounting policies are described in Note 2 to the Consolidated Financial Statements included in Part II, Item 8 of the Company’s Annual Report on Form 10-K for the year ended December 31,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Use of Estimates:</w:t>
      </w:r>
      <w:r>
        <w:rPr>
          <w:rFonts w:ascii="Times New Roman;Times;serif" w:hAnsi="Times New Roman;Times;serif"/>
          <w:sz w:val="20"/>
        </w:rPr>
        <w:t xml:space="preserve"> The preparation of the interim Condensed Consolidated Financial Statements in conformity with 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other receivables; legal contingencies; insurance reserves and other related liabilities; accrual estimates; pension and post-retirement estimates; multi-employer withdrawal liabilities; operating lease assets and liabilities; income (loss) from SSAT including estimates for impairment charges; and income taxes. Future results could be materially affected if actual results differ from these estimates and assumptions.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Prepaid Expenses and Other Assets:</w:t>
      </w:r>
      <w:r>
        <w:rPr>
          <w:rFonts w:ascii="Times New Roman;Times;serif" w:hAnsi="Times New Roman;Times;serif"/>
          <w:sz w:val="20"/>
        </w:rPr>
        <w:t xml:space="preserve"> Prepaid expenses and other assets consisted of the following at June 30, 2025 and December 31, 2024:</w:t>
      </w:r>
    </w:p>
    <w:p>
      <w:pPr>
        <w:pStyle w:val="TextBody"/>
        <w:bidi w:val="0"/>
        <w:spacing w:before="0" w:after="0"/>
        <w:ind w:left="0" w:right="0" w:hanging="0"/>
        <w:jc w:val="left"/>
        <w:rPr/>
      </w:pPr>
      <w:r>
        <w:rPr/>
        <w:t>​</w:t>
      </w:r>
    </w:p>
    <w:tbl>
      <w:tblPr>
        <w:tblW w:w="6893" w:type="dxa"/>
        <w:jc w:val="left"/>
        <w:tblInd w:w="0" w:type="dxa"/>
        <w:tblLayout w:type="fixed"/>
        <w:tblCellMar>
          <w:top w:w="0" w:type="dxa"/>
          <w:left w:w="0" w:type="dxa"/>
          <w:bottom w:w="0" w:type="dxa"/>
          <w:right w:w="0" w:type="dxa"/>
        </w:tblCellMar>
      </w:tblPr>
      <w:tblGrid>
        <w:gridCol w:w="4291"/>
        <w:gridCol w:w="326"/>
        <w:gridCol w:w="238"/>
        <w:gridCol w:w="527"/>
        <w:gridCol w:w="326"/>
        <w:gridCol w:w="319"/>
        <w:gridCol w:w="866"/>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724785" cy="175260"/>
                      <wp:effectExtent l="0" t="0" r="0" b="0"/>
                      <wp:wrapNone/>
                      <wp:docPr id="65" name="Frame65"/>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1130" cy="175260"/>
                      <wp:effectExtent l="0" t="0" r="0" b="0"/>
                      <wp:wrapNone/>
                      <wp:docPr id="67" name="Frame6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34645" cy="175260"/>
                      <wp:effectExtent l="0" t="0" r="0" b="0"/>
                      <wp:wrapNone/>
                      <wp:docPr id="68" name="Frame68"/>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2565" cy="175260"/>
                      <wp:effectExtent l="0" t="0" r="0" b="0"/>
                      <wp:wrapNone/>
                      <wp:docPr id="70" name="Frame7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49910" cy="175260"/>
                      <wp:effectExtent l="0" t="0" r="0" b="0"/>
                      <wp:wrapNone/>
                      <wp:docPr id="71" name="Frame71"/>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Prepaid Expenses and Other Assets (in millions)</w:t>
            </w:r>
          </w:p>
        </w:tc>
        <w:tc>
          <w:tcPr>
            <w:tcW w:w="326" w:type="dxa"/>
            <w:tcBorders/>
            <w:vAlign w:val="center"/>
          </w:tcPr>
          <w:p>
            <w:pPr>
              <w:pStyle w:val="TableContents"/>
              <w:bidi w:val="0"/>
              <w:spacing w:before="0" w:after="0"/>
              <w:ind w:left="0" w:right="0" w:hanging="0"/>
              <w:jc w:val="left"/>
              <w:rPr/>
            </w:pPr>
            <w:r>
              <w:rPr/>
              <w:t>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fuel</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 and insurance related receivables</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center"/>
              <w:rPr/>
            </w:pPr>
            <w:r>
              <w:rPr/>
              <w:t>​</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receivables, net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5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center"/>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Recognition of Revenues and Expenses:</w:t>
      </w:r>
      <w:r>
        <w:rPr>
          <w:rFonts w:ascii="Times New Roman;Times;serif" w:hAnsi="Times New Roman;Times;serif"/>
          <w:sz w:val="20"/>
        </w:rPr>
        <w:t xml:space="preserve"> Revenue in the Company’s Condensed Consolidated Financial Statements is presented net of elimination of intercompany transactions. The following is a description of the Company’s principal revenue generating activities by segment, and the Company’s revenue recognition policy for each activity for the periods presented:</w:t>
      </w:r>
    </w:p>
    <w:p>
      <w:pPr>
        <w:pStyle w:val="TextBody"/>
        <w:bidi w:val="0"/>
        <w:spacing w:before="0" w:after="0"/>
        <w:ind w:left="0" w:right="0" w:hanging="0"/>
        <w:jc w:val="left"/>
        <w:rPr/>
      </w:pPr>
      <w:r>
        <w:rPr/>
        <w:t>​</w:t>
      </w:r>
    </w:p>
    <w:tbl>
      <w:tblPr>
        <w:tblW w:w="7801" w:type="dxa"/>
        <w:jc w:val="left"/>
        <w:tblInd w:w="0" w:type="dxa"/>
        <w:tblLayout w:type="fixed"/>
        <w:tblCellMar>
          <w:top w:w="0" w:type="dxa"/>
          <w:left w:w="0" w:type="dxa"/>
          <w:bottom w:w="0" w:type="dxa"/>
          <w:right w:w="0" w:type="dxa"/>
        </w:tblCellMar>
      </w:tblPr>
      <w:tblGrid>
        <w:gridCol w:w="3361"/>
        <w:gridCol w:w="109"/>
        <w:gridCol w:w="211"/>
        <w:gridCol w:w="571"/>
        <w:gridCol w:w="326"/>
        <w:gridCol w:w="211"/>
        <w:gridCol w:w="571"/>
        <w:gridCol w:w="146"/>
        <w:gridCol w:w="211"/>
        <w:gridCol w:w="721"/>
        <w:gridCol w:w="326"/>
        <w:gridCol w:w="211"/>
        <w:gridCol w:w="82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34235" cy="175260"/>
                      <wp:effectExtent l="0" t="0" r="0" b="0"/>
                      <wp:wrapNone/>
                      <wp:docPr id="72" name="Frame72"/>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62585" cy="175260"/>
                      <wp:effectExtent l="0" t="0" r="0" b="0"/>
                      <wp:wrapNone/>
                      <wp:docPr id="75" name="Frame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62585" cy="175260"/>
                      <wp:effectExtent l="0" t="0" r="0" b="0"/>
                      <wp:wrapNone/>
                      <wp:docPr id="78" name="Frame7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92710" cy="175260"/>
                      <wp:effectExtent l="0" t="0" r="0" b="0"/>
                      <wp:wrapNone/>
                      <wp:docPr id="79" name="Frame7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57835" cy="175260"/>
                      <wp:effectExtent l="0" t="0" r="0" b="0"/>
                      <wp:wrapNone/>
                      <wp:docPr id="81" name="Frame8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24510" cy="175260"/>
                      <wp:effectExtent l="0" t="0" r="0" b="0"/>
                      <wp:wrapNone/>
                      <wp:docPr id="84" name="Frame8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22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 </w:t>
            </w:r>
          </w:p>
        </w:tc>
        <w:tc>
          <w:tcPr>
            <w:tcW w:w="22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Ocean Transportation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1,240.0</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and other related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Fuel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management and related services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1,268.9</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Ocean Transportation services revenue and fuel sales revenue categories which are denominated in foreign currencies. </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and other related services revenue is recognized as the services are performed. Related costs are recognized as incurred.</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Fuel sales revenue and related costs are recognized when the Company has completed delivery of the product to the customer in accordance with the terms and conditions of the contract.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management and related services revenue is recognized in proportion to the services completed. Related costs are recognized as incurred. In July 2024, the Company discontinued its vessel management and related services.</w:t>
            </w:r>
          </w:p>
        </w:tc>
      </w:tr>
    </w:tbl>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772" w:name="Tc_NKFYvD0Qi0KcmvQgywcrMg_7_11"/>
      <w:bookmarkStart w:id="773" w:name="Tc_qqN4_IJenEGMui2N3wXhzA_7_8"/>
      <w:bookmarkStart w:id="774" w:name="Tc_6S-5ZklXE0WdR3uZlI80SA_7_5"/>
      <w:bookmarkStart w:id="775" w:name="Tc_6OJnlVLKCE2x3JrM34yiCQ_7_2"/>
      <w:bookmarkStart w:id="776" w:name="Tc_Fwl2MvODNUGWx7zqz-W8RA_7_0"/>
      <w:bookmarkStart w:id="777" w:name="Tc_G-S1oEwYUEmxjIWjk4_EPg_6_0"/>
      <w:bookmarkStart w:id="778" w:name="Tc_m0yUuXp2H0m7FkBcOyufoA_5_0"/>
      <w:bookmarkStart w:id="779" w:name="Tc_5kUa4cxHFEeFd82Ws16zrw_4_11"/>
      <w:bookmarkStart w:id="780" w:name="Tc_x8US4ltnkEu6kRg2mbk1mw_4_8"/>
      <w:bookmarkStart w:id="781" w:name="Tc_2Bwv8AK8k02dOt3snjhi3w_4_5"/>
      <w:bookmarkStart w:id="782" w:name="Tc_mOreycu1l0GhVCr4BTKWLQ_4_2"/>
      <w:bookmarkStart w:id="783" w:name="Tc_JgZbllGql0K18GoQwBp20A_4_0"/>
      <w:bookmarkStart w:id="784" w:name="Tc_HCLYnRmKgEWwMY4jHN75FA_3_11"/>
      <w:bookmarkStart w:id="785" w:name="Tc_WVQ4mCwr00q-jbDnBb064Q_3_8"/>
      <w:bookmarkStart w:id="786" w:name="Tc_8f-BZ9ADrEiMi6Fa4OetdQ_3_5"/>
      <w:bookmarkStart w:id="787" w:name="Tc_JUgEQkpYrEK4yqrThV-TaA_3_2"/>
      <w:bookmarkStart w:id="788" w:name="Tc_fqwV_7GEXEu2_u5zGVNCDQ_3_0"/>
      <w:bookmarkStart w:id="789" w:name="Tc_qNHn50vHD0abKDZZkwCEXg_2_8"/>
      <w:bookmarkStart w:id="790" w:name="Tc_I59kXpoq0UaY6ZoqEAsSIA_2_2"/>
      <w:bookmarkStart w:id="791" w:name="Tc_JC105flXOkmGYBRnJgNW0A_1_8"/>
      <w:bookmarkStart w:id="792" w:name="Tc_9J0091Ad7kKoGKjgiHALOQ_1_2"/>
      <w:bookmarkStart w:id="793" w:name="_76ce7040_9d75_4809_bd50_999968a13d07"/>
      <w:bookmarkStart w:id="794" w:name="Tc_NKFYvD0Qi0KcmvQgywcrMg_7_11"/>
      <w:bookmarkStart w:id="795" w:name="Tc_qqN4_IJenEGMui2N3wXhzA_7_8"/>
      <w:bookmarkStart w:id="796" w:name="Tc_6S-5ZklXE0WdR3uZlI80SA_7_5"/>
      <w:bookmarkStart w:id="797" w:name="Tc_6OJnlVLKCE2x3JrM34yiCQ_7_2"/>
      <w:bookmarkStart w:id="798" w:name="Tc_Fwl2MvODNUGWx7zqz-W8RA_7_0"/>
      <w:bookmarkStart w:id="799" w:name="Tc_G-S1oEwYUEmxjIWjk4_EPg_6_0"/>
      <w:bookmarkStart w:id="800" w:name="Tc_m0yUuXp2H0m7FkBcOyufoA_5_0"/>
      <w:bookmarkStart w:id="801" w:name="Tc_5kUa4cxHFEeFd82Ws16zrw_4_11"/>
      <w:bookmarkStart w:id="802" w:name="Tc_x8US4ltnkEu6kRg2mbk1mw_4_8"/>
      <w:bookmarkStart w:id="803" w:name="Tc_2Bwv8AK8k02dOt3snjhi3w_4_5"/>
      <w:bookmarkStart w:id="804" w:name="Tc_mOreycu1l0GhVCr4BTKWLQ_4_2"/>
      <w:bookmarkStart w:id="805" w:name="Tc_JgZbllGql0K18GoQwBp20A_4_0"/>
      <w:bookmarkStart w:id="806" w:name="Tc_HCLYnRmKgEWwMY4jHN75FA_3_11"/>
      <w:bookmarkStart w:id="807" w:name="Tc_WVQ4mCwr00q-jbDnBb064Q_3_8"/>
      <w:bookmarkStart w:id="808" w:name="Tc_8f-BZ9ADrEiMi6Fa4OetdQ_3_5"/>
      <w:bookmarkStart w:id="809" w:name="Tc_JUgEQkpYrEK4yqrThV-TaA_3_2"/>
      <w:bookmarkStart w:id="810" w:name="Tc_fqwV_7GEXEu2_u5zGVNCDQ_3_0"/>
      <w:bookmarkStart w:id="811" w:name="Tc_qNHn50vHD0abKDZZkwCEXg_2_8"/>
      <w:bookmarkStart w:id="812" w:name="Tc_I59kXpoq0UaY6ZoqEAsSIA_2_2"/>
      <w:bookmarkStart w:id="813" w:name="Tc_JC105flXOkmGYBRnJgNW0A_1_8"/>
      <w:bookmarkStart w:id="814" w:name="Tc_9J0091Ad7kKoGKjgiHALOQ_1_2"/>
      <w:bookmarkStart w:id="815" w:name="_76ce7040_9d75_4809_bd50_999968a13d07"/>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tbl>
      <w:tblPr>
        <w:tblW w:w="8552" w:type="dxa"/>
        <w:jc w:val="left"/>
        <w:tblInd w:w="0" w:type="dxa"/>
        <w:tblLayout w:type="fixed"/>
        <w:tblCellMar>
          <w:top w:w="0" w:type="dxa"/>
          <w:left w:w="0" w:type="dxa"/>
          <w:bottom w:w="0" w:type="dxa"/>
          <w:right w:w="0" w:type="dxa"/>
        </w:tblCellMar>
      </w:tblPr>
      <w:tblGrid>
        <w:gridCol w:w="4846"/>
        <w:gridCol w:w="109"/>
        <w:gridCol w:w="211"/>
        <w:gridCol w:w="571"/>
        <w:gridCol w:w="109"/>
        <w:gridCol w:w="211"/>
        <w:gridCol w:w="571"/>
        <w:gridCol w:w="146"/>
        <w:gridCol w:w="211"/>
        <w:gridCol w:w="571"/>
        <w:gridCol w:w="109"/>
        <w:gridCol w:w="211"/>
        <w:gridCol w:w="676"/>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077210" cy="175260"/>
                      <wp:effectExtent l="0" t="0" r="0" b="0"/>
                      <wp:wrapNone/>
                      <wp:docPr id="85" name="Frame85"/>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62585" cy="175260"/>
                      <wp:effectExtent l="0" t="0" r="0" b="0"/>
                      <wp:wrapNone/>
                      <wp:docPr id="88" name="Frame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62585" cy="175260"/>
                      <wp:effectExtent l="0" t="0" r="0" b="0"/>
                      <wp:wrapNone/>
                      <wp:docPr id="91" name="Frame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2710" cy="175260"/>
                      <wp:effectExtent l="0" t="0" r="0" b="0"/>
                      <wp:wrapNone/>
                      <wp:docPr id="92" name="Frame9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62585" cy="175260"/>
                      <wp:effectExtent l="0" t="0" r="0" b="0"/>
                      <wp:wrapNone/>
                      <wp:docPr id="94" name="Frame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29260" cy="175260"/>
                      <wp:effectExtent l="0" t="0" r="0" b="0"/>
                      <wp:wrapNone/>
                      <wp:docPr id="97" name="Frame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17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 </w:t>
            </w:r>
          </w:p>
        </w:tc>
        <w:tc>
          <w:tcPr>
            <w:tcW w:w="17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Logistics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Brokerage and Freight Forwarding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266.6</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Warehousing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Management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300.6</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Transportation Brokerage and Freight Forwarding services revenue, and Supply Chain Management services revenue categories which are denominated in foreign currencies. </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Warehousing services revenue consist of amounts billed to customers for storage, handling, and value-added packaging of customer merchandise. Storage revenue is recognized in the month the service is provided to the customer. Storage related costs are recognized as incurred. Other Warehousing services revenue and related costs are recognized in proportion to the services performed.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Management and other services revenue, and related costs are recognized in proportion to the services performed.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general and administrative expenses in the Condensed Consolidated Statements of Income and Comprehensive Income.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Capitalized Interest:</w:t>
      </w:r>
      <w:r>
        <w:rPr>
          <w:rFonts w:ascii="Times New Roman;Times;serif" w:hAnsi="Times New Roman;Times;serif"/>
          <w:sz w:val="20"/>
        </w:rPr>
        <w:t xml:space="preserve"> The Company capitalizes interest costs during the period as the qualified assets are being readied for their intended use. The Company determined that vessel construction costs are considered qualifying assets for the purposes of capitalizing interest on these assets. The amount of capitalized interest is calculated based on the amount of expenditures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Condensed Consolidated Balance Sheets (see Note 5). The Company capitalized $1.0 million and $1.0 million of interest related to the construction of new vessels for the three months ended June 30, 2025 and 2024, and $2.1 million and $1.8 million for the six months ended June 30, 2025 and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Dividends:</w:t>
      </w:r>
      <w:r>
        <w:rPr>
          <w:rFonts w:ascii="Times New Roman;Times;serif" w:hAnsi="Times New Roman;Times;serif"/>
          <w:sz w:val="20"/>
        </w:rPr>
        <w:t xml:space="preserve"> The Company’s second quarter 2025 cash dividend of $0.34 per share was paid on June 5, 2025. On June 26, 2025, the Company’s Board of Directors declared a cash dividend of $0.36 per share payable on September 4, 2025 to shareholders of record on August 7,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three and six months ended June 30, 2025, the Company repurchased approximately 0.9 million and 1.4 million shares for a total cost of $93.7 million and $162.9 million, respectively. During the three and six months ended June 30, 2024, the Company repurchased approximately 0.6 million and 1.0 million shares for a total cost of $72.2 million and $121.1 million, respectively. As of June 30, 2025, the maximum number of remaining shares that may be repurchased under the Company’s share repurchase program was approximately 2.5 million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Income taxes:</w:t>
      </w:r>
      <w:r>
        <w:rPr>
          <w:rFonts w:ascii="Times New Roman;Times;serif" w:hAnsi="Times New Roman;Times;serif"/>
          <w:sz w:val="20"/>
        </w:rPr>
        <w:t xml:space="preserve"> On July 4, 2025, new legislation commonly referred to as the One Big Beautiful Bill Act (the “Act”) was signed into law. Among other things, the Act provides for numerous changes to existing tax law including extending or making permanent certain tax provisions of the Tax Cuts and Jobs Act of 2017 that were set to expire. Certain provisions of the Act are expected to impact the Company’s income taxes, including 100 percent bonus depreciation for qualified capital expenditures acquired and placed in service after January 19, 2025 and amendments to the foreign-derived intangible income (“FDII”) regime. Under Accounting Standards Codification (“ASC”) 740, </w:t>
      </w:r>
      <w:r>
        <w:rPr>
          <w:rFonts w:ascii="Times New Roman;Times;serif" w:hAnsi="Times New Roman;Times;serif"/>
          <w:i/>
          <w:sz w:val="20"/>
        </w:rPr>
        <w:t>Income Taxes</w:t>
      </w:r>
      <w:r>
        <w:rPr>
          <w:rFonts w:ascii="Times New Roman;Times;serif" w:hAnsi="Times New Roman;Times;serif"/>
          <w:sz w:val="20"/>
        </w:rPr>
        <w:t xml:space="preserv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effects of the new legislation are recognized in the period of enactment, which is the date when the legislation was signed into law. The Company is currently evaluating the effects of the Act on the Company’s income taxes, but does not expect that it will have a material impact on the Company’s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Reclassification:</w:t>
      </w:r>
      <w:r>
        <w:rPr>
          <w:rFonts w:ascii="Times New Roman;Times;serif" w:hAnsi="Times New Roman;Times;serif"/>
          <w:sz w:val="20"/>
        </w:rPr>
        <w:t xml:space="preserve"> The Company reclassified amortization of deferred loan fees of $0.9 million from Depreciation and amortization to Other within cash flows from operating activities in the Consolidated Statements of Cash Flows for the six months ended June 30, 2024, to conform to current year cash flow presentation. There were no changes in Net cash provided by operating activities as a result of this reclassification for the six months ended June 30,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New Accounting Pronouncements:</w:t>
      </w:r>
      <w:r>
        <w:rPr>
          <w:rFonts w:ascii="Times New Roman;Times;serif" w:hAnsi="Times New Roman;Times;serif"/>
          <w:sz w:val="20"/>
        </w:rPr>
        <w:t xml:space="preserve"> In November 2024, the Financial Accounting Standards Board (“FASB”) issued ASU 2024-03, Income Statement - Reporting Comprehensive Income - Expense Disaggregation Disclosures (Subtopic 220-40): Disaggregation of Income Statement Expenses (“ASU 2024-03”). ASU 2024-03 requires disclosure of certain expenses in the financial statements including employee compensation and depreciation and amortization of intangible assets on an annual and interim basis. ASU 2024-03 is effective for fiscal years beginning after December 15, 2026 and interim periods within fiscal years beginning after December 15, 2027. ASU 2024-03 can be adopted either: (i) prospectively to the financial statements issued for reporting periods after the effective date of the ASU or (ii) retrospectively to any or all prior periods presented in the financial statements. The Company is currently evaluating the effects of adopting ASU 2024-03 but does not expect it will have a material impact on the Company’s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December 2023, the FASB issued ASU 2023-09, Improvements to Income Tax Disclosures (“ASU 2023-09”). ASU 2023-09 requires disaggregated information about a reporting entity’s effective tax rate reconciliation as well as information on income taxes paid. ASU 2023-09 is effective for annual periods beginning after December 15, 2024, and interim periods within fiscal years beginning after December 15, 2025. The Company is currently evaluating the effects of adopting ASU 2023-09 but does not expect it to have a material impact on the Company’s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          </w:t>
      </w:r>
      <w:r>
        <w:rPr>
          <w:rFonts w:ascii="Times New Roman;Times;serif" w:hAnsi="Times New Roman;Times;serif"/>
          <w:b/>
          <w:sz w:val="20"/>
        </w:rPr>
        <w:t>REPORTABLE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segments are components of an enterprise that engage in business activities from which it may earn revenues and incur expenses, whose operating results are regularly reviewed by the chief operating decision maker (“CODM”) to make decisions about resources to be allocated to the segment and assess its performance, and for which discrete financial information is available. The Company’s CODM is its Chief Executive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identified two reportable segments on the basis of internal information provided to the CODM: Ocean Transportation and Logistics which are described in Note 1. Each segment is managed separately based upon fundamental differences in the operations of each segment. The Company’s Ocean Transportation service primarily involves the transportation of customer cargo on Company owned and chartered vessels. The Company’s Logistics service provides customers with logistics solutions primarily using third-party purchased transportation. The Company’s CODM assesses the performance of each segment using operating income. The Company’s CODM reviews the performance of each segment using monthly internal reports which provide variance analysis of actual results by segment compared to budget, forecast and prior year. The Company’s CODM uses this information when making decisions about the allocation of operating and capital resources to each segment. Segment balance sheet information is not provided to the CODM as capital decisions are based upon the Company’s consolidated balance sheet.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16" w:name="Tc_PGYdhiRA_USl2PgcEPe2pA_26_17"/>
      <w:bookmarkStart w:id="817" w:name="Tc_U0NaoTtxt0SD3gwcw6aQKQ_26_14"/>
      <w:bookmarkStart w:id="818" w:name="Tc_Uwd--XyFs0aCoiwuTMnDpQ_26_11"/>
      <w:bookmarkStart w:id="819" w:name="Tc_yMWIY9gwX0C6ykUqFiYGrA_26_8"/>
      <w:bookmarkStart w:id="820" w:name="Tc_HG70-uelpU696hz-bdMcSg_26_5"/>
      <w:bookmarkStart w:id="821" w:name="Tc__mRCwhoMJkmCAst_dEGqMg_26_2"/>
      <w:bookmarkStart w:id="822" w:name="Tc_L6nqBl6mikOuF1UfwrU1QA_26_0"/>
      <w:bookmarkStart w:id="823" w:name="Tc_a6NBiecXhUiVL3Y5uS0W9Q_24_17"/>
      <w:bookmarkStart w:id="824" w:name="Tc_uESu2ImblEiRxW3640IMgQ_24_8"/>
      <w:bookmarkStart w:id="825" w:name="Tc_TFxI77w7V0-Dwlb12dOt8Q_24_0"/>
      <w:bookmarkStart w:id="826" w:name="Tc_iQno8hqvGUO2VP9l86FD4w_23_0"/>
      <w:bookmarkStart w:id="827" w:name="Tc_BEFAHiJ0ZUSnOmxxqyikgQ_22_0"/>
      <w:bookmarkStart w:id="828" w:name="Tc__oz0d_DuWUK4GtZykqxElQ_21_0"/>
      <w:bookmarkStart w:id="829" w:name="Tc_pi9WwiX7uEmhx0Chl53rQQ_20_0"/>
      <w:bookmarkStart w:id="830" w:name="Tc_PkksFQ4GQUm55uQv3TBIjw_19_0"/>
      <w:bookmarkStart w:id="831" w:name="Tc_BtNO_AJtUkaIWWFtA_cvlw_18_14"/>
      <w:bookmarkStart w:id="832" w:name="Tc_hWbNVuQy-EOTRP5qXjmoLQ_18_11"/>
      <w:bookmarkStart w:id="833" w:name="Tc_KY80s2Ggn0KTUsSnYrdC1Q_18_5"/>
      <w:bookmarkStart w:id="834" w:name="Tc_jLPYDjnz-EqcaJpRWUN1tA_18_2"/>
      <w:bookmarkStart w:id="835" w:name="Tc_L3nd3KyIRkuiHZR0dZvIFQ_18_0"/>
      <w:bookmarkStart w:id="836" w:name="Tc_8bfql1E3UEyqs6g_2o3OQA_16_0"/>
      <w:bookmarkStart w:id="837" w:name="Tc_Dcm6GdSGZEiOJtsDxKrsUg_15_0"/>
      <w:bookmarkStart w:id="838" w:name="Tc_8Z0N7f983UaxELg4l_OZ8A_14_15"/>
      <w:bookmarkStart w:id="839" w:name="Tc_x5k44zf2mE2MFoL_P043Bw_14_6"/>
      <w:bookmarkStart w:id="840" w:name="Tc_yGL9r4h-hE-mNV-OzaLfNw_14_0"/>
      <w:bookmarkStart w:id="841" w:name="Tc_47hw1OBdM06VZrNzstyRPw_13_0"/>
      <w:bookmarkStart w:id="842" w:name="Tc_pRjNMiikTk2kYERb7Ngj3Q_12_0"/>
      <w:bookmarkStart w:id="843" w:name="Tc_cWJefTiNIUuEmrV0VurGpw_11_12"/>
      <w:bookmarkStart w:id="844" w:name="Tc_q5YbIjl_6UyR4YyYUhcl5Q_11_3"/>
      <w:bookmarkStart w:id="845" w:name="Tc_IL_8104v_EOvpdEz0CNwCA_11_0"/>
      <w:bookmarkStart w:id="846" w:name="Tc_kK8pGKmCmkCqJ6rfb6zzSw_10_15"/>
      <w:bookmarkStart w:id="847" w:name="Tc_EPSHuf6u3Uafk90sE_YnSg_10_6"/>
      <w:bookmarkStart w:id="848" w:name="Tc_L73YA8Z2xkOl97i8UcKZZw_10_0"/>
      <w:bookmarkStart w:id="849" w:name="Tc_AiLzXiKzwkei0cxnQf6Y_Q_9_15"/>
      <w:bookmarkStart w:id="850" w:name="Tc_bhUMJ4LpCkep71HZ3YxkhA_9_6"/>
      <w:bookmarkStart w:id="851" w:name="Tc_1KC72nQd3E-0zT84PxaXnw_9_0"/>
      <w:bookmarkStart w:id="852" w:name="Tc_9wOyfxlhTEKG4PcNXJr4ow_8_15"/>
      <w:bookmarkStart w:id="853" w:name="Tc_glV1w6qT50yOt7m19Pff4w_8_6"/>
      <w:bookmarkStart w:id="854" w:name="Tc_SBAS2gcO90iZcrhtMBs_mA_8_0"/>
      <w:bookmarkStart w:id="855" w:name="Tc_EFZ6Z18OGEqgfCf9zqd_Ug_7_0"/>
      <w:bookmarkStart w:id="856" w:name="Tc_zTPtxLl7S06l1qSjP-q74Q_6_0"/>
      <w:bookmarkStart w:id="857" w:name="Tc_PY61Ep0EkEeK3WFagx7DZw_4_17"/>
      <w:bookmarkStart w:id="858" w:name="Tc_RXhWJlNAM0G2zLhNyAXGqA_4_14"/>
      <w:bookmarkStart w:id="859" w:name="Tc_SQh-CL3nXE-zacAvBb481Q_4_11"/>
      <w:bookmarkStart w:id="860" w:name="Tc_q5A1g9Uji0aU59Mvu-oO_A_4_8"/>
      <w:bookmarkStart w:id="861" w:name="Tc_bHOP4tH1_E2vjWQdcKEcwA_4_5"/>
      <w:bookmarkStart w:id="862" w:name="Tc_ASxwOdSRIECdmzsVsC3n0w_4_2"/>
      <w:bookmarkStart w:id="863" w:name="Tc_avzffSsItkij7iTC0fXZQQ_4_0"/>
      <w:bookmarkStart w:id="864" w:name="Tc_2NTCLr3AxU239jwDhC6WyA_3_17"/>
      <w:bookmarkStart w:id="865" w:name="Tc_jKJMmNIBek-yxpfXOjPxgg_3_14"/>
      <w:bookmarkStart w:id="866" w:name="Tc_fsza13-vFkavhljL8Raj1g_3_11"/>
      <w:bookmarkStart w:id="867" w:name="Tc_s5ab-K9HsEa8TL-WfR53tg_3_8"/>
      <w:bookmarkStart w:id="868" w:name="Tc_UzFYRLw9XkSULFjIqyYi4A_3_5"/>
      <w:bookmarkStart w:id="869" w:name="Tc_ONudmIcgd0ik1nekQBjLHA_3_2"/>
      <w:bookmarkStart w:id="870" w:name="Tc_lel4T_mjCkmKepZZHAWM-g_3_0"/>
      <w:bookmarkStart w:id="871" w:name="Tc_FO8GyhreX0-8LhBkmIRueA_2_11"/>
      <w:bookmarkStart w:id="872" w:name="Tc_qZevPxL8t02HSaKX09dVSw_2_2"/>
      <w:bookmarkStart w:id="873" w:name="Tc_8SZtNsIkoU67JctGYsdQSQ_1_11"/>
      <w:bookmarkStart w:id="874" w:name="Tc_jqTSpC5FTkOlUUqWhJx-Tw_1_2"/>
      <w:bookmarkStart w:id="875" w:name="_1df47ad3_5189_4e01_b8cc_925b0462aab6"/>
      <w:bookmarkStart w:id="876" w:name="Tc_vhDbIcAThk2325ODRNfn-g_26_17"/>
      <w:bookmarkStart w:id="877" w:name="Tc_KDWQawaxCk2yR69lvtBhYw_26_14"/>
      <w:bookmarkStart w:id="878" w:name="Tc_Pou3ooyMjkehNNi9Gj6u-A_26_11"/>
      <w:bookmarkStart w:id="879" w:name="Tc_hZk6kATFAUOW788SiLCRJQ_26_8"/>
      <w:bookmarkStart w:id="880" w:name="Tc_QMSMeZL6vkusS11af6Lk9w_26_5"/>
      <w:bookmarkStart w:id="881" w:name="Tc_UR4AmaS7eEuPmgqWX_L5jA_26_2"/>
      <w:bookmarkStart w:id="882" w:name="Tc_aUuomHTd8U2CSuQbDCLDbA_26_0"/>
      <w:bookmarkStart w:id="883" w:name="Tc_c9AAvSy4Vkae9G-zgx9evA_24_17"/>
      <w:bookmarkStart w:id="884" w:name="Tc_UgwipzWhbUa6mPN528iQUg_24_8"/>
      <w:bookmarkStart w:id="885" w:name="Tc_kcHczDN5bEaeG0WPU4-HFw_24_0"/>
      <w:bookmarkStart w:id="886" w:name="Tc_OBwY6FI-lkK3el1oIFvQ4Q_23_0"/>
      <w:bookmarkStart w:id="887" w:name="Tc_8qburdLYGk26ZzOMb4BsWw_22_0"/>
      <w:bookmarkStart w:id="888" w:name="Tc_uQNV3yHQPEasisvJ6Of8hQ_21_0"/>
      <w:bookmarkStart w:id="889" w:name="Tc_-4sweEl0skO4f7EQ9mbAoQ_20_0"/>
      <w:bookmarkStart w:id="890" w:name="Tc__jhGXfxBhE6aNrEqUKVkjA_19_0"/>
      <w:bookmarkStart w:id="891" w:name="Tc_nWstJUEIdUae5mVayl-KqQ_18_14"/>
      <w:bookmarkStart w:id="892" w:name="Tc_csjPvAiCLke2ca1UjUNxIQ_18_11"/>
      <w:bookmarkStart w:id="893" w:name="Tc_QBjMh44NT0uaB5P5wM5Hbw_18_5"/>
      <w:bookmarkStart w:id="894" w:name="Tc_vuNqSJxwx0WpHJ1Uj0T5mg_18_2"/>
      <w:bookmarkStart w:id="895" w:name="Tc_p_EkxAxe7kS1C7aH02oBIw_18_0"/>
      <w:bookmarkStart w:id="896" w:name="Tc__wMYIX_OJk6LxBKgjT3Y8Q_16_0"/>
      <w:bookmarkStart w:id="897" w:name="Tc_ygPwA8yeqUugwvfDYiZG7A_15_0"/>
      <w:bookmarkStart w:id="898" w:name="Tc_S-2OG9uQo0aQmrfrGHWQVA_14_15"/>
      <w:bookmarkStart w:id="899" w:name="Tc_Ex_3_GvFZkOVyKbbvN_ySA_14_6"/>
      <w:bookmarkStart w:id="900" w:name="Tc_8XjwvQ-3WU2m33h5vW3hcg_14_0"/>
      <w:bookmarkStart w:id="901" w:name="Tc_bCcOfVaNTUeiXbNf-HhPiw_13_0"/>
      <w:bookmarkStart w:id="902" w:name="Tc_WnwQKKtMLU2EIijIHE1xDw_12_0"/>
      <w:bookmarkStart w:id="903" w:name="Tc_q1BhS9HkOUWvFnckqYXbnw_11_12"/>
      <w:bookmarkStart w:id="904" w:name="Tc_Ad2eufBQ_0CuOwUNSg3M6w_11_3"/>
      <w:bookmarkStart w:id="905" w:name="Tc_jtPHalo0VEGHv7qTSyQpog_11_0"/>
      <w:bookmarkStart w:id="906" w:name="Tc_KLjZnjWs7kqDiAv-jB075A_10_15"/>
      <w:bookmarkStart w:id="907" w:name="Tc_H80vi2zxrUe5HSAy_3jmMA_10_6"/>
      <w:bookmarkStart w:id="908" w:name="Tc_9pq9erJqkUCDgos96IR1mw_10_0"/>
      <w:bookmarkStart w:id="909" w:name="Tc_HSva2vNXtUWqvRf3af4Q3g_9_15"/>
      <w:bookmarkStart w:id="910" w:name="Tc_PmI2ItnVMEaL84hS53UDfA_9_6"/>
      <w:bookmarkStart w:id="911" w:name="Tc_y_Qo5o_CAkWCQxlVm6LWng_9_0"/>
      <w:bookmarkStart w:id="912" w:name="Tc_AltMLynaGkWV9oKL9FHIYg_8_15"/>
      <w:bookmarkStart w:id="913" w:name="Tc_hhZ74rmU8kqmjZNUNwN4YQ_8_6"/>
      <w:bookmarkStart w:id="914" w:name="Tc_e2CFEZWPGkWYWeZXqy7VvA_8_0"/>
      <w:bookmarkStart w:id="915" w:name="Tc_xV4FlrT0p0CXF5sb04rQjQ_7_0"/>
      <w:bookmarkStart w:id="916" w:name="Tc_y8CQkqJGYUqism_woDDzBQ_6_0"/>
      <w:bookmarkStart w:id="917" w:name="Tc_KKwzQBXB60qHcEnjsCPdqQ_4_17"/>
      <w:bookmarkStart w:id="918" w:name="Tc_5xFn24_XRU-azeOyM8AR_Q_4_14"/>
      <w:bookmarkStart w:id="919" w:name="Tc_Goa6NGxep0GLPtcPo1Hw0A_4_11"/>
      <w:bookmarkStart w:id="920" w:name="Tc_OHd9VRe4N0ugCgREUkd3MQ_4_8"/>
      <w:bookmarkStart w:id="921" w:name="Tc_AVYL_kcVfUGs7jDWN-MAgA_4_5"/>
      <w:bookmarkStart w:id="922" w:name="Tc_IcQfeHFNvkiZ_BwMY-WRmA_4_2"/>
      <w:bookmarkStart w:id="923" w:name="Tc_xuEIpxBl-kuhvmNdIOrVyw_4_0"/>
      <w:bookmarkStart w:id="924" w:name="Tc_ZCa5ednEWkqsa4UoR4wdQQ_3_17"/>
      <w:bookmarkStart w:id="925" w:name="Tc_aI2UN9J6SU6O9d4_PInDzQ_3_14"/>
      <w:bookmarkStart w:id="926" w:name="Tc_738QwGXK4UinovV9LXQvVw_3_11"/>
      <w:bookmarkStart w:id="927" w:name="Tc_xRYFmWWG9k6hLNm_TDxtvw_3_8"/>
      <w:bookmarkStart w:id="928" w:name="Tc_9fvJcSWnJEWg0R-YORFrDA_3_5"/>
      <w:bookmarkStart w:id="929" w:name="Tc_ZRasHUbYvkmfnA6xLRyO2g_3_2"/>
      <w:bookmarkStart w:id="930" w:name="Tc_J3zLDi1L-kW8zw-AxfihuA_3_0"/>
      <w:bookmarkStart w:id="931" w:name="Tc_231czUhCd0mHf3-_vEhmiw_2_11"/>
      <w:bookmarkStart w:id="932" w:name="Tc_NTyuJQeBHEWO4TJw_ISOVw_2_2"/>
      <w:bookmarkStart w:id="933" w:name="Tc_ohO8e-6_OE6yOFmdj_a_QQ_1_11"/>
      <w:bookmarkStart w:id="934" w:name="Tc_VU4T_QAYR0O3ZDWNKMLarQ_1_2"/>
      <w:bookmarkStart w:id="935" w:name="_c87e55e5_f872_45bd_85f3_b82dbe932a9d"/>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r>
        <w:rPr>
          <w:rFonts w:ascii="Times New Roman;Times;serif" w:hAnsi="Times New Roman;Times;serif"/>
          <w:sz w:val="20"/>
        </w:rPr>
        <w:t>Reportable segment financial information for the three months ended June 30, 2025 and 2024 are as follows:</w:t>
      </w:r>
    </w:p>
    <w:p>
      <w:pPr>
        <w:pStyle w:val="TextBody"/>
        <w:bidi w:val="0"/>
        <w:spacing w:before="0" w:after="0"/>
        <w:ind w:left="0" w:right="0" w:hanging="0"/>
        <w:jc w:val="left"/>
        <w:rPr/>
      </w:pPr>
      <w:r>
        <w:rPr/>
        <w:t>​</w:t>
      </w:r>
    </w:p>
    <w:tbl>
      <w:tblPr>
        <w:tblW w:w="9383" w:type="dxa"/>
        <w:jc w:val="left"/>
        <w:tblInd w:w="0" w:type="dxa"/>
        <w:tblLayout w:type="fixed"/>
        <w:tblCellMar>
          <w:top w:w="0" w:type="dxa"/>
          <w:left w:w="0" w:type="dxa"/>
          <w:bottom w:w="0" w:type="dxa"/>
          <w:right w:w="0" w:type="dxa"/>
        </w:tblCellMar>
      </w:tblPr>
      <w:tblGrid>
        <w:gridCol w:w="2221"/>
        <w:gridCol w:w="326"/>
        <w:gridCol w:w="344"/>
        <w:gridCol w:w="901"/>
        <w:gridCol w:w="326"/>
        <w:gridCol w:w="196"/>
        <w:gridCol w:w="511"/>
        <w:gridCol w:w="109"/>
        <w:gridCol w:w="196"/>
        <w:gridCol w:w="541"/>
        <w:gridCol w:w="326"/>
        <w:gridCol w:w="344"/>
        <w:gridCol w:w="901"/>
        <w:gridCol w:w="326"/>
        <w:gridCol w:w="196"/>
        <w:gridCol w:w="511"/>
        <w:gridCol w:w="326"/>
        <w:gridCol w:w="196"/>
        <w:gridCol w:w="58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10335" cy="175260"/>
                      <wp:effectExtent l="0" t="0" r="0" b="0"/>
                      <wp:wrapNone/>
                      <wp:docPr id="98" name="Frame98"/>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8440" cy="175260"/>
                      <wp:effectExtent l="0" t="0" r="0" b="0"/>
                      <wp:wrapNone/>
                      <wp:docPr id="100" name="Frame100"/>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72135" cy="175260"/>
                      <wp:effectExtent l="0" t="0" r="0" b="0"/>
                      <wp:wrapNone/>
                      <wp:docPr id="101" name="Frame10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4460" cy="175260"/>
                      <wp:effectExtent l="0" t="0" r="0" b="0"/>
                      <wp:wrapNone/>
                      <wp:docPr id="103" name="Frame1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24485" cy="175260"/>
                      <wp:effectExtent l="0" t="0" r="0" b="0"/>
                      <wp:wrapNone/>
                      <wp:docPr id="104" name="Frame10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24460" cy="175260"/>
                      <wp:effectExtent l="0" t="0" r="0" b="0"/>
                      <wp:wrapNone/>
                      <wp:docPr id="106" name="Frame1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43535" cy="175260"/>
                      <wp:effectExtent l="0" t="0" r="0" b="0"/>
                      <wp:wrapNone/>
                      <wp:docPr id="107" name="Frame10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8440" cy="175260"/>
                      <wp:effectExtent l="0" t="0" r="0" b="0"/>
                      <wp:wrapNone/>
                      <wp:docPr id="109" name="Frame109"/>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72135" cy="175260"/>
                      <wp:effectExtent l="0" t="0" r="0" b="0"/>
                      <wp:wrapNone/>
                      <wp:docPr id="110" name="Frame11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24460" cy="175260"/>
                      <wp:effectExtent l="0" t="0" r="0" b="0"/>
                      <wp:wrapNone/>
                      <wp:docPr id="112" name="Frame1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24485" cy="175260"/>
                      <wp:effectExtent l="0" t="0" r="0" b="0"/>
                      <wp:wrapNone/>
                      <wp:docPr id="113" name="Frame11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24460" cy="175260"/>
                      <wp:effectExtent l="0" t="0" r="0" b="0"/>
                      <wp:wrapNone/>
                      <wp:docPr id="115" name="Frame1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72110" cy="175260"/>
                      <wp:effectExtent l="0" t="0" r="0" b="0"/>
                      <wp:wrapNone/>
                      <wp:docPr id="116" name="Frame11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24" w:type="dxa"/>
            <w:gridSpan w:val="8"/>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3386" w:type="dxa"/>
            <w:gridSpan w:val="8"/>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Three Months Ended </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2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June 30, 2025</w:t>
            </w:r>
          </w:p>
        </w:tc>
        <w:tc>
          <w:tcPr>
            <w:tcW w:w="326" w:type="dxa"/>
            <w:tcBorders/>
            <w:vAlign w:val="center"/>
          </w:tcPr>
          <w:p>
            <w:pPr>
              <w:pStyle w:val="TableContents"/>
              <w:bidi w:val="0"/>
              <w:spacing w:before="0" w:after="0"/>
              <w:ind w:left="0" w:right="0" w:hanging="0"/>
              <w:jc w:val="left"/>
              <w:rPr/>
            </w:pPr>
            <w:r>
              <w:rPr/>
              <w:t>​</w:t>
            </w:r>
          </w:p>
        </w:tc>
        <w:tc>
          <w:tcPr>
            <w:tcW w:w="338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June 30, 2024</w:t>
            </w:r>
          </w:p>
        </w:tc>
      </w:tr>
      <w:tr>
        <w:trPr/>
        <w:tc>
          <w:tcPr>
            <w:tcW w:w="2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(In millions)</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Ocean Transportation</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Logistics</w:t>
            </w:r>
          </w:p>
        </w:tc>
        <w:tc>
          <w:tcPr>
            <w:tcW w:w="109"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Ocean Transportation</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Logistics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Revenue (1)(2)</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154.9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830.5</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847.4</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costs:</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Direct cargo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249.7</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245.0</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Vessel operating expense</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150.6</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156.8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156.8</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overhead (3)</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86.5</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82.6</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Direct operating costs</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122.4</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124.1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124.1</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41.2</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38.4</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operating costs</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125.7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650.4</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646.9</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from SSAT</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General and administrative</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74.4</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77.1</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140.5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717.5</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580.9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722.8</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113.0</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124.6</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income</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8.0</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18.8</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income (expense), net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before Taxes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121.7</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143.1</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taxes</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(27.0)</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(29.9)</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94.7</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113.2</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Capital Expenditures (4)</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86.3</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69.8</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revenue excludes inter-segment revenue of $25.5</w:t>
            </w:r>
            <w:r>
              <w:rPr>
                <w:caps w:val="false"/>
                <w:smallCaps w:val="false"/>
              </w:rPr>
              <w:t> </w:t>
            </w:r>
            <w:r>
              <w:rPr>
                <w:rFonts w:ascii="Times New Roman;Times;serif" w:hAnsi="Times New Roman;Times;serif"/>
                <w:b w:val="false"/>
                <w:i w:val="false"/>
                <w:caps w:val="false"/>
                <w:smallCaps w:val="false"/>
                <w:sz w:val="16"/>
              </w:rPr>
              <w:t>million and $22.8</w:t>
            </w:r>
            <w:r>
              <w:rPr>
                <w:caps w:val="false"/>
                <w:smallCaps w:val="false"/>
              </w:rPr>
              <w:t> </w:t>
            </w:r>
            <w:r>
              <w:rPr>
                <w:rFonts w:ascii="Times New Roman;Times;serif" w:hAnsi="Times New Roman;Times;serif"/>
                <w:b w:val="false"/>
                <w:i w:val="false"/>
                <w:caps w:val="false"/>
                <w:smallCaps w:val="false"/>
                <w:sz w:val="16"/>
              </w:rPr>
              <w:t>million for the three months ended June 30, 2025 and 2024, respectively.</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operating revenue excludes inter-segment revenue of $37.0</w:t>
            </w:r>
            <w:r>
              <w:rPr>
                <w:caps w:val="false"/>
                <w:smallCaps w:val="false"/>
              </w:rPr>
              <w:t> </w:t>
            </w:r>
            <w:r>
              <w:rPr>
                <w:rFonts w:ascii="Times New Roman;Times;serif" w:hAnsi="Times New Roman;Times;serif"/>
                <w:b w:val="false"/>
                <w:i w:val="false"/>
                <w:caps w:val="false"/>
                <w:smallCaps w:val="false"/>
                <w:sz w:val="16"/>
              </w:rPr>
              <w:t>million and $39.0</w:t>
            </w:r>
            <w:r>
              <w:rPr>
                <w:caps w:val="false"/>
                <w:smallCaps w:val="false"/>
              </w:rPr>
              <w:t> </w:t>
            </w:r>
            <w:r>
              <w:rPr>
                <w:rFonts w:ascii="Times New Roman;Times;serif" w:hAnsi="Times New Roman;Times;serif"/>
                <w:b w:val="false"/>
                <w:i w:val="false"/>
                <w:caps w:val="false"/>
                <w:smallCaps w:val="false"/>
                <w:sz w:val="16"/>
              </w:rPr>
              <w:t xml:space="preserve">million for the three months ended June 30, 2025 and 2024, respectively.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8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overhead includes dry-docking amortization of $7.0</w:t>
            </w:r>
            <w:r>
              <w:rPr>
                <w:caps w:val="false"/>
                <w:smallCaps w:val="false"/>
              </w:rPr>
              <w:t> </w:t>
            </w:r>
            <w:r>
              <w:rPr>
                <w:rFonts w:ascii="Times New Roman;Times;serif" w:hAnsi="Times New Roman;Times;serif"/>
                <w:b w:val="false"/>
                <w:i w:val="false"/>
                <w:caps w:val="false"/>
                <w:smallCaps w:val="false"/>
                <w:sz w:val="16"/>
              </w:rPr>
              <w:t>million and $6.9</w:t>
            </w:r>
            <w:r>
              <w:rPr>
                <w:caps w:val="false"/>
                <w:smallCaps w:val="false"/>
              </w:rPr>
              <w:t> </w:t>
            </w:r>
            <w:r>
              <w:rPr>
                <w:rFonts w:ascii="Times New Roman;Times;serif" w:hAnsi="Times New Roman;Times;serif"/>
                <w:b w:val="false"/>
                <w:i w:val="false"/>
                <w:caps w:val="false"/>
                <w:smallCaps w:val="false"/>
                <w:sz w:val="16"/>
              </w:rPr>
              <w:t>million for the three months ended June 30, 2025 and 2024, respectively.</w:t>
            </w:r>
          </w:p>
        </w:tc>
      </w:tr>
    </w:tbl>
    <w:tbl>
      <w:tblPr>
        <w:tblW w:w="9977" w:type="dxa"/>
        <w:jc w:val="left"/>
        <w:tblInd w:w="0" w:type="dxa"/>
        <w:tblLayout w:type="fixed"/>
        <w:tblCellMar>
          <w:top w:w="0" w:type="dxa"/>
          <w:left w:w="0" w:type="dxa"/>
          <w:bottom w:w="0" w:type="dxa"/>
          <w:right w:w="0" w:type="dxa"/>
        </w:tblCellMar>
      </w:tblPr>
      <w:tblGrid>
        <w:gridCol w:w="331"/>
        <w:gridCol w:w="964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64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Capital expenditures exclude accrued capital expenditures of $4.0</w:t>
            </w:r>
            <w:r>
              <w:rPr>
                <w:caps w:val="false"/>
                <w:smallCaps w:val="false"/>
              </w:rPr>
              <w:t> </w:t>
            </w:r>
            <w:r>
              <w:rPr>
                <w:rFonts w:ascii="Times New Roman;Times;serif" w:hAnsi="Times New Roman;Times;serif"/>
                <w:b w:val="false"/>
                <w:i w:val="false"/>
                <w:caps w:val="false"/>
                <w:smallCaps w:val="false"/>
                <w:sz w:val="16"/>
              </w:rPr>
              <w:t>million and $15.3</w:t>
            </w:r>
            <w:r>
              <w:rPr>
                <w:caps w:val="false"/>
                <w:smallCaps w:val="false"/>
              </w:rPr>
              <w:t> </w:t>
            </w:r>
            <w:r>
              <w:rPr>
                <w:rFonts w:ascii="Times New Roman;Times;serif" w:hAnsi="Times New Roman;Times;serif"/>
                <w:b w:val="false"/>
                <w:i w:val="false"/>
                <w:caps w:val="false"/>
                <w:smallCaps w:val="false"/>
                <w:sz w:val="16"/>
              </w:rPr>
              <w:t>million as of June 30, 2025 and 2024,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financial information for the six months ended June 30, 2025 and 2024 are as follows:</w:t>
      </w:r>
    </w:p>
    <w:p>
      <w:pPr>
        <w:pStyle w:val="TextBody"/>
        <w:bidi w:val="0"/>
        <w:spacing w:before="0" w:after="0"/>
        <w:ind w:left="0" w:right="0" w:hanging="0"/>
        <w:jc w:val="left"/>
        <w:rPr/>
      </w:pPr>
      <w:r>
        <w:rPr/>
        <w:t>​</w:t>
      </w:r>
    </w:p>
    <w:tbl>
      <w:tblPr>
        <w:tblW w:w="9593" w:type="dxa"/>
        <w:jc w:val="left"/>
        <w:tblInd w:w="0" w:type="dxa"/>
        <w:tblLayout w:type="fixed"/>
        <w:tblCellMar>
          <w:top w:w="0" w:type="dxa"/>
          <w:left w:w="0" w:type="dxa"/>
          <w:bottom w:w="0" w:type="dxa"/>
          <w:right w:w="0" w:type="dxa"/>
        </w:tblCellMar>
      </w:tblPr>
      <w:tblGrid>
        <w:gridCol w:w="2221"/>
        <w:gridCol w:w="326"/>
        <w:gridCol w:w="289"/>
        <w:gridCol w:w="956"/>
        <w:gridCol w:w="326"/>
        <w:gridCol w:w="196"/>
        <w:gridCol w:w="511"/>
        <w:gridCol w:w="109"/>
        <w:gridCol w:w="196"/>
        <w:gridCol w:w="646"/>
        <w:gridCol w:w="326"/>
        <w:gridCol w:w="289"/>
        <w:gridCol w:w="956"/>
        <w:gridCol w:w="326"/>
        <w:gridCol w:w="196"/>
        <w:gridCol w:w="511"/>
        <w:gridCol w:w="326"/>
        <w:gridCol w:w="196"/>
        <w:gridCol w:w="69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10335" cy="175260"/>
                      <wp:effectExtent l="0" t="0" r="0" b="0"/>
                      <wp:wrapNone/>
                      <wp:docPr id="117" name="Frame117"/>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83515" cy="175260"/>
                      <wp:effectExtent l="0" t="0" r="0" b="0"/>
                      <wp:wrapNone/>
                      <wp:docPr id="119" name="Frame119"/>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07060" cy="175260"/>
                      <wp:effectExtent l="0" t="0" r="0" b="0"/>
                      <wp:wrapNone/>
                      <wp:docPr id="120" name="Frame120"/>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24460" cy="175260"/>
                      <wp:effectExtent l="0" t="0" r="0" b="0"/>
                      <wp:wrapNone/>
                      <wp:docPr id="122" name="Frame1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24485" cy="175260"/>
                      <wp:effectExtent l="0" t="0" r="0" b="0"/>
                      <wp:wrapNone/>
                      <wp:docPr id="123" name="Frame12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24460" cy="175260"/>
                      <wp:effectExtent l="0" t="0" r="0" b="0"/>
                      <wp:wrapNone/>
                      <wp:docPr id="125" name="Frame1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10210" cy="175260"/>
                      <wp:effectExtent l="0" t="0" r="0" b="0"/>
                      <wp:wrapNone/>
                      <wp:docPr id="126" name="Frame12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83515" cy="175260"/>
                      <wp:effectExtent l="0" t="0" r="0" b="0"/>
                      <wp:wrapNone/>
                      <wp:docPr id="128" name="Frame128"/>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07060" cy="175260"/>
                      <wp:effectExtent l="0" t="0" r="0" b="0"/>
                      <wp:wrapNone/>
                      <wp:docPr id="129" name="Frame129"/>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24460" cy="175260"/>
                      <wp:effectExtent l="0" t="0" r="0" b="0"/>
                      <wp:wrapNone/>
                      <wp:docPr id="131" name="Frame1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24485" cy="175260"/>
                      <wp:effectExtent l="0" t="0" r="0" b="0"/>
                      <wp:wrapNone/>
                      <wp:docPr id="132" name="Frame13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24460" cy="175260"/>
                      <wp:effectExtent l="0" t="0" r="0" b="0"/>
                      <wp:wrapNone/>
                      <wp:docPr id="134" name="Frame1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38785" cy="175260"/>
                      <wp:effectExtent l="0" t="0" r="0" b="0"/>
                      <wp:wrapNone/>
                      <wp:docPr id="135" name="Frame1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29" w:type="dxa"/>
            <w:gridSpan w:val="8"/>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Six Months Ended </w:t>
            </w:r>
          </w:p>
        </w:tc>
        <w:tc>
          <w:tcPr>
            <w:tcW w:w="326" w:type="dxa"/>
            <w:tcBorders/>
            <w:vAlign w:val="center"/>
          </w:tcPr>
          <w:p>
            <w:pPr>
              <w:pStyle w:val="TableContents"/>
              <w:bidi w:val="0"/>
              <w:spacing w:before="0" w:after="0"/>
              <w:ind w:left="0" w:right="0" w:hanging="0"/>
              <w:jc w:val="left"/>
              <w:rPr/>
            </w:pPr>
            <w:r>
              <w:rPr/>
              <w:t>​</w:t>
            </w:r>
          </w:p>
        </w:tc>
        <w:tc>
          <w:tcPr>
            <w:tcW w:w="3491" w:type="dxa"/>
            <w:gridSpan w:val="8"/>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Six Months Ended </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2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June 30, 2025</w:t>
            </w:r>
          </w:p>
        </w:tc>
        <w:tc>
          <w:tcPr>
            <w:tcW w:w="326" w:type="dxa"/>
            <w:tcBorders/>
            <w:vAlign w:val="center"/>
          </w:tcPr>
          <w:p>
            <w:pPr>
              <w:pStyle w:val="TableContents"/>
              <w:bidi w:val="0"/>
              <w:spacing w:before="0" w:after="0"/>
              <w:ind w:left="0" w:right="0" w:hanging="0"/>
              <w:jc w:val="left"/>
              <w:rPr/>
            </w:pPr>
            <w:r>
              <w:rPr/>
              <w:t>​</w:t>
            </w:r>
          </w:p>
        </w:tc>
        <w:tc>
          <w:tcPr>
            <w:tcW w:w="349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June 30, 2024</w:t>
            </w:r>
          </w:p>
        </w:tc>
      </w:tr>
      <w:tr>
        <w:trPr/>
        <w:tc>
          <w:tcPr>
            <w:tcW w:w="2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(In millions)</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Ocean Transportation</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Logistics</w:t>
            </w:r>
          </w:p>
        </w:tc>
        <w:tc>
          <w:tcPr>
            <w:tcW w:w="109"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Ocean Transportation</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Logistics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Revenue (5)(6)</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1,313.0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299.5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1,612.5</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1,268.9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1,569.5</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costs:</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Direct cargo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487.9</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473.8</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Vessel operating expense</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298.0</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309.8</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overhead (7)</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173.5</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158.6</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Direct operating costs</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240.3</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241.4</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81.8</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75.5</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operating costs</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1,034.6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246.9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1,281.5</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247.7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1,259.1</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from SSAT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General and administrative</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149.8</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150.5</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1,140.8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276.6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1,417.4</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1,132.3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1,408.0</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195.1</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161.5</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income</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17.4</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27.6</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income (expense), net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before Taxes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213.9</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188.4</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taxes</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(46.9)</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(39.1)</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167.0</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149.3</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Capital Expenditures (8)</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175.5</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125.1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988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revenue excludes inter-segment revenue of $46.9</w:t>
            </w:r>
            <w:r>
              <w:rPr>
                <w:caps w:val="false"/>
                <w:smallCaps w:val="false"/>
              </w:rPr>
              <w:t> </w:t>
            </w:r>
            <w:r>
              <w:rPr>
                <w:rFonts w:ascii="Times New Roman;Times;serif" w:hAnsi="Times New Roman;Times;serif"/>
                <w:b w:val="false"/>
                <w:i w:val="false"/>
                <w:caps w:val="false"/>
                <w:smallCaps w:val="false"/>
                <w:sz w:val="16"/>
              </w:rPr>
              <w:t>million and $42.5</w:t>
            </w:r>
            <w:r>
              <w:rPr>
                <w:caps w:val="false"/>
                <w:smallCaps w:val="false"/>
              </w:rPr>
              <w:t> </w:t>
            </w:r>
            <w:r>
              <w:rPr>
                <w:rFonts w:ascii="Times New Roman;Times;serif" w:hAnsi="Times New Roman;Times;serif"/>
                <w:b w:val="false"/>
                <w:i w:val="false"/>
                <w:caps w:val="false"/>
                <w:smallCaps w:val="false"/>
                <w:sz w:val="16"/>
              </w:rPr>
              <w:t>million for the six months ended June 30, 2025 and 2024, respectively.</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988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operating revenue excludes inter-segment revenue of $69.6</w:t>
            </w:r>
            <w:r>
              <w:rPr>
                <w:caps w:val="false"/>
                <w:smallCaps w:val="false"/>
              </w:rPr>
              <w:t> </w:t>
            </w:r>
            <w:r>
              <w:rPr>
                <w:rFonts w:ascii="Times New Roman;Times;serif" w:hAnsi="Times New Roman;Times;serif"/>
                <w:b w:val="false"/>
                <w:i w:val="false"/>
                <w:caps w:val="false"/>
                <w:smallCaps w:val="false"/>
                <w:sz w:val="16"/>
              </w:rPr>
              <w:t>million and $65.9</w:t>
            </w:r>
            <w:r>
              <w:rPr>
                <w:caps w:val="false"/>
                <w:smallCaps w:val="false"/>
              </w:rPr>
              <w:t> </w:t>
            </w:r>
            <w:r>
              <w:rPr>
                <w:rFonts w:ascii="Times New Roman;Times;serif" w:hAnsi="Times New Roman;Times;serif"/>
                <w:b w:val="false"/>
                <w:i w:val="false"/>
                <w:caps w:val="false"/>
                <w:smallCaps w:val="false"/>
                <w:sz w:val="16"/>
              </w:rPr>
              <w:t xml:space="preserve">million for the six months ended June 30, 2025 and 2024, respectively.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w:t>
            </w:r>
          </w:p>
        </w:tc>
        <w:tc>
          <w:tcPr>
            <w:tcW w:w="988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overhead includes dry-docking amortization of $13.6</w:t>
            </w:r>
            <w:r>
              <w:rPr>
                <w:caps w:val="false"/>
                <w:smallCaps w:val="false"/>
              </w:rPr>
              <w:t> </w:t>
            </w:r>
            <w:r>
              <w:rPr>
                <w:rFonts w:ascii="Times New Roman;Times;serif" w:hAnsi="Times New Roman;Times;serif"/>
                <w:b w:val="false"/>
                <w:i w:val="false"/>
                <w:caps w:val="false"/>
                <w:smallCaps w:val="false"/>
                <w:sz w:val="16"/>
              </w:rPr>
              <w:t>million and $13.7</w:t>
            </w:r>
            <w:r>
              <w:rPr>
                <w:caps w:val="false"/>
                <w:smallCaps w:val="false"/>
              </w:rPr>
              <w:t> </w:t>
            </w:r>
            <w:r>
              <w:rPr>
                <w:rFonts w:ascii="Times New Roman;Times;serif" w:hAnsi="Times New Roman;Times;serif"/>
                <w:b w:val="false"/>
                <w:i w:val="false"/>
                <w:caps w:val="false"/>
                <w:smallCaps w:val="false"/>
                <w:sz w:val="16"/>
              </w:rPr>
              <w:t>million for the six months ended June 30, 2025 and 2024, respectively.</w:t>
            </w:r>
          </w:p>
        </w:tc>
      </w:tr>
    </w:tbl>
    <w:tbl>
      <w:tblPr>
        <w:tblW w:w="9977" w:type="dxa"/>
        <w:jc w:val="left"/>
        <w:tblInd w:w="0" w:type="dxa"/>
        <w:tblLayout w:type="fixed"/>
        <w:tblCellMar>
          <w:top w:w="0" w:type="dxa"/>
          <w:left w:w="0" w:type="dxa"/>
          <w:bottom w:w="0" w:type="dxa"/>
          <w:right w:w="0" w:type="dxa"/>
        </w:tblCellMar>
      </w:tblPr>
      <w:tblGrid>
        <w:gridCol w:w="331"/>
        <w:gridCol w:w="964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(8)</w:t>
            </w:r>
          </w:p>
        </w:tc>
        <w:tc>
          <w:tcPr>
            <w:tcW w:w="964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Capital expenditures exclude accrued capital expenditures of $4.0</w:t>
            </w:r>
            <w:r>
              <w:rPr>
                <w:caps w:val="false"/>
                <w:smallCaps w:val="false"/>
              </w:rPr>
              <w:t> </w:t>
            </w:r>
            <w:r>
              <w:rPr>
                <w:rFonts w:ascii="Times New Roman;Times;serif" w:hAnsi="Times New Roman;Times;serif"/>
                <w:b w:val="false"/>
                <w:i w:val="false"/>
                <w:caps w:val="false"/>
                <w:smallCaps w:val="false"/>
                <w:sz w:val="16"/>
              </w:rPr>
              <w:t>million and $15.3</w:t>
            </w:r>
            <w:r>
              <w:rPr>
                <w:caps w:val="false"/>
                <w:smallCaps w:val="false"/>
              </w:rPr>
              <w:t> </w:t>
            </w:r>
            <w:r>
              <w:rPr>
                <w:rFonts w:ascii="Times New Roman;Times;serif" w:hAnsi="Times New Roman;Times;serif"/>
                <w:b w:val="false"/>
                <w:i w:val="false"/>
                <w:caps w:val="false"/>
                <w:smallCaps w:val="false"/>
                <w:sz w:val="16"/>
              </w:rPr>
              <w:t>million as of June 30, 2025 and 2024,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Transportation’s operating expenses includes the following:</w:t>
      </w:r>
    </w:p>
    <w:tbl>
      <w:tblPr>
        <w:tblW w:w="2522" w:type="dxa"/>
        <w:jc w:val="left"/>
        <w:tblInd w:w="0" w:type="dxa"/>
        <w:tblLayout w:type="fixed"/>
        <w:tblCellMar>
          <w:top w:w="0" w:type="dxa"/>
          <w:left w:w="0" w:type="dxa"/>
          <w:bottom w:w="0" w:type="dxa"/>
          <w:right w:w="0" w:type="dxa"/>
        </w:tblCellMar>
      </w:tblPr>
      <w:tblGrid>
        <w:gridCol w:w="271"/>
        <w:gridCol w:w="2251"/>
      </w:tblGrid>
      <w:tr>
        <w:trPr/>
        <w:tc>
          <w:tcPr>
            <w:tcW w:w="271"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283"/>
              <w:jc w:val="left"/>
              <w:rPr/>
            </w:pPr>
            <w:r>
              <w:rPr>
                <w:rFonts w:ascii="Times New Roman;Times;serif" w:hAnsi="Times New Roman;Times;serif"/>
                <w:b w:val="false"/>
                <w:i/>
                <w:sz w:val="20"/>
              </w:rPr>
              <w:t>Operating costs</w:t>
            </w:r>
            <w:r>
              <w:rPr>
                <w:caps w:val="false"/>
                <w:smallCaps w:val="false"/>
              </w:rPr>
              <w:t xml:space="preserve"> </w:t>
            </w:r>
            <w:r>
              <w:rPr>
                <w:rFonts w:ascii="Times New Roman;Times;serif" w:hAnsi="Times New Roman;Times;serif"/>
                <w:b w:val="false"/>
                <w:i w:val="false"/>
                <w:caps w:val="false"/>
                <w:smallCaps w:val="false"/>
                <w:sz w:val="20"/>
              </w:rPr>
              <w:t>includes: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Direct cargo expense</w:t>
            </w:r>
            <w:r>
              <w:rPr>
                <w:caps w:val="false"/>
                <w:smallCaps w:val="false"/>
              </w:rPr>
              <w:t xml:space="preserve"> </w:t>
            </w:r>
            <w:r>
              <w:rPr>
                <w:rFonts w:ascii="Times New Roman;Times;serif" w:hAnsi="Times New Roman;Times;serif"/>
                <w:b w:val="false"/>
                <w:i w:val="false"/>
                <w:caps w:val="false"/>
                <w:smallCaps w:val="false"/>
                <w:sz w:val="20"/>
              </w:rPr>
              <w:t>includes terminal handling costs including labor and wharfage, outside purchased transportation and other related costs.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Vessel operating expense</w:t>
            </w:r>
            <w:r>
              <w:rPr>
                <w:caps w:val="false"/>
                <w:smallCaps w:val="false"/>
              </w:rPr>
              <w:t xml:space="preserve"> </w:t>
            </w:r>
            <w:r>
              <w:rPr>
                <w:rFonts w:ascii="Times New Roman;Times;serif" w:hAnsi="Times New Roman;Times;serif"/>
                <w:b w:val="false"/>
                <w:i w:val="false"/>
                <w:caps w:val="false"/>
                <w:smallCaps w:val="false"/>
                <w:sz w:val="20"/>
              </w:rPr>
              <w:t>includes crew wages and related costs; fuel; pilots, tugs, lines and related costs; vessel charter expenses; and other vessel operating related expenses.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Operating overhead expense</w:t>
            </w:r>
            <w:r>
              <w:rPr>
                <w:caps w:val="false"/>
                <w:smallCaps w:val="false"/>
              </w:rPr>
              <w:t xml:space="preserve"> </w:t>
            </w:r>
            <w:r>
              <w:rPr>
                <w:rFonts w:ascii="Times New Roman;Times;serif" w:hAnsi="Times New Roman;Times;serif"/>
                <w:b w:val="false"/>
                <w:i w:val="false"/>
                <w:caps w:val="false"/>
                <w:smallCaps w:val="false"/>
                <w:sz w:val="20"/>
              </w:rPr>
              <w:t>includes vessel repair and maintenance costs, inactive vessel costs, dry-docking amortization, equipment lease costs, equipment repair costs, vessel insurance, port engineers and other maintenance costs, other vessel and shoreside related overhead and other indirect costs.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Depreciation and amortization expense</w:t>
            </w:r>
            <w:r>
              <w:rPr>
                <w:caps w:val="false"/>
                <w:smallCaps w:val="false"/>
              </w:rPr>
              <w:t xml:space="preserve"> </w:t>
            </w:r>
            <w:r>
              <w:rPr>
                <w:rFonts w:ascii="Times New Roman;Times;serif" w:hAnsi="Times New Roman;Times;serif"/>
                <w:b w:val="false"/>
                <w:i w:val="false"/>
                <w:caps w:val="false"/>
                <w:smallCaps w:val="false"/>
                <w:sz w:val="20"/>
              </w:rPr>
              <w:t xml:space="preserve">includes depreciation of property and equipment and amortization of intangible assets.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Income from SSAT</w:t>
            </w:r>
            <w:r>
              <w:rPr>
                <w:caps w:val="false"/>
                <w:smallCaps w:val="false"/>
              </w:rPr>
              <w:t xml:space="preserve"> </w:t>
            </w:r>
            <w:r>
              <w:rPr>
                <w:rFonts w:ascii="Times New Roman;Times;serif" w:hAnsi="Times New Roman;Times;serif"/>
                <w:b w:val="false"/>
                <w:i w:val="false"/>
                <w:caps w:val="false"/>
                <w:smallCaps w:val="false"/>
                <w:sz w:val="20"/>
              </w:rPr>
              <w:t>includes the Company’s share of income from its equity investment in SSAT and has been aggregated into the Ocean Transportation segment due to the operations of SSAT being an integral part of the Company’s Ocean Transportation business (see Note 4).</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General and administrative expense</w:t>
            </w:r>
            <w:r>
              <w:rPr>
                <w:caps w:val="false"/>
                <w:smallCaps w:val="false"/>
              </w:rPr>
              <w:t xml:space="preserve"> </w:t>
            </w:r>
            <w:r>
              <w:rPr>
                <w:rFonts w:ascii="Times New Roman;Times;serif" w:hAnsi="Times New Roman;Times;serif"/>
                <w:b w:val="false"/>
                <w:i w:val="false"/>
                <w:caps w:val="false"/>
                <w:smallCaps w:val="false"/>
                <w:sz w:val="20"/>
              </w:rPr>
              <w:t xml:space="preserve">includes employee salaries, wages and other related costs, equipment maintenance, computer hardware and software, professional fees and other general and administrative expenses.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expenses includes the following:</w:t>
      </w:r>
    </w:p>
    <w:tbl>
      <w:tblPr>
        <w:tblW w:w="2507" w:type="dxa"/>
        <w:jc w:val="left"/>
        <w:tblInd w:w="0" w:type="dxa"/>
        <w:tblLayout w:type="fixed"/>
        <w:tblCellMar>
          <w:top w:w="0" w:type="dxa"/>
          <w:left w:w="0" w:type="dxa"/>
          <w:bottom w:w="0" w:type="dxa"/>
          <w:right w:w="0" w:type="dxa"/>
        </w:tblCellMar>
      </w:tblPr>
      <w:tblGrid>
        <w:gridCol w:w="271"/>
        <w:gridCol w:w="2236"/>
      </w:tblGrid>
      <w:tr>
        <w:trPr/>
        <w:tc>
          <w:tcPr>
            <w:tcW w:w="271" w:type="dxa"/>
            <w:tcBorders/>
            <w:vAlign w:val="center"/>
          </w:tcPr>
          <w:p>
            <w:pPr>
              <w:pStyle w:val="TableContents"/>
              <w:bidi w:val="0"/>
              <w:spacing w:before="0" w:after="283"/>
              <w:jc w:val="left"/>
              <w:rPr/>
            </w:pPr>
            <w:r>
              <w:rPr/>
              <w:t>●</w:t>
            </w:r>
          </w:p>
        </w:tc>
        <w:tc>
          <w:tcPr>
            <w:tcW w:w="2236" w:type="dxa"/>
            <w:tcBorders/>
            <w:vAlign w:val="center"/>
          </w:tcPr>
          <w:p>
            <w:pPr>
              <w:pStyle w:val="TableContents"/>
              <w:bidi w:val="0"/>
              <w:spacing w:before="0" w:after="283"/>
              <w:jc w:val="left"/>
              <w:rPr/>
            </w:pPr>
            <w:r>
              <w:rPr>
                <w:rFonts w:ascii="Times New Roman;Times;serif" w:hAnsi="Times New Roman;Times;serif"/>
                <w:b w:val="false"/>
                <w:i/>
                <w:sz w:val="20"/>
              </w:rPr>
              <w:t xml:space="preserve">Operating costs </w:t>
            </w:r>
            <w:r>
              <w:rPr>
                <w:rFonts w:ascii="Times New Roman;Times;serif" w:hAnsi="Times New Roman;Times;serif"/>
                <w:b w:val="false"/>
                <w:i w:val="false"/>
                <w:caps w:val="false"/>
                <w:smallCaps w:val="false"/>
                <w:sz w:val="20"/>
              </w:rPr>
              <w:t>includes: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Direct operating expense </w:t>
            </w:r>
            <w:r>
              <w:rPr>
                <w:rFonts w:ascii="Times New Roman;Times;serif" w:hAnsi="Times New Roman;Times;serif"/>
                <w:b w:val="false"/>
                <w:i w:val="false"/>
                <w:caps w:val="false"/>
                <w:smallCaps w:val="false"/>
                <w:sz w:val="20"/>
              </w:rPr>
              <w:t>includes transportation costs, transportation brokerage expenses, agency commissions, leases of warehouses, cross-dock and other facility operating costs, wages and other related costs, and other operating overhead.</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Depreciation and amortization expense</w:t>
            </w:r>
            <w:r>
              <w:rPr>
                <w:caps w:val="false"/>
                <w:smallCaps w:val="false"/>
              </w:rPr>
              <w:t xml:space="preserve"> </w:t>
            </w:r>
            <w:r>
              <w:rPr>
                <w:rFonts w:ascii="Times New Roman;Times;serif" w:hAnsi="Times New Roman;Times;serif"/>
                <w:b w:val="false"/>
                <w:i w:val="false"/>
                <w:caps w:val="false"/>
                <w:smallCaps w:val="false"/>
                <w:sz w:val="20"/>
              </w:rPr>
              <w:t xml:space="preserve">includes depreciation of property and equipment and amortization of intangible assets.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General and administrative expense</w:t>
            </w:r>
            <w:r>
              <w:rPr>
                <w:caps w:val="false"/>
                <w:smallCaps w:val="false"/>
              </w:rPr>
              <w:t xml:space="preserve"> </w:t>
            </w:r>
            <w:r>
              <w:rPr>
                <w:rFonts w:ascii="Times New Roman;Times;serif" w:hAnsi="Times New Roman;Times;serif"/>
                <w:b w:val="false"/>
                <w:i w:val="false"/>
                <w:caps w:val="false"/>
                <w:smallCaps w:val="false"/>
                <w:sz w:val="20"/>
              </w:rPr>
              <w:t>includes employee salaries, wages and other related costs, computer hardware and software, professional fees and other general and administrative expenses.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Ocean Transportation segment provides ocean transportation services to the Logistics segment, and the Logistics segment provides logistics services to the Ocean Transportation segment in certain transactions. Accordingly, inter-segment revenue of $62.5 million and $61.8 million for the </w:t>
      </w:r>
      <w:r>
        <w:rPr>
          <w:rFonts w:ascii="Times New Roman;Times;serif" w:hAnsi="Times New Roman;Times;serif"/>
          <w:sz w:val="20"/>
          <w:shd w:fill="FFFFFF" w:val="clear"/>
        </w:rPr>
        <w:t>three months</w:t>
      </w:r>
      <w:r>
        <w:rPr>
          <w:rFonts w:ascii="Times New Roman;Times;serif" w:hAnsi="Times New Roman;Times;serif"/>
          <w:sz w:val="20"/>
        </w:rPr>
        <w:t xml:space="preserve"> ended </w:t>
      </w:r>
      <w:r>
        <w:rPr>
          <w:rFonts w:ascii="Times New Roman;Times;serif" w:hAnsi="Times New Roman;Times;serif"/>
          <w:sz w:val="20"/>
          <w:shd w:fill="FFFFFF" w:val="clear"/>
        </w:rPr>
        <w:t>June 30</w:t>
      </w:r>
      <w:r>
        <w:rPr>
          <w:rFonts w:ascii="Times New Roman;Times;serif" w:hAnsi="Times New Roman;Times;serif"/>
          <w:sz w:val="20"/>
        </w:rPr>
        <w:t>, 2025 and 2024, and $116.5 million and $108.4 million for the six months ended June 30, 2025 and 2024, respectively, have been eliminated from consolidated operating revenues. In arrangements where the customer purchases ocean transportation and logistics services, the revenues are allocated to each reportable segment based upon the contractual amounts for each type of service.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36" w:name="Tc_QPOoo4c_ckmbXXJ1xy9n1w_8_11"/>
      <w:bookmarkStart w:id="937" w:name="Tc_MDaQih0XckajlSUqT96TBQ_8_8"/>
      <w:bookmarkStart w:id="938" w:name="Tc_qZfchhIhhEeJehLY78_-Og_8_5"/>
      <w:bookmarkStart w:id="939" w:name="Tc_tVDMCiEzD0iLFeSujkw54g_8_2"/>
      <w:bookmarkStart w:id="940" w:name="Tc_g5bqeVvqA06GojQItH7QZg_8_0"/>
      <w:bookmarkStart w:id="941" w:name="Tc_6zR3lYqJoUCxeRU6BNtN-w_7_11"/>
      <w:bookmarkStart w:id="942" w:name="Tc__CrHNWeBz0S05aQjBFIVSA_7_8"/>
      <w:bookmarkStart w:id="943" w:name="Tc_2BGtt3lODEWUZjVvGYydvA_7_5"/>
      <w:bookmarkStart w:id="944" w:name="Tc_i4myIGwbO024qDdykMJgHg_7_2"/>
      <w:bookmarkStart w:id="945" w:name="Tc_wi37b7No9UCdOXly9lBBEQ_7_0"/>
      <w:bookmarkStart w:id="946" w:name="Tc_m1yHCpVAA0mtH_4_uintRQ_6_0"/>
      <w:bookmarkStart w:id="947" w:name="Tc_cVNewLNClkWv7REG6FiITg_5_0"/>
      <w:bookmarkStart w:id="948" w:name="Tc_zwwW0Y4Qq0q0Q7vpPqYFpA_4_11"/>
      <w:bookmarkStart w:id="949" w:name="Tc_PTrdgwkpCESjSWHOPZJSJg_4_8"/>
      <w:bookmarkStart w:id="950" w:name="Tc_ENRnTRaiVk6CtlETZHx5Xg_4_5"/>
      <w:bookmarkStart w:id="951" w:name="Tc_QJJZ9DoCMUqCusihmsl85Q_4_2"/>
      <w:bookmarkStart w:id="952" w:name="Tc_GgnrLXWW8EyJlNUl7X7utA_4_0"/>
      <w:bookmarkStart w:id="953" w:name="Tc_rNVm7rVqBkiLodpFup7u-A_3_11"/>
      <w:bookmarkStart w:id="954" w:name="Tc_kOuRbDGZVUOIAg3t7A4t-A_3_8"/>
      <w:bookmarkStart w:id="955" w:name="Tc_Jn9pmn9pYEq4OTWfR5sndw_3_5"/>
      <w:bookmarkStart w:id="956" w:name="Tc_JmOvRetPq0KbtTZJz-Rgfg_3_2"/>
      <w:bookmarkStart w:id="957" w:name="Tc_5izc739AuEOI_ceXrD_9Eg_3_0"/>
      <w:bookmarkStart w:id="958" w:name="Tc_FCeuvuFHiE22lwracnW8cQ_2_8"/>
      <w:bookmarkStart w:id="959" w:name="Tc_cjLC50VjgEuBAVjTytBMRw_2_2"/>
      <w:bookmarkStart w:id="960" w:name="Tc_gtX5W8BlXkK7M0GZuQTEbQ_1_8"/>
      <w:bookmarkStart w:id="961" w:name="Tc_sptwUWg7QEel1zLiNG2PWA_1_2"/>
      <w:bookmarkStart w:id="962" w:name="_6be2f3e3_8a73_4a6a_b649_0cc3ac0f7e09"/>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r>
        <w:rPr>
          <w:rFonts w:ascii="Times New Roman;Times;serif" w:hAnsi="Times New Roman;Times;serif"/>
          <w:b/>
          <w:sz w:val="20"/>
        </w:rPr>
        <w:t>4.          INVESTMENT IN SSAT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 in SSAT is described in Note 4 to the Consolidated Financial Statements included in the Company’s Annual Report on Form 10-K for the year ended December 31, 2024. Condensed income statement information for SSAT for the three and six months ended June 30, 2025 and 2024 consisted of the following:</w:t>
      </w:r>
    </w:p>
    <w:p>
      <w:pPr>
        <w:pStyle w:val="TextBody"/>
        <w:bidi w:val="0"/>
        <w:spacing w:before="0" w:after="0"/>
        <w:ind w:left="0" w:right="0" w:hanging="0"/>
        <w:jc w:val="left"/>
        <w:rPr/>
      </w:pPr>
      <w:r>
        <w:rPr/>
        <w:t>​</w:t>
      </w:r>
    </w:p>
    <w:tbl>
      <w:tblPr>
        <w:tblW w:w="8892" w:type="dxa"/>
        <w:jc w:val="left"/>
        <w:tblInd w:w="0" w:type="dxa"/>
        <w:tblLayout w:type="fixed"/>
        <w:tblCellMar>
          <w:top w:w="0" w:type="dxa"/>
          <w:left w:w="0" w:type="dxa"/>
          <w:bottom w:w="0" w:type="dxa"/>
          <w:right w:w="0" w:type="dxa"/>
        </w:tblCellMar>
      </w:tblPr>
      <w:tblGrid>
        <w:gridCol w:w="4186"/>
        <w:gridCol w:w="109"/>
        <w:gridCol w:w="211"/>
        <w:gridCol w:w="691"/>
        <w:gridCol w:w="326"/>
        <w:gridCol w:w="211"/>
        <w:gridCol w:w="691"/>
        <w:gridCol w:w="146"/>
        <w:gridCol w:w="211"/>
        <w:gridCol w:w="691"/>
        <w:gridCol w:w="326"/>
        <w:gridCol w:w="211"/>
        <w:gridCol w:w="691"/>
        <w:gridCol w:w="191"/>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658110" cy="175260"/>
                      <wp:effectExtent l="0" t="0" r="0" b="0"/>
                      <wp:wrapNone/>
                      <wp:docPr id="136" name="Frame136"/>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38785" cy="175260"/>
                      <wp:effectExtent l="0" t="0" r="0" b="0"/>
                      <wp:wrapNone/>
                      <wp:docPr id="139" name="Frame1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8785" cy="175260"/>
                      <wp:effectExtent l="0" t="0" r="0" b="0"/>
                      <wp:wrapNone/>
                      <wp:docPr id="142" name="Frame1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92710" cy="175260"/>
                      <wp:effectExtent l="0" t="0" r="0" b="0"/>
                      <wp:wrapNone/>
                      <wp:docPr id="143" name="Frame14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8785" cy="175260"/>
                      <wp:effectExtent l="0" t="0" r="0" b="0"/>
                      <wp:wrapNone/>
                      <wp:docPr id="145" name="Frame1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38785" cy="175260"/>
                      <wp:effectExtent l="0" t="0" r="0" b="0"/>
                      <wp:wrapNone/>
                      <wp:docPr id="148" name="Frame1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21285" cy="175260"/>
                      <wp:effectExtent l="0" t="0" r="0" b="0"/>
                      <wp:wrapNone/>
                      <wp:docPr id="149" name="Frame14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91" w:type="dxa"/>
            <w:tcBorders/>
            <w:vAlign w:val="center"/>
          </w:tcPr>
          <w:p>
            <w:pPr>
              <w:pStyle w:val="TableContents"/>
              <w:bidi w:val="0"/>
              <w:spacing w:before="0" w:after="0"/>
              <w:ind w:left="0" w:right="0" w:hanging="0"/>
              <w:jc w:val="left"/>
              <w:rPr/>
            </w:pPr>
            <w:r>
              <w:rPr/>
              <w:t> </w:t>
            </w:r>
          </w:p>
        </w:tc>
      </w:tr>
      <w:tr>
        <w:trPr/>
        <w:tc>
          <w:tcPr>
            <w:tcW w:w="4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 </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91" w:type="dxa"/>
            <w:tcBorders/>
            <w:vAlign w:val="center"/>
          </w:tcPr>
          <w:p>
            <w:pPr>
              <w:pStyle w:val="TableContents"/>
              <w:bidi w:val="0"/>
              <w:spacing w:before="0" w:after="0"/>
              <w:ind w:left="0" w:right="0" w:hanging="0"/>
              <w:jc w:val="left"/>
              <w:rPr/>
            </w:pPr>
            <w:r>
              <w:rPr/>
              <w:t> </w:t>
            </w:r>
          </w:p>
        </w:tc>
      </w:tr>
      <w:tr>
        <w:trPr/>
        <w:tc>
          <w:tcPr>
            <w:tcW w:w="41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 </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(556.9)</w:t>
            </w:r>
          </w:p>
        </w:tc>
        <w:tc>
          <w:tcPr>
            <w:tcW w:w="1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SSAT’s Net Income (Loss) (1)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Company’s Share of SSAT’s Net Income (Loss) (2)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007" w:type="dxa"/>
        <w:jc w:val="left"/>
        <w:tblInd w:w="0" w:type="dxa"/>
        <w:tblLayout w:type="fixed"/>
        <w:tblCellMar>
          <w:top w:w="0" w:type="dxa"/>
          <w:left w:w="0" w:type="dxa"/>
          <w:bottom w:w="0" w:type="dxa"/>
          <w:right w:w="0" w:type="dxa"/>
        </w:tblCellMar>
      </w:tblPr>
      <w:tblGrid>
        <w:gridCol w:w="331"/>
        <w:gridCol w:w="967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earnings and losses from equity method investment held by SSAT less earnings and losses allocated to non-controlling interests.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Company records its share of net income (loss) from SSAT in costs and expenses in the Condensed Consolidated Statement of Income and Comprehensive Income due to the nature of SSAT’s operations.</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 in SSAT was $98.3 million and $84.1 million at June 30, 2025 and December 31,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1, 2024, SSAT completed the sale of 25 percent of its equity interest in SSA Terminals (Seattle Terminals), LLC (“SSAT ST”) to a third-party company. After the completion of this transaction, SSAT retains a 50 percent controlling interest in SSAT ST, while the third-party company increased its non-controlling interest to 50 percent in SSAT ST. As a result of this transaction during the three months ended March 31, 2024, the Company recorded an increase in its investment in SSAT of approximately $13.2 million and increase in deferred income taxes of $3.1 million, and a corresponding increase in retained earnings of $10.1 million.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63" w:name="Tc_C8efkB3tUku1Z9_MM-5BNQ_11_5"/>
      <w:bookmarkStart w:id="964" w:name="Tc_BfuJQKIr806kHPCVTTPcrQ_11_2"/>
      <w:bookmarkStart w:id="965" w:name="Tc_owrEQoKeWkmOi1xXhvdjXA_11_0"/>
      <w:bookmarkStart w:id="966" w:name="Tc_MUtBB9xb2U-grGZhnItj-g_10_0"/>
      <w:bookmarkStart w:id="967" w:name="Tc_wN4ikf3AY0-Mt98hQ_S1vA_9_0"/>
      <w:bookmarkStart w:id="968" w:name="Tc_Uf0JHBXOu0eMiUSuVwcEfQ_8_0"/>
      <w:bookmarkStart w:id="969" w:name="Tc_bRbN0WZ-Fk2d9Qfmxpuvog_7_0"/>
      <w:bookmarkStart w:id="970" w:name="Tc__9goep-SU0m-OKcQ9pn3Gg_6_0"/>
      <w:bookmarkStart w:id="971" w:name="Tc_tLScby8cbky8hDAhGmVeWw_5_0"/>
      <w:bookmarkStart w:id="972" w:name="Tc_uFp8ZDMG30uyLef3AzyWNA_4_5"/>
      <w:bookmarkStart w:id="973" w:name="Tc_Ohw0Ml7y9k-naROBoErP-w_4_2"/>
      <w:bookmarkStart w:id="974" w:name="Tc_FIYBKOik7kidBECVGvsozw_4_0"/>
      <w:bookmarkStart w:id="975" w:name="Tc_nwwo4vwID0yQoib9j5d0YA_3_0"/>
      <w:bookmarkStart w:id="976" w:name="Tc_0dZ2ySJ-vkWdQL1ZcWEaGw_2_5"/>
      <w:bookmarkStart w:id="977" w:name="Tc_A5GdJVkSMkO1OMmQRe5Zjg_2_2"/>
      <w:bookmarkStart w:id="978" w:name="Tc_s1wevD2I9kmmUXYBGIB90Q_2_0"/>
      <w:bookmarkStart w:id="979" w:name="Tc_VxDfeZQItUOn2rZULLKUjA_1_5"/>
      <w:bookmarkStart w:id="980" w:name="Tc_suI3wHOmNECF4EizQ_qpRw_1_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r>
        <w:rPr>
          <w:rFonts w:ascii="Times New Roman;Times;serif" w:hAnsi="Times New Roman;Times;serif"/>
          <w:b/>
          <w:sz w:val="20"/>
        </w:rPr>
        <w:t>5.          PROPERTY AND EQUIPMENT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as of June 30, 2025 and December 31, 2024 consisted of the following:</w:t>
      </w:r>
    </w:p>
    <w:p>
      <w:pPr>
        <w:pStyle w:val="TextBody"/>
        <w:bidi w:val="0"/>
        <w:spacing w:before="0" w:after="0"/>
        <w:ind w:left="0" w:right="0" w:hanging="0"/>
        <w:jc w:val="left"/>
        <w:rPr/>
      </w:pPr>
      <w:r>
        <w:rPr/>
        <w:t>​</w:t>
      </w:r>
    </w:p>
    <w:tbl>
      <w:tblPr>
        <w:tblW w:w="6205" w:type="dxa"/>
        <w:jc w:val="left"/>
        <w:tblInd w:w="0" w:type="dxa"/>
        <w:tblLayout w:type="fixed"/>
        <w:tblCellMar>
          <w:top w:w="0" w:type="dxa"/>
          <w:left w:w="0" w:type="dxa"/>
          <w:bottom w:w="0" w:type="dxa"/>
          <w:right w:w="0" w:type="dxa"/>
        </w:tblCellMar>
      </w:tblPr>
      <w:tblGrid>
        <w:gridCol w:w="3316"/>
        <w:gridCol w:w="326"/>
        <w:gridCol w:w="211"/>
        <w:gridCol w:w="841"/>
        <w:gridCol w:w="326"/>
        <w:gridCol w:w="228"/>
        <w:gridCol w:w="957"/>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05660" cy="175260"/>
                      <wp:effectExtent l="0" t="0" r="0" b="0"/>
                      <wp:wrapNone/>
                      <wp:docPr id="150" name="Frame150"/>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34035" cy="175260"/>
                      <wp:effectExtent l="0" t="0" r="0" b="0"/>
                      <wp:wrapNone/>
                      <wp:docPr id="153" name="Frame15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44780" cy="175260"/>
                      <wp:effectExtent l="0" t="0" r="0" b="0"/>
                      <wp:wrapNone/>
                      <wp:docPr id="155" name="Frame15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07695" cy="175260"/>
                      <wp:effectExtent l="0" t="0" r="0" b="0"/>
                      <wp:wrapNone/>
                      <wp:docPr id="156" name="Frame156"/>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2,487.0</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2,475.2</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Containers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910.8</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883.8</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equipment and other property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vessel construction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302.9</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construction in progress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3,916.5</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3,752.7</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(1,556.8)</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(1,491.8)</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2,359.7</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2,260.9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vessel construction in progress at June 30, 2025 and December 31, 2024 includes milestone progress payments, capitalized interest and other costs related to the construction of three new Jones Act vessels.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81" w:name="Tc_231S-l7PJUy-eVGRSErH3g_10_5"/>
      <w:bookmarkStart w:id="982" w:name="Tc_kiu6P1GDjEWJ38rFYBHyGA_10_2"/>
      <w:bookmarkStart w:id="983" w:name="Tc_czgxrKYMSUymXeQGyBmCoQ_10_0"/>
      <w:bookmarkStart w:id="984" w:name="Tc_jnTz7ZXQE06Z57qH_9kQVA_9_0"/>
      <w:bookmarkStart w:id="985" w:name="Tc_R-MAUg7eXEGYVQX6-Qtteg_8_0"/>
      <w:bookmarkStart w:id="986" w:name="Tc_HB4Km7hkq021QolG5JFOlA_7_0"/>
      <w:bookmarkStart w:id="987" w:name="Tc_XF6ObeB5nkKkOvBByQuxUw_6_0"/>
      <w:bookmarkStart w:id="988" w:name="Tc_v203NXhPn0S8TMko0b6NcA_5_0"/>
      <w:bookmarkStart w:id="989" w:name="Tc_664jm6YWOkujHAsRA-KlYA_4_5"/>
      <w:bookmarkStart w:id="990" w:name="Tc_FpvGoiJJGUWZ-FJVUxUxPQ_4_2"/>
      <w:bookmarkStart w:id="991" w:name="Tc_oYJEzwWs20K44YUkxX5pKw_4_0"/>
      <w:bookmarkStart w:id="992" w:name="Tc_er_m1CWagU-nMMX68Nhr_w_3_0"/>
      <w:bookmarkStart w:id="993" w:name="Tc_uK3T8xFIPk6cPAXPMrkZEw_2_5"/>
      <w:bookmarkStart w:id="994" w:name="Tc_6ENwS_PHF0i7FISyrB26aA_2_2"/>
      <w:bookmarkStart w:id="995" w:name="Tc_bJqCWRtTqESZkqfa8KNe7g_2_0"/>
      <w:bookmarkStart w:id="996" w:name="Tc_eId-9kd4oEC2wWRQdmyrQw_1_5"/>
      <w:bookmarkStart w:id="997" w:name="Tc_Wlv7RVsPvkunpXOuLWAwRQ_1_2"/>
      <w:bookmarkStart w:id="998" w:name="Tc_8kibdmai40qZ_stgK0un0A_3_8"/>
      <w:bookmarkStart w:id="999" w:name="Tc_zTlVtqW8_EWgPiWgnlApBg_3_5"/>
      <w:bookmarkStart w:id="1000" w:name="Tc_CTn3Qkuzr0Kgy_kZGd8K0A_3_2"/>
      <w:bookmarkStart w:id="1001" w:name="Tc_C0OKjVmR2UuC5tSXpguiCg_3_0"/>
      <w:bookmarkStart w:id="1002" w:name="Tc_-e5U_oXQjkGxFf0l4jO8zw_2_8"/>
      <w:bookmarkStart w:id="1003" w:name="Tc_knm9iXSXLUSfm0kqkAJTgw_2_5"/>
      <w:bookmarkStart w:id="1004" w:name="Tc_cVGO8xXu0U-k3lhumiI2Yg_2_2"/>
      <w:bookmarkStart w:id="1005" w:name="Tc_OYM5xHgqHke-GusjIw7KGA_2_0"/>
      <w:bookmarkStart w:id="1006" w:name="Tc_B7kVZnVXyEuGnkhF3uAM2Q_1_2"/>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r>
        <w:rPr>
          <w:rFonts w:ascii="Times New Roman;Times;serif" w:hAnsi="Times New Roman;Times;serif"/>
          <w:b/>
          <w:sz w:val="20"/>
        </w:rPr>
        <w:t>6.          GOODWILL AND INTANGIBLES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by segment as of June 30, 2025 and December 31, 2024 consisted of the following:</w:t>
      </w:r>
    </w:p>
    <w:p>
      <w:pPr>
        <w:pStyle w:val="TextBody"/>
        <w:bidi w:val="0"/>
        <w:spacing w:before="0" w:after="0"/>
        <w:ind w:left="0" w:right="0" w:hanging="0"/>
        <w:jc w:val="left"/>
        <w:rPr/>
      </w:pPr>
      <w:r>
        <w:rPr/>
        <w:t>​</w:t>
      </w:r>
    </w:p>
    <w:tbl>
      <w:tblPr>
        <w:tblW w:w="4940" w:type="dxa"/>
        <w:jc w:val="left"/>
        <w:tblInd w:w="0" w:type="dxa"/>
        <w:tblLayout w:type="fixed"/>
        <w:tblCellMar>
          <w:top w:w="0" w:type="dxa"/>
          <w:left w:w="0" w:type="dxa"/>
          <w:bottom w:w="0" w:type="dxa"/>
          <w:right w:w="0" w:type="dxa"/>
        </w:tblCellMar>
      </w:tblPr>
      <w:tblGrid>
        <w:gridCol w:w="991"/>
        <w:gridCol w:w="326"/>
        <w:gridCol w:w="328"/>
        <w:gridCol w:w="888"/>
        <w:gridCol w:w="326"/>
        <w:gridCol w:w="211"/>
        <w:gridCol w:w="571"/>
        <w:gridCol w:w="326"/>
        <w:gridCol w:w="211"/>
        <w:gridCol w:w="571"/>
        <w:gridCol w:w="191"/>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29285" cy="175260"/>
                      <wp:effectExtent l="0" t="0" r="0" b="0"/>
                      <wp:wrapNone/>
                      <wp:docPr id="157" name="Frame15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8280" cy="175260"/>
                      <wp:effectExtent l="0" t="0" r="0" b="0"/>
                      <wp:wrapNone/>
                      <wp:docPr id="159" name="Frame15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63880" cy="175260"/>
                      <wp:effectExtent l="0" t="0" r="0" b="0"/>
                      <wp:wrapNone/>
                      <wp:docPr id="160" name="Frame160"/>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62585" cy="175260"/>
                      <wp:effectExtent l="0" t="0" r="0" b="0"/>
                      <wp:wrapNone/>
                      <wp:docPr id="163" name="Frame1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62585" cy="175260"/>
                      <wp:effectExtent l="0" t="0" r="0" b="0"/>
                      <wp:wrapNone/>
                      <wp:docPr id="166" name="Frame16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1285" cy="175260"/>
                      <wp:effectExtent l="0" t="0" r="0" b="0"/>
                      <wp:wrapNone/>
                      <wp:docPr id="167" name="Frame16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Ocean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Transportation</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Logistics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Intangible assets as of June 30, 2025 and December 31, 2024 consisted of the following: </w:t>
      </w:r>
    </w:p>
    <w:p>
      <w:pPr>
        <w:pStyle w:val="TextBody"/>
        <w:bidi w:val="0"/>
        <w:spacing w:lineRule="atLeast" w:line="200" w:before="0" w:after="0"/>
        <w:ind w:left="0" w:right="0" w:hanging="0"/>
        <w:jc w:val="left"/>
        <w:rPr/>
      </w:pPr>
      <w:r>
        <w:rPr/>
        <w:t>​</w:t>
      </w:r>
    </w:p>
    <w:tbl>
      <w:tblPr>
        <w:tblW w:w="5744" w:type="dxa"/>
        <w:jc w:val="left"/>
        <w:tblInd w:w="0" w:type="dxa"/>
        <w:tblLayout w:type="fixed"/>
        <w:tblCellMar>
          <w:top w:w="0" w:type="dxa"/>
          <w:left w:w="0" w:type="dxa"/>
          <w:bottom w:w="0" w:type="dxa"/>
          <w:right w:w="0" w:type="dxa"/>
        </w:tblCellMar>
      </w:tblPr>
      <w:tblGrid>
        <w:gridCol w:w="2896"/>
        <w:gridCol w:w="326"/>
        <w:gridCol w:w="211"/>
        <w:gridCol w:w="691"/>
        <w:gridCol w:w="326"/>
        <w:gridCol w:w="285"/>
        <w:gridCol w:w="855"/>
        <w:gridCol w:w="1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838960" cy="175260"/>
                      <wp:effectExtent l="0" t="0" r="0" b="0"/>
                      <wp:wrapNone/>
                      <wp:docPr id="168" name="Frame168"/>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38785" cy="175260"/>
                      <wp:effectExtent l="0" t="0" r="0" b="0"/>
                      <wp:wrapNone/>
                      <wp:docPr id="171" name="Frame1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80975" cy="175260"/>
                      <wp:effectExtent l="0" t="0" r="0" b="0"/>
                      <wp:wrapNone/>
                      <wp:docPr id="173" name="Frame17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42925" cy="175260"/>
                      <wp:effectExtent l="0" t="0" r="0" b="0"/>
                      <wp:wrapNone/>
                      <wp:docPr id="174" name="Frame174"/>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97790" cy="175260"/>
                      <wp:effectExtent l="0" t="0" r="0" b="0"/>
                      <wp:wrapNone/>
                      <wp:docPr id="175" name="Frame17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Customer Relationships,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 – 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evaluates its goodwill and intangible assets for possible impairment in the fourth quarter, or whenever events or changes in circumstances indicate that it is more likely than not that the fair value is less than its carrying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amount. The Company has reporting units within the Ocean Transportation and Logistics reportable segments. The Company considered the general economic and market conditions and its impact on the performance of each of the Company’s reporting units. Based on the Company’s assessment of its market capitalization, future forecasts and the amount of excess of fair value over the carrying value of the reporting units in the 2024 annual impairment tests, the Company concluded that an impairment triggering event did not occur during the three and six months ended June 30,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continues to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including the impact of tariffs. It is possible that future changes in such circumstances, including future changes in the assumptions and estimates used in assessing the fair value of the reporting unit, could require the Company to record a non-cash impairment charge.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07" w:name="Tc_40Tlx0PJxkKQRyIPPSfXZQ_19_5"/>
      <w:bookmarkStart w:id="1008" w:name="Tc_LBeZS4hNv0KgydAoM-vdhw_19_2"/>
      <w:bookmarkStart w:id="1009" w:name="Tc_L9ETgxGQIkKz6Os8zFoSJg_19_0"/>
      <w:bookmarkStart w:id="1010" w:name="Tc_pVZQW_vmbkqxtt8o27Jakw_18_0"/>
      <w:bookmarkStart w:id="1011" w:name="Tc_2zEPQQqydUGKBHWwL5yMtw_17_0"/>
      <w:bookmarkStart w:id="1012" w:name="Tc_iminTwGFp0WQKNwN_ujsQQ_16_6"/>
      <w:bookmarkStart w:id="1013" w:name="Tc_BgAI5BgmU0CXYNHuYyd6wA_16_0"/>
      <w:bookmarkStart w:id="1014" w:name="Tc_XTw2me42ikWiIEfINEe9lA_15_3"/>
      <w:bookmarkStart w:id="1015" w:name="Tc_TzquT2if6ESHVUy025c7ZQ_15_0"/>
      <w:bookmarkStart w:id="1016" w:name="Tc_YV5OnlI8L0GgIpH7rmvtHQ_14_6"/>
      <w:bookmarkStart w:id="1017" w:name="Tc_5WFrDbClq0GG9muibTSBaQ_14_0"/>
      <w:bookmarkStart w:id="1018" w:name="Tc_Gb1640tWF0SPQhqxIlx-TA_13_0"/>
      <w:bookmarkStart w:id="1019" w:name="Tc_pL5kyg5r7Eyy3LFDL7YZjQ_11_0"/>
      <w:bookmarkStart w:id="1020" w:name="Tc_891Nz-xxvUq6cm3tIj7RcQ_10_0"/>
      <w:bookmarkStart w:id="1021" w:name="Tc_WU5VQKDsrkGBLA8fdF4MZQ_9_0"/>
      <w:bookmarkStart w:id="1022" w:name="Tc_i4FoFngHcUO0cPy_iVu5WA_8_0"/>
      <w:bookmarkStart w:id="1023" w:name="Tc_xzZsA7PJNky60JKiRG4h9Q_7_6"/>
      <w:bookmarkStart w:id="1024" w:name="Tc_8DsSJoMKfk2uYbxiIrBWxw_7_0"/>
      <w:bookmarkStart w:id="1025" w:name="Tc_p-CB4_x7HEiwEaWrXO8nvA_6_3"/>
      <w:bookmarkStart w:id="1026" w:name="Tc_VtChXq1uHkid2FIysSVh3A_6_0"/>
      <w:bookmarkStart w:id="1027" w:name="Tc_ii-KqgKty02qYiLSZg9UkQ_5_5"/>
      <w:bookmarkStart w:id="1028" w:name="Tc_M2-1YST420mQavuuKnPQEg_5_2"/>
      <w:bookmarkStart w:id="1029" w:name="Tc_gyQuTaksf0at8WgE5E02ig_5_0"/>
      <w:bookmarkStart w:id="1030" w:name="Tc_zqun1J0M-EOOjAjtk_-KKg_4_0"/>
      <w:bookmarkStart w:id="1031" w:name="Tc_bU_I0iFoTECXattiNNHoZQ_3_5"/>
      <w:bookmarkStart w:id="1032" w:name="Tc_Ch2GNkSObkaraOVBfbL0uA_3_2"/>
      <w:bookmarkStart w:id="1033" w:name="Tc_UhyDRCu80Ei21UNYUXuhKg_3_0"/>
      <w:bookmarkStart w:id="1034" w:name="Tc_ct8grNtgBE6G-z55mSncIQ_2_2"/>
      <w:bookmarkStart w:id="1035" w:name="Tc_R_JzJ1oOcUmBbhDTyO3wXA_1_2"/>
      <w:bookmarkStart w:id="1036" w:name="_Hlk164156128"/>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r>
        <w:rPr>
          <w:rFonts w:ascii="Times New Roman;Times;serif" w:hAnsi="Times New Roman;Times;serif"/>
          <w:b/>
          <w:sz w:val="20"/>
        </w:rPr>
        <w:t>7.</w:t>
      </w:r>
      <w:r>
        <w:rPr>
          <w:rFonts w:ascii="Times New Roman;Times;serif" w:hAnsi="Times New Roman;Times;serif"/>
          <w:sz w:val="20"/>
        </w:rPr>
        <w:t>          </w:t>
      </w:r>
      <w:r>
        <w:rPr>
          <w:rFonts w:ascii="Times New Roman;Times;serif" w:hAnsi="Times New Roman;Times;serif"/>
          <w:b/>
          <w:sz w:val="20"/>
        </w:rPr>
        <w:t>CAPITAL CONSTRUCTION FUND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Capital Construction Fund (“CCF”) is described in Note 7 to the Consolidated Financial Statements included in Part II, Item 8 of the Company’s Annual Report on Form 10-K for the year ended December 31, 2024. A summary of the activities within the CCF cash and cash equivalents, and investments account for the six months ended June 30, 2025 and 2024 consisted of the following:</w:t>
      </w:r>
    </w:p>
    <w:p>
      <w:pPr>
        <w:pStyle w:val="TextBody"/>
        <w:bidi w:val="0"/>
        <w:spacing w:before="0" w:after="0"/>
        <w:ind w:left="0" w:right="0" w:hanging="0"/>
        <w:jc w:val="left"/>
        <w:rPr/>
      </w:pPr>
      <w:r>
        <w:rPr/>
        <w:t>​</w:t>
      </w:r>
    </w:p>
    <w:tbl>
      <w:tblPr>
        <w:tblW w:w="8592" w:type="dxa"/>
        <w:jc w:val="left"/>
        <w:tblInd w:w="0" w:type="dxa"/>
        <w:tblLayout w:type="fixed"/>
        <w:tblCellMar>
          <w:top w:w="0" w:type="dxa"/>
          <w:left w:w="0" w:type="dxa"/>
          <w:bottom w:w="0" w:type="dxa"/>
          <w:right w:w="0" w:type="dxa"/>
        </w:tblCellMar>
      </w:tblPr>
      <w:tblGrid>
        <w:gridCol w:w="6241"/>
        <w:gridCol w:w="326"/>
        <w:gridCol w:w="196"/>
        <w:gridCol w:w="631"/>
        <w:gridCol w:w="326"/>
        <w:gridCol w:w="196"/>
        <w:gridCol w:w="676"/>
      </w:tblGrid>
      <w:tr>
        <w:trPr/>
        <w:tc>
          <w:tcPr>
            <w:tcW w:w="6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963035" cy="175260"/>
                      <wp:effectExtent l="0" t="0" r="0" b="0"/>
                      <wp:wrapNone/>
                      <wp:docPr id="176" name="Frame176"/>
                      <a:graphic xmlns:a="http://schemas.openxmlformats.org/drawingml/2006/main">
                        <a:graphicData uri="http://schemas.microsoft.com/office/word/2010/wordprocessingShape">
                          <wps:wsp>
                            <wps:cNvSpPr txBox="1"/>
                            <wps:spPr>
                              <a:xfrm>
                                <a:off x="0" y="0"/>
                                <a:ext cx="396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4460" cy="175260"/>
                      <wp:effectExtent l="0" t="0" r="0" b="0"/>
                      <wp:wrapNone/>
                      <wp:docPr id="178" name="Frame1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00685" cy="175260"/>
                      <wp:effectExtent l="0" t="0" r="0" b="0"/>
                      <wp:wrapNone/>
                      <wp:docPr id="179" name="Frame17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24460" cy="175260"/>
                      <wp:effectExtent l="0" t="0" r="0" b="0"/>
                      <wp:wrapNone/>
                      <wp:docPr id="181" name="Frame1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29260" cy="175260"/>
                      <wp:effectExtent l="0" t="0" r="0" b="0"/>
                      <wp:wrapNone/>
                      <wp:docPr id="182" name="Frame1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6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cash and cash equivalents balance at beginning of period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599.4</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withdrawal for the purchase of U.S. Treasury debt securities and accrued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(449.8)</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U.S. Treasury debt securities at maturity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on cash and cash equivalents, and CCF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assigned accounts receivable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Qualifying withdrawal payments for vessel construction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cash and cash equivalents balance at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160.6</w:t>
            </w:r>
          </w:p>
        </w:tc>
      </w:tr>
      <w:tr>
        <w:trPr/>
        <w:tc>
          <w:tcPr>
            <w:tcW w:w="62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investments 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U.S. Treasury debt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448.1</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 of U.S. Treasury debt securities at maturity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r>
      <w:tr>
        <w:trPr/>
        <w:tc>
          <w:tcPr>
            <w:tcW w:w="6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investments balance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453.3</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cash and cash equivalents, and investments balance at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656.7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613.9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Cash and Cash Equivalents:</w:t>
      </w:r>
      <w:r>
        <w:rPr>
          <w:rFonts w:ascii="Times New Roman;Times;serif" w:hAnsi="Times New Roman;Times;serif"/>
          <w:sz w:val="20"/>
        </w:rPr>
        <w:t xml:space="preserve"> Cash on deposit in the CCF account is invested in a short-term U.S. Treasury obligations fund with daily liquidity. At June 30, 2025, these short-term securities had a weighted average life of 99 days.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Investments:</w:t>
      </w:r>
      <w:r>
        <w:rPr>
          <w:rFonts w:ascii="Times New Roman;Times;serif" w:hAnsi="Times New Roman;Times;serif"/>
          <w:sz w:val="20"/>
        </w:rPr>
        <w:t xml:space="preserve"> In February 2024, the Company purchased approximately $448.1 million of fixed-rate U.S. Treasuries with accrued interest of $1.7 million using CCF cash. The fixed-rate debt securities were purchased at a discount and have various maturity dates of less than 2 years. The cost of these investments accretes to face value on a straight-line basis until maturity. Such accretion is included in interest income in the Condensed Consolidated Statements of Income and Comprehensive Income.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37" w:name="Tc_0PEU3vsZUE68u0Spr0DLsQ_7_5"/>
      <w:bookmarkStart w:id="1038" w:name="Tc_nRp3c2d8Qkegn6z6_5nqeQ_7_2"/>
      <w:bookmarkStart w:id="1039" w:name="Tc_djiT-XNUHEOi2WKk6ab9bQ_7_0"/>
      <w:bookmarkStart w:id="1040" w:name="Tc__qViJXbl2kWDMfXFlLaAxQ_6_0"/>
      <w:bookmarkStart w:id="1041" w:name="Tc_vgJ_XZRdMU-3Qkgfn_JoFg_5_0"/>
      <w:bookmarkStart w:id="1042" w:name="Tc_a9g8FKoPgE2mE3kEFSWXsA_4_5"/>
      <w:bookmarkStart w:id="1043" w:name="Tc_7EpjO2FBo0CDi_bybyPL_Q_4_2"/>
      <w:bookmarkStart w:id="1044" w:name="Tc_dsga1RQwm02akCPRyU58aQ_4_0"/>
      <w:bookmarkStart w:id="1045" w:name="Tc_DGDPsEBlvk2PHdOgx5GzEg_3_5"/>
      <w:bookmarkStart w:id="1046" w:name="Tc_C-jIxNB_HEKMdQ5oWJRW3Q_3_2"/>
      <w:bookmarkStart w:id="1047" w:name="Tc_xHuQDvlnAEeX12WoKNicZQ_3_0"/>
      <w:bookmarkStart w:id="1048" w:name="Tc_tvJ9zVhnTUSKjPzQjb04nA_2_2"/>
      <w:bookmarkStart w:id="1049" w:name="Tc_xASM8fXawkuuToDXlypoXw_1_2"/>
      <w:bookmarkEnd w:id="1037"/>
      <w:bookmarkEnd w:id="1038"/>
      <w:bookmarkEnd w:id="1039"/>
      <w:bookmarkEnd w:id="1040"/>
      <w:bookmarkEnd w:id="1041"/>
      <w:bookmarkEnd w:id="1042"/>
      <w:bookmarkEnd w:id="1043"/>
      <w:bookmarkEnd w:id="1044"/>
      <w:bookmarkEnd w:id="1045"/>
      <w:bookmarkEnd w:id="1046"/>
      <w:bookmarkEnd w:id="1047"/>
      <w:bookmarkEnd w:id="1048"/>
      <w:bookmarkEnd w:id="1049"/>
      <w:r>
        <w:rPr>
          <w:rFonts w:ascii="Times New Roman;Times;serif" w:hAnsi="Times New Roman;Times;serif"/>
          <w:sz w:val="20"/>
        </w:rPr>
        <w:t>As of June 30, 2025, CCF investments maturities are as follows:</w:t>
      </w:r>
    </w:p>
    <w:p>
      <w:pPr>
        <w:pStyle w:val="TextBody"/>
        <w:bidi w:val="0"/>
        <w:spacing w:before="0" w:after="0"/>
        <w:ind w:left="0" w:right="0" w:hanging="0"/>
        <w:jc w:val="left"/>
        <w:rPr/>
      </w:pPr>
      <w:r>
        <w:rPr/>
        <w:t>​</w:t>
      </w:r>
    </w:p>
    <w:tbl>
      <w:tblPr>
        <w:tblW w:w="4143" w:type="dxa"/>
        <w:jc w:val="left"/>
        <w:tblInd w:w="0" w:type="dxa"/>
        <w:tblLayout w:type="fixed"/>
        <w:tblCellMar>
          <w:top w:w="0" w:type="dxa"/>
          <w:left w:w="0" w:type="dxa"/>
          <w:bottom w:w="0" w:type="dxa"/>
          <w:right w:w="0" w:type="dxa"/>
        </w:tblCellMar>
      </w:tblPr>
      <w:tblGrid>
        <w:gridCol w:w="1996"/>
        <w:gridCol w:w="326"/>
        <w:gridCol w:w="211"/>
        <w:gridCol w:w="571"/>
        <w:gridCol w:w="109"/>
        <w:gridCol w:w="221"/>
        <w:gridCol w:w="709"/>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67460" cy="175260"/>
                      <wp:effectExtent l="0" t="0" r="0" b="0"/>
                      <wp:wrapNone/>
                      <wp:docPr id="183" name="Frame183"/>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62585" cy="175260"/>
                      <wp:effectExtent l="0" t="0" r="0" b="0"/>
                      <wp:wrapNone/>
                      <wp:docPr id="186" name="Frame1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0335" cy="175260"/>
                      <wp:effectExtent l="0" t="0" r="0" b="0"/>
                      <wp:wrapNone/>
                      <wp:docPr id="188" name="Frame18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50215" cy="175260"/>
                      <wp:effectExtent l="0" t="0" r="0" b="0"/>
                      <wp:wrapNone/>
                      <wp:docPr id="189" name="Frame189"/>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182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99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18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1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0"/>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CCF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327.4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cash and cash equivalents, and investments are classified as a long-term asset on the Company’s Condensed Consolidated Balance Sheets as the Company intends to use withdrawals to fund qualified milestone progress payments for the construction of three new Jones Act vessels.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Assigned Accounts Receivable:</w:t>
      </w:r>
      <w:r>
        <w:rPr>
          <w:rFonts w:ascii="Times New Roman;Times;serif" w:hAnsi="Times New Roman;Times;serif"/>
          <w:sz w:val="20"/>
        </w:rPr>
        <w:t xml:space="preserve"> As of June 30, 2025 and December 31, 2024, eligible accounts receivable of $80.2 million and $178.1 million were assigned to the CCF, respectively. Due to the nature of the assignment of eligible accounts receivable into the CCF, such assigned amounts are classified as part of accounts receivable in the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50" w:name="Tc_eo3hYwTeTEyrJXL9dafVPQ_13_5"/>
      <w:bookmarkStart w:id="1051" w:name="Tc_U_hm0azeCUKVLTMgsNY8Nw_13_2"/>
      <w:bookmarkStart w:id="1052" w:name="Tc_KPQpz3eWJUSCYfTZ76wVhg_13_0"/>
      <w:bookmarkStart w:id="1053" w:name="Tc_VBAuQufF60OMrl_qFZ1-Dg_12_0"/>
      <w:bookmarkStart w:id="1054" w:name="Tc_J06FMgKtr0OfLrsGb8S9SQ_11_0"/>
      <w:bookmarkStart w:id="1055" w:name="Tc_C-EqmNEnREK6akLhoh76bw_10_0"/>
      <w:bookmarkStart w:id="1056" w:name="Tc_oUyrerSj4EmIZ78cCCxdnA_9_0"/>
      <w:bookmarkStart w:id="1057" w:name="Tc_125HB0YKr0uDyQLKDKMO2w_8_0"/>
      <w:bookmarkStart w:id="1058" w:name="Tc_Y9pDncIuH0SBtSaKViBMeA_7_0"/>
      <w:bookmarkStart w:id="1059" w:name="Tc_ARLURZUR8EWlMmVoMpYsNw_6_0"/>
      <w:bookmarkStart w:id="1060" w:name="Tc_jDHK5BX4AEisBgCD-7KC8A_5_0"/>
      <w:bookmarkStart w:id="1061" w:name="Tc_MXgaTZH-XkKkhaJRdFWypQ_4_5"/>
      <w:bookmarkStart w:id="1062" w:name="Tc_HkWiZyiJT06ud5D-uD0vhg_4_2"/>
      <w:bookmarkStart w:id="1063" w:name="Tc_s0LNMflZ_0uFhYkBRxDwFw_4_0"/>
      <w:bookmarkStart w:id="1064" w:name="Tc_bAy1nFp3i0SaUMvvu6nmOg_3_0"/>
      <w:bookmarkStart w:id="1065" w:name="Tc_yhEJXsKSKkufUiHxKuqEjA_2_5"/>
      <w:bookmarkStart w:id="1066" w:name="Tc_6u1Cd_UrCUmTLKfpXRYACA_2_2"/>
      <w:bookmarkStart w:id="1067" w:name="Tc_1QZQqRMq1EC4nspbL96oHg_2_0"/>
      <w:bookmarkStart w:id="1068" w:name="Tc_rVSo8s0hTEeIw9_uGw618A_1_5"/>
      <w:bookmarkStart w:id="1069" w:name="Tc_YOeV7qeauk6cSbeH7xdYiA_1_2"/>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r>
        <w:rPr>
          <w:rFonts w:ascii="Times New Roman;Times;serif" w:hAnsi="Times New Roman;Times;serif"/>
          <w:b/>
          <w:sz w:val="20"/>
        </w:rPr>
        <w:t>8.</w:t>
      </w:r>
      <w:r>
        <w:rPr>
          <w:rFonts w:ascii="Times New Roman;Times;serif" w:hAnsi="Times New Roman;Times;serif"/>
          <w:sz w:val="20"/>
        </w:rPr>
        <w:t>          </w:t>
      </w:r>
      <w:r>
        <w:rPr>
          <w:rFonts w:ascii="Times New Roman;Times;serif" w:hAnsi="Times New Roman;Times;serif"/>
          <w:b/>
          <w:sz w:val="20"/>
        </w:rPr>
        <w:t>DEBT</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2025 and December 31, 2024, the Company’s debt consisted of the following:</w:t>
      </w:r>
    </w:p>
    <w:p>
      <w:pPr>
        <w:pStyle w:val="TextBody"/>
        <w:bidi w:val="0"/>
        <w:spacing w:lineRule="atLeast" w:line="200" w:before="0" w:after="0"/>
        <w:ind w:left="0" w:right="0" w:hanging="0"/>
        <w:jc w:val="left"/>
        <w:rPr/>
      </w:pPr>
      <w:r>
        <w:rPr/>
        <w:t>​</w:t>
      </w:r>
    </w:p>
    <w:tbl>
      <w:tblPr>
        <w:tblW w:w="6550" w:type="dxa"/>
        <w:jc w:val="left"/>
        <w:tblInd w:w="0" w:type="dxa"/>
        <w:tblLayout w:type="fixed"/>
        <w:tblCellMar>
          <w:top w:w="0" w:type="dxa"/>
          <w:left w:w="0" w:type="dxa"/>
          <w:bottom w:w="0" w:type="dxa"/>
          <w:right w:w="0" w:type="dxa"/>
        </w:tblCellMar>
      </w:tblPr>
      <w:tblGrid>
        <w:gridCol w:w="3916"/>
        <w:gridCol w:w="326"/>
        <w:gridCol w:w="211"/>
        <w:gridCol w:w="586"/>
        <w:gridCol w:w="326"/>
        <w:gridCol w:w="281"/>
        <w:gridCol w:w="904"/>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486660" cy="175260"/>
                      <wp:effectExtent l="0" t="0" r="0" b="0"/>
                      <wp:wrapNone/>
                      <wp:docPr id="190" name="Frame190"/>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72110" cy="175260"/>
                      <wp:effectExtent l="0" t="0" r="0" b="0"/>
                      <wp:wrapNone/>
                      <wp:docPr id="193" name="Frame19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78435" cy="175260"/>
                      <wp:effectExtent l="0" t="0" r="0" b="0"/>
                      <wp:wrapNone/>
                      <wp:docPr id="195" name="Frame19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74040" cy="175260"/>
                      <wp:effectExtent l="0" t="0" r="0" b="0"/>
                      <wp:wrapNone/>
                      <wp:docPr id="196" name="Frame196"/>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Placement Term Loans: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3.37 %, payable through 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3.14 %, payable through 2031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XI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1.22 %, payable through 2043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1.35 %, payable through 2044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341.3</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Deferred loan fees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net of deferred loan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350.8</w:t>
            </w:r>
          </w:p>
        </w:tc>
      </w:tr>
    </w:tbl>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Except as described below, the Company’s debt is described in Note 8 to the Consolidated Financial Statements included in the Company’s Annual Report on Form 10-K for the year ended December 31,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Private Placement Term Loans</w:t>
      </w:r>
      <w:r>
        <w:rPr>
          <w:rFonts w:ascii="Times New Roman;Times;serif" w:hAnsi="Times New Roman;Times;serif"/>
          <w:b/>
          <w:sz w:val="20"/>
        </w:rPr>
        <w:t>:</w:t>
      </w:r>
      <w:r>
        <w:rPr>
          <w:rFonts w:ascii="Times New Roman;Times;serif" w:hAnsi="Times New Roman;Times;serif"/>
          <w:sz w:val="20"/>
        </w:rPr>
        <w:t xml:space="preserve"> In September 2016, the Company issued $200.0 million of 15-year senior unsecured notes (the “Series D Notes”) at an interest rate of 3.14 percent, payable semi-annually. In December 2016, the Company issued $75 million of 11-year senior unsecured notes at an interest rate of 3.37 percent, payable semi-annually.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Revolving Credit Facility:</w:t>
      </w:r>
      <w:r>
        <w:rPr>
          <w:rFonts w:ascii="Times New Roman;Times;serif" w:hAnsi="Times New Roman;Times;serif"/>
          <w:sz w:val="20"/>
        </w:rPr>
        <w:t xml:space="preserve"> On July 23, 2025, the Company entered into a Third Amended and Restated Credit Agreement (the “Credit Agreement”), which provides for a five-year revolving credit facility, and $550 million in loan commitments, with an uncommitted $300 million increase option. The Credit Agreement amended certain covenants and other terms including (i) amending the pricing grid to provide for pricing ranging from, at the Company’s election, Secured Overnight Financing Rate (“SOFR”) plus a margin between 1.125 percent and 1.75 percent depending on the Company’s consolidated net leverage ratio, or base rate plus a margin between 0.125 percent and 0.75 percent depending on the Company’s consolidated net leverage ratio; and (ii) eliminating the minimum consolidated interest coverage ratio financial covenant. The Company may prepay any amount outstanding under the Credit Agreement without premium or penalty, in accordance with the terms of the Credit Agreement. The Credit Agreement contains affirmative, negative and financial covenants customary for financings of this type, including, among other things, limitations on certain other indebtedness, loans and investments, liens, mergers, asset sales, and transactions with affiliates. The Credit Agreement also contains customary events of default. The Company paid fees of approximately $1.7 million in connection with the closing of the Credit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70" w:name="Tc_lpwh2paxeEa8QNGx1SBTqQ_9_2"/>
      <w:bookmarkStart w:id="1071" w:name="Tc_myUmBeBU6EOfBDSKTcJ-ew_9_0"/>
      <w:bookmarkStart w:id="1072" w:name="Tc_VtZjLQFS3EGbAnN4h6bxbQ_8_0"/>
      <w:bookmarkStart w:id="1073" w:name="Tc_LLwKiVR250OorhtmmVZwTQ_7_0"/>
      <w:bookmarkStart w:id="1074" w:name="Tc_nAPTCEmB-0iPccsmGZk8CA_6_0"/>
      <w:bookmarkStart w:id="1075" w:name="Tc_2Mqywo5d40ivSnAyztMnzw_5_0"/>
      <w:bookmarkStart w:id="1076" w:name="Tc_C2NP8KaxNEW09tODJSVthQ_4_0"/>
      <w:bookmarkStart w:id="1077" w:name="Tc_EhepPkZiGEmm3i8ieHmHmg_3_2"/>
      <w:bookmarkStart w:id="1078" w:name="Tc_BjHki84SeU2G0w3VNUS4AQ_3_0"/>
      <w:bookmarkStart w:id="1079" w:name="Tc_GgDpO8Up3kyFmP2c3cdFWA_2_2"/>
      <w:bookmarkStart w:id="1080" w:name="Tc_AJCDA1Ir20e2ab5x5xqwMA_2_0"/>
      <w:bookmarkStart w:id="1081" w:name="Tc_7KB-HrNkr0-0hijkhE4jhA_1_2"/>
      <w:bookmarkEnd w:id="1070"/>
      <w:bookmarkEnd w:id="1071"/>
      <w:bookmarkEnd w:id="1072"/>
      <w:bookmarkEnd w:id="1073"/>
      <w:bookmarkEnd w:id="1074"/>
      <w:bookmarkEnd w:id="1075"/>
      <w:bookmarkEnd w:id="1076"/>
      <w:bookmarkEnd w:id="1077"/>
      <w:bookmarkEnd w:id="1078"/>
      <w:bookmarkEnd w:id="1079"/>
      <w:bookmarkEnd w:id="1080"/>
      <w:bookmarkEnd w:id="1081"/>
      <w:r>
        <w:rPr>
          <w:rFonts w:ascii="Times New Roman;Times;serif" w:hAnsi="Times New Roman;Times;serif"/>
          <w:sz w:val="20"/>
        </w:rPr>
        <w:t xml:space="preserve">As of June 30, 2025, the Company had $643.9 million of remaining borrowing availability under the $650 million revolving credit facility then in effect. The Company used $6.1 million of the revolving credit facility for letters of credit outstanding as of June 30, 2025. Borrowings under the revolving credit facility are classified as long-term debt in the Company’s Consolidated Balance Sheets, as principal payments are not required until the maturity date.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Amendments to Existing Private Placement Term Loan Facilities and New Shelf Facilities (“Private Loan Facilities”):</w:t>
      </w:r>
      <w:r>
        <w:rPr>
          <w:rFonts w:ascii="Times New Roman;Times;serif" w:hAnsi="Times New Roman;Times;serif"/>
          <w:sz w:val="20"/>
        </w:rPr>
        <w:t xml:space="preserve"> On July 23, 2025, the Company and the holders of the Private Loan Facilities entered into amendments (collectively, the “2025 Note Amendments”) to each of (i) the Third Amended and Restated Note Purchase Agreement and Private Shelf Agreement dated as of September 14, 2016, among the Company and the holders of the notes issued thereunder, as amended; and (ii) the Note Purchase Agreement dated December 21, 2016, in each case as amended prior to such date. The 2025 Note Amendments provide for amendments to certain covenants and other terms, including eliminating the minimum consolidated interest coverage ratio financial covenant.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 Maturities:</w:t>
      </w:r>
      <w:r>
        <w:rPr>
          <w:rFonts w:ascii="Times New Roman;Times;serif" w:hAnsi="Times New Roman;Times;serif"/>
          <w:sz w:val="20"/>
        </w:rPr>
        <w:t xml:space="preserve"> As of June 30, 2025, debt maturities are as follows:</w:t>
      </w:r>
    </w:p>
    <w:p>
      <w:pPr>
        <w:pStyle w:val="TextBody"/>
        <w:bidi w:val="0"/>
        <w:spacing w:before="0" w:after="0"/>
        <w:ind w:left="0" w:right="0" w:hanging="0"/>
        <w:jc w:val="left"/>
        <w:rPr/>
      </w:pPr>
      <w:r>
        <w:rPr/>
        <w:t>​</w:t>
      </w:r>
    </w:p>
    <w:tbl>
      <w:tblPr>
        <w:tblW w:w="3178" w:type="dxa"/>
        <w:jc w:val="left"/>
        <w:tblInd w:w="0" w:type="dxa"/>
        <w:tblLayout w:type="fixed"/>
        <w:tblCellMar>
          <w:top w:w="0" w:type="dxa"/>
          <w:left w:w="0" w:type="dxa"/>
          <w:bottom w:w="0" w:type="dxa"/>
          <w:right w:w="0" w:type="dxa"/>
        </w:tblCellMar>
      </w:tblPr>
      <w:tblGrid>
        <w:gridCol w:w="1681"/>
        <w:gridCol w:w="326"/>
        <w:gridCol w:w="278"/>
        <w:gridCol w:w="893"/>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067435" cy="175260"/>
                      <wp:effectExtent l="0" t="0" r="0" b="0"/>
                      <wp:wrapNone/>
                      <wp:docPr id="197" name="Frame197"/>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76530" cy="175260"/>
                      <wp:effectExtent l="0" t="0" r="0" b="0"/>
                      <wp:wrapNone/>
                      <wp:docPr id="199" name="Frame19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67055" cy="175260"/>
                      <wp:effectExtent l="0" t="0" r="0" b="0"/>
                      <wp:wrapNone/>
                      <wp:docPr id="200" name="Frame200"/>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2025</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82" w:name="Tc_YkIJdJkKIkutShMs4U4aNw_13_2"/>
      <w:bookmarkStart w:id="1083" w:name="Tc_vwY-cOR8JU-COuqIwtKekQ_13_0"/>
      <w:bookmarkStart w:id="1084" w:name="Tc_HToH95NC-Ue06KPPWiInkg_12_0"/>
      <w:bookmarkStart w:id="1085" w:name="Tc_YlYMcQUkgE-3EdW-DPuN3Q_11_0"/>
      <w:bookmarkStart w:id="1086" w:name="Tc_oIws6A6E0UC7SzvRpZ0d_Q_10_0"/>
      <w:bookmarkStart w:id="1087" w:name="Tc_mTo98ag7Ckuotg8W_jVwaA_9_0"/>
      <w:bookmarkStart w:id="1088" w:name="Tc_Vu3Jl4dUTk2gQzQZOtP09w_8_0"/>
      <w:bookmarkStart w:id="1089" w:name="Tc_Bx1yOTj6jUud0AfDScn74Q_7_0"/>
      <w:bookmarkStart w:id="1090" w:name="Tc_ug_z5TBqKE-cmPJqbJfFCg_6_0"/>
      <w:bookmarkStart w:id="1091" w:name="Tc_nutbb7Zbu0WzR50BA_lPrw_5_0"/>
      <w:bookmarkStart w:id="1092" w:name="Tc_SEMOVL9woEOx2dq-asmJOQ_4_0"/>
      <w:bookmarkStart w:id="1093" w:name="Tc_H49fRinIl0e1tCQ3fCnW6g_3_2"/>
      <w:bookmarkStart w:id="1094" w:name="Tc_zM46vitCh0uSv9K0-azCpg_3_0"/>
      <w:bookmarkStart w:id="1095" w:name="Tc_0ycBTMUvQk-8kQ_f3G4JAA_2_2"/>
      <w:bookmarkStart w:id="1096" w:name="Tc_XFjcKfp6MU6yjrpfjkKBMw_2_0"/>
      <w:bookmarkStart w:id="1097" w:name="Tc_TogCRmHO90Sh_WqziSNSrA_1_2"/>
      <w:bookmarkStart w:id="1098" w:name="Tc_NQPV0MTQqUGsDnoIHQy8Zg_9_11"/>
      <w:bookmarkStart w:id="1099" w:name="Tc_AVVy_kSz_ESFGT9XNqFbIw_9_8"/>
      <w:bookmarkStart w:id="1100" w:name="Tc_1LR0aAhpu0W0hW2jQNmU4A_9_5"/>
      <w:bookmarkStart w:id="1101" w:name="Tc_N_PkoS2lREG7GLTdeHPLdA_9_2"/>
      <w:bookmarkStart w:id="1102" w:name="Tc_mzgPfEwWoU21fTFxmp5BrQ_9_0"/>
      <w:bookmarkStart w:id="1103" w:name="Tc_poKci2euu0WcUMl8I6OAZg_8_0"/>
      <w:bookmarkStart w:id="1104" w:name="Tc_ET5Ix49tSkaSjtxOH1LRfw_7_0"/>
      <w:bookmarkStart w:id="1105" w:name="Tc_abgl-sX4X0KBk9l2ddsAbw_6_0"/>
      <w:bookmarkStart w:id="1106" w:name="Tc_KzpU3DnKLECt3ClLA09zDw_5_0"/>
      <w:bookmarkStart w:id="1107" w:name="Tc_4rQPFaZ3Sk6nJ8WKIkQXYQ_4_11"/>
      <w:bookmarkStart w:id="1108" w:name="Tc_qpiC-Uggyk2FcXiwQYA8Vw_4_8"/>
      <w:bookmarkStart w:id="1109" w:name="Tc_9go9aWRUAUO3m9JFC6To0g_4_5"/>
      <w:bookmarkStart w:id="1110" w:name="Tc_p_Yszr6lM0uUj7Q7tSFEBQ_4_2"/>
      <w:bookmarkStart w:id="1111" w:name="Tc_iPSj82qeikiRfbTmkE4uZQ_4_0"/>
      <w:bookmarkStart w:id="1112" w:name="Tc_PUlQzCrXuEuAe7xnuyJ1Vg_3_11"/>
      <w:bookmarkStart w:id="1113" w:name="Tc_OxeE8ojlu0mVr5V5z6v89Q_3_8"/>
      <w:bookmarkStart w:id="1114" w:name="Tc_qdTq4gVlz0SPvztxp_i1tw_3_5"/>
      <w:bookmarkStart w:id="1115" w:name="Tc_HkNVCHaeZE2TaP5T1TbXKw_3_2"/>
      <w:bookmarkStart w:id="1116" w:name="Tc_8om8REAWWEWHfqpnpb8KJw_3_0"/>
      <w:bookmarkStart w:id="1117" w:name="Tc_c9KVU3Le_E2d_i0yCRXzGA_2_8"/>
      <w:bookmarkStart w:id="1118" w:name="Tc_0KST_GDlA0W-5ip3SC3DEw_2_2"/>
      <w:bookmarkStart w:id="1119" w:name="Tc_P-EY4l5paU2FPRPoN-G4Rg_1_8"/>
      <w:bookmarkStart w:id="1120" w:name="Tc_KXCLSHHrBkCflfX9bB80GA_1_2"/>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r>
        <w:rPr>
          <w:rFonts w:ascii="Times New Roman;Times;serif" w:hAnsi="Times New Roman;Times;serif"/>
          <w:b/>
          <w:sz w:val="20"/>
        </w:rPr>
        <w:t>9.          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leases are described in Note 9 to the Consolidated Financial Statements included in Part II, Item 8 of the Company’s Annual Report on Form 10-K for the year ended December 31, 2024.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Components of Lease Cost:</w:t>
      </w:r>
      <w:r>
        <w:rPr>
          <w:rFonts w:ascii="Times New Roman;Times;serif" w:hAnsi="Times New Roman;Times;serif"/>
          <w:sz w:val="20"/>
        </w:rPr>
        <w:t xml:space="preserve"> Components of lease cost recorded in the Company’s Condensed Consolidated Statement of Income and Comprehensive Income for the three and six months ended June 30, 2025 and 2024 consisted of the following: </w:t>
      </w:r>
    </w:p>
    <w:p>
      <w:pPr>
        <w:pStyle w:val="TextBody"/>
        <w:bidi w:val="0"/>
        <w:spacing w:before="0" w:after="0"/>
        <w:ind w:left="0" w:right="0" w:hanging="0"/>
        <w:jc w:val="left"/>
        <w:rPr/>
      </w:pPr>
      <w:r>
        <w:rPr/>
        <w:t>​</w:t>
      </w:r>
    </w:p>
    <w:tbl>
      <w:tblPr>
        <w:tblW w:w="5467" w:type="dxa"/>
        <w:jc w:val="left"/>
        <w:tblInd w:w="0" w:type="dxa"/>
        <w:tblLayout w:type="fixed"/>
        <w:tblCellMar>
          <w:top w:w="0" w:type="dxa"/>
          <w:left w:w="0" w:type="dxa"/>
          <w:bottom w:w="0" w:type="dxa"/>
          <w:right w:w="0" w:type="dxa"/>
        </w:tblCellMar>
      </w:tblPr>
      <w:tblGrid>
        <w:gridCol w:w="1801"/>
        <w:gridCol w:w="326"/>
        <w:gridCol w:w="233"/>
        <w:gridCol w:w="531"/>
        <w:gridCol w:w="120"/>
        <w:gridCol w:w="233"/>
        <w:gridCol w:w="531"/>
        <w:gridCol w:w="109"/>
        <w:gridCol w:w="211"/>
        <w:gridCol w:w="481"/>
        <w:gridCol w:w="109"/>
        <w:gridCol w:w="211"/>
        <w:gridCol w:w="57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143635" cy="175260"/>
                      <wp:effectExtent l="0" t="0" r="0" b="0"/>
                      <wp:wrapNone/>
                      <wp:docPr id="201" name="Frame201"/>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7955" cy="175260"/>
                      <wp:effectExtent l="0" t="0" r="0" b="0"/>
                      <wp:wrapNone/>
                      <wp:docPr id="203" name="Frame20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37185" cy="175260"/>
                      <wp:effectExtent l="0" t="0" r="0" b="0"/>
                      <wp:wrapNone/>
                      <wp:docPr id="204" name="Frame204"/>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6200" cy="175260"/>
                      <wp:effectExtent l="0" t="0" r="0" b="0"/>
                      <wp:wrapNone/>
                      <wp:docPr id="205" name="Frame205"/>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47955" cy="175260"/>
                      <wp:effectExtent l="0" t="0" r="0" b="0"/>
                      <wp:wrapNone/>
                      <wp:docPr id="206" name="Frame20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37185" cy="175260"/>
                      <wp:effectExtent l="0" t="0" r="0" b="0"/>
                      <wp:wrapNone/>
                      <wp:docPr id="207" name="Frame207"/>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05435" cy="175260"/>
                      <wp:effectExtent l="0" t="0" r="0" b="0"/>
                      <wp:wrapNone/>
                      <wp:docPr id="210" name="Frame21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62585" cy="175260"/>
                      <wp:effectExtent l="0" t="0" r="0" b="0"/>
                      <wp:wrapNone/>
                      <wp:docPr id="213" name="Frame2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4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5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5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center"/>
              <w:rPr/>
            </w:pPr>
            <w:r>
              <w:rPr/>
              <w:t>    </w:t>
            </w:r>
          </w:p>
        </w:tc>
        <w:tc>
          <w:tcPr>
            <w:tcW w:w="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0" w:type="dxa"/>
            <w:tcBorders/>
            <w:vAlign w:val="center"/>
          </w:tcPr>
          <w:p>
            <w:pPr>
              <w:pStyle w:val="TableContents"/>
              <w:bidi w:val="0"/>
              <w:spacing w:before="0" w:after="0"/>
              <w:ind w:left="0" w:right="0" w:hanging="0"/>
              <w:jc w:val="left"/>
              <w:rPr/>
            </w:pPr>
            <w:r>
              <w:rPr/>
              <w:t>​</w:t>
            </w:r>
          </w:p>
        </w:tc>
        <w:tc>
          <w:tcPr>
            <w:tcW w:w="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0"/>
              <w:ind w:left="0" w:right="0" w:hanging="0"/>
              <w:jc w:val="center"/>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12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2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center"/>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20"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12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326" w:type="dxa"/>
            <w:tcBorders/>
            <w:shd w:fill="CCEEFF" w:val="clear"/>
            <w:vAlign w:val="center"/>
          </w:tcPr>
          <w:p>
            <w:pPr>
              <w:pStyle w:val="TableContents"/>
              <w:bidi w:val="0"/>
              <w:spacing w:before="0" w:after="0"/>
              <w:ind w:left="0" w:right="0" w:hanging="0"/>
              <w:jc w:val="center"/>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20"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 net</w:t>
            </w:r>
          </w:p>
        </w:tc>
        <w:tc>
          <w:tcPr>
            <w:tcW w:w="326" w:type="dxa"/>
            <w:tcBorders/>
            <w:vAlign w:val="center"/>
          </w:tcPr>
          <w:p>
            <w:pPr>
              <w:pStyle w:val="TableContents"/>
              <w:bidi w:val="0"/>
              <w:spacing w:before="0" w:after="0"/>
              <w:ind w:left="0" w:right="0" w:hanging="0"/>
              <w:jc w:val="center"/>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120"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79.7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Future minimum lease payments of operating lease liabilities that have non-cancelable lease terms in excess of one year at June 30, 2025 are as follows:</w:t>
      </w:r>
    </w:p>
    <w:p>
      <w:pPr>
        <w:pStyle w:val="TextBody"/>
        <w:bidi w:val="0"/>
        <w:spacing w:before="0" w:after="0"/>
        <w:ind w:left="0" w:right="0" w:hanging="0"/>
        <w:jc w:val="left"/>
        <w:rPr/>
      </w:pPr>
      <w:r>
        <w:rPr/>
        <w:t>​</w:t>
      </w:r>
    </w:p>
    <w:tbl>
      <w:tblPr>
        <w:tblW w:w="5008" w:type="dxa"/>
        <w:jc w:val="left"/>
        <w:tblInd w:w="0" w:type="dxa"/>
        <w:tblLayout w:type="fixed"/>
        <w:tblCellMar>
          <w:top w:w="0" w:type="dxa"/>
          <w:left w:w="0" w:type="dxa"/>
          <w:bottom w:w="0" w:type="dxa"/>
          <w:right w:w="0" w:type="dxa"/>
        </w:tblCellMar>
      </w:tblPr>
      <w:tblGrid>
        <w:gridCol w:w="3511"/>
        <w:gridCol w:w="326"/>
        <w:gridCol w:w="278"/>
        <w:gridCol w:w="893"/>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229485" cy="175260"/>
                      <wp:effectExtent l="0" t="0" r="0" b="0"/>
                      <wp:wrapNone/>
                      <wp:docPr id="214" name="Frame214"/>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76530" cy="175260"/>
                      <wp:effectExtent l="0" t="0" r="0" b="0"/>
                      <wp:wrapNone/>
                      <wp:docPr id="216" name="Frame216"/>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67055" cy="175260"/>
                      <wp:effectExtent l="0" t="0" r="0" b="0"/>
                      <wp:wrapNone/>
                      <wp:docPr id="217" name="Frame217"/>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26" w:type="dxa"/>
            <w:tcBorders/>
            <w:vAlign w:val="center"/>
          </w:tcPr>
          <w:p>
            <w:pPr>
              <w:pStyle w:val="TableContents"/>
              <w:bidi w:val="0"/>
              <w:spacing w:before="0" w:after="0"/>
              <w:ind w:left="0" w:right="0" w:hanging="0"/>
              <w:jc w:val="center"/>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2025</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center"/>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center"/>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center"/>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343.1</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0"/>
              <w:ind w:left="0" w:right="0" w:hanging="0"/>
              <w:jc w:val="center"/>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Short-term portion</w:t>
            </w:r>
          </w:p>
        </w:tc>
        <w:tc>
          <w:tcPr>
            <w:tcW w:w="326" w:type="dxa"/>
            <w:tcBorders/>
            <w:vAlign w:val="center"/>
          </w:tcPr>
          <w:p>
            <w:pPr>
              <w:pStyle w:val="TableContents"/>
              <w:bidi w:val="0"/>
              <w:spacing w:before="0" w:after="0"/>
              <w:ind w:left="0" w:right="0" w:hanging="0"/>
              <w:jc w:val="center"/>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21" w:name="Tc_B7Q3DeGJpEi7jW1sU4fQCQ_14_14"/>
      <w:bookmarkStart w:id="1122" w:name="Tc_YCQt9I-WO0y5xNinbU7EAw_14_11"/>
      <w:bookmarkStart w:id="1123" w:name="Tc_zwNNYmAwvEyVbyVEQPgWsA_14_8"/>
      <w:bookmarkStart w:id="1124" w:name="Tc_xjeXbrN5b0WM-UuMYn8_uw_14_5"/>
      <w:bookmarkStart w:id="1125" w:name="Tc_qbIDznrshEOD-X_6ozIPfQ_14_2"/>
      <w:bookmarkStart w:id="1126" w:name="Tc_2xn4_z9z5Uupd34Xp34I-A_14_0"/>
      <w:bookmarkStart w:id="1127" w:name="Tc_I8Cv0x1ukU-PGBhtFGL1ug_13_9"/>
      <w:bookmarkStart w:id="1128" w:name="Tc_XQzS3lfAVkWOHzpQOWy2RA_13_6"/>
      <w:bookmarkStart w:id="1129" w:name="Tc_62KvCS6nF0C3MmLhBTC25w_13_3"/>
      <w:bookmarkStart w:id="1130" w:name="Tc_SSCCbcE3Fkun4nX6nVL7Gg_13_0"/>
      <w:bookmarkStart w:id="1131" w:name="Tc_8_i655_TF0Spmv9fFTFuKA_12_15"/>
      <w:bookmarkStart w:id="1132" w:name="Tc_R68xl9Zn6kK0FxUkd19B0w_12_12"/>
      <w:bookmarkStart w:id="1133" w:name="Tc_EHiZFwHWXUmY1goOb0moBg_12_9"/>
      <w:bookmarkStart w:id="1134" w:name="Tc_1ddLJbfzmk66vclrLG3NFA_12_0"/>
      <w:bookmarkStart w:id="1135" w:name="Tc_7isJcVP-kkuBm6LDGQG9lQ_11_12"/>
      <w:bookmarkStart w:id="1136" w:name="Tc_WNIp-3kmnkqk8MzDZK4ypA_11_9"/>
      <w:bookmarkStart w:id="1137" w:name="Tc_QRjSCKZtNUmobb7HlnoA0Q_11_3"/>
      <w:bookmarkStart w:id="1138" w:name="Tc_EOLoNld5Vk6Ngn9Aa2HqiA_11_0"/>
      <w:bookmarkStart w:id="1139" w:name="Tc_UWkz9HuLhkCxjeFBJjjmrQ_10_0"/>
      <w:bookmarkStart w:id="1140" w:name="Tc_8YUFfkn47EyZ1GfpFgZ70A_9_9"/>
      <w:bookmarkStart w:id="1141" w:name="Tc_Qo8J8xaj0UufPz4Y4IoO5A_9_6"/>
      <w:bookmarkStart w:id="1142" w:name="Tc_DrRHRg2d4UWEehfpJjMDTw_9_3"/>
      <w:bookmarkStart w:id="1143" w:name="Tc_hVnTHF31FUiQhqgQ-jChow_9_0"/>
      <w:bookmarkStart w:id="1144" w:name="Tc_t8b8ZL952EqGaOrJ6bFvvg_8_9"/>
      <w:bookmarkStart w:id="1145" w:name="Tc_NiIL29n-_USWqXHPPcjhWw_8_6"/>
      <w:bookmarkStart w:id="1146" w:name="Tc_af2ZCDoANUqntRCFC4IjcQ_8_3"/>
      <w:bookmarkStart w:id="1147" w:name="Tc_l7phh-TyjUiS3UIojCjxtw_8_0"/>
      <w:bookmarkStart w:id="1148" w:name="Tc_bO6w4Y3WoEWE1roeYT9Urw_7_12"/>
      <w:bookmarkStart w:id="1149" w:name="Tc_cNjTTrfh5UilRchhhm2HaQ_7_9"/>
      <w:bookmarkStart w:id="1150" w:name="Tc__2-WpU2l9Umj3Pg0qpNC8Q_7_0"/>
      <w:bookmarkStart w:id="1151" w:name="Tc_Way76FscqEWA9uy_LX4oDA_6_12"/>
      <w:bookmarkStart w:id="1152" w:name="Tc_hXBvNAShVUKKhOqM7_zcQQ_6_9"/>
      <w:bookmarkStart w:id="1153" w:name="Tc_jkrk6VfZmU-jWHChdWFdKg_6_3"/>
      <w:bookmarkStart w:id="1154" w:name="Tc_9yDw7_bLzEaRhnWJshyZSg_6_0"/>
      <w:bookmarkStart w:id="1155" w:name="Tc_Yq3phzGlSkSc2GmKHvRG4Q_5_14"/>
      <w:bookmarkStart w:id="1156" w:name="Tc_Ge7T-1j4uU2Q2NeDQWDkAw_5_11"/>
      <w:bookmarkStart w:id="1157" w:name="Tc_lAS-3r06mECCm2Zg9NqCRg_5_8"/>
      <w:bookmarkStart w:id="1158" w:name="Tc_qXo3H5zrokuZoaAZ9j_jcQ_5_5"/>
      <w:bookmarkStart w:id="1159" w:name="Tc_B3EPYSjd906omKtex4xDYQ_5_2"/>
      <w:bookmarkStart w:id="1160" w:name="Tc_Z8vLRM9JFkOnNme__jfDmA_5_0"/>
      <w:bookmarkStart w:id="1161" w:name="Tc_w9ngomU0DUOi_vGeKkiP0g_4_14"/>
      <w:bookmarkStart w:id="1162" w:name="Tc_MiyfeFSzYU6Zm5YtKiOlaQ_4_11"/>
      <w:bookmarkStart w:id="1163" w:name="Tc_4HVMQJ0XIUuIhZV0SvGsnw_4_8"/>
      <w:bookmarkStart w:id="1164" w:name="Tc_i_5NLh2tHEau6A0gTGycgQ_4_5"/>
      <w:bookmarkStart w:id="1165" w:name="Tc_pHVBVsEm8k26bO2qyLW4MQ_4_2"/>
      <w:bookmarkStart w:id="1166" w:name="Tc_OWNNvY5cpU2wZU8jCnf3gw_4_0"/>
      <w:bookmarkStart w:id="1167" w:name="Tc_cdwZuWQ1REiXgVpkUZ_l0w_3_14"/>
      <w:bookmarkStart w:id="1168" w:name="Tc_wOktt1iOGUaG4DoKxghaPw_3_8"/>
      <w:bookmarkStart w:id="1169" w:name="Tc_zWRmQQxUSE-tA-ooYi7IZw_3_5"/>
      <w:bookmarkStart w:id="1170" w:name="Tc_6jjSDaaDh0qnwp3szwGPJg_3_2"/>
      <w:bookmarkStart w:id="1171" w:name="Tc_Vd6RUHj_a0W-SUisoOaLIA_2_14"/>
      <w:bookmarkStart w:id="1172" w:name="Tc_lSsKQbHU80ePcq1abAMhcw_2_8"/>
      <w:bookmarkStart w:id="1173" w:name="Tc_rCzQLrfZZkCNrBolNzbETw_2_5"/>
      <w:bookmarkStart w:id="1174" w:name="Tc_Npu0kbf0JUSzSwUVDO7WRw_1_14"/>
      <w:bookmarkStart w:id="1175" w:name="_24824587_02f3_40af_a17f_16138927bde4"/>
      <w:bookmarkStart w:id="1176" w:name="Tc_Q6LL6_e3IE2WC86BbrPQQQ_14_14"/>
      <w:bookmarkStart w:id="1177" w:name="Tc_R8RyIP-Wk0-jftWOgf33rQ_14_11"/>
      <w:bookmarkStart w:id="1178" w:name="Tc_iHVMy9gRBkS1tnCEKvH4IA_14_8"/>
      <w:bookmarkStart w:id="1179" w:name="Tc_RRaVPtWE6kO_uQ8VaLAYag_14_5"/>
      <w:bookmarkStart w:id="1180" w:name="Tc_NJ6RufrSy02ckGPrg2P-XQ_14_2"/>
      <w:bookmarkStart w:id="1181" w:name="Tc_x4yu_585G0mACgSDFAP1OQ_14_0"/>
      <w:bookmarkStart w:id="1182" w:name="Tc_lkpjXEtQfkuS5sMko9Fwcg_13_9"/>
      <w:bookmarkStart w:id="1183" w:name="Tc_tPhjamsxlka0Xlpt7EzI_g_13_6"/>
      <w:bookmarkStart w:id="1184" w:name="Tc_QH1xyCChY0ySaVgv9XScXg_13_3"/>
      <w:bookmarkStart w:id="1185" w:name="Tc_89IzfGvuK0iP2EaQR9dzbw_13_0"/>
      <w:bookmarkStart w:id="1186" w:name="Tc_IOIPE-tIRkKo_T7XvzezDw_12_12"/>
      <w:bookmarkStart w:id="1187" w:name="Tc_iITSJy2_a0CoUr1S8vu7LQ_12_9"/>
      <w:bookmarkStart w:id="1188" w:name="Tc_IIxxdYLIuEaCeM5NGSd_Hg_12_3"/>
      <w:bookmarkStart w:id="1189" w:name="Tc_2ypBnGT0r06SUZxzanoqNA_12_0"/>
      <w:bookmarkStart w:id="1190" w:name="Tc_6s3uOIvyCUi-wQxWVHBmAw_11_12"/>
      <w:bookmarkStart w:id="1191" w:name="Tc_5ueYdbDsb0qmkSFLZ5AXjQ_11_9"/>
      <w:bookmarkStart w:id="1192" w:name="Tc_ug5e5Kn1r0COQdaOr8v99w_11_3"/>
      <w:bookmarkStart w:id="1193" w:name="Tc_qI9q_Fu7FEa9cH7Vatidmg_11_0"/>
      <w:bookmarkStart w:id="1194" w:name="Tc_frFpjaigVEifQsVuUAGzNQ_10_0"/>
      <w:bookmarkStart w:id="1195" w:name="Tc_xRKL0_ilTU6-tzARXNwiiA_9_9"/>
      <w:bookmarkStart w:id="1196" w:name="Tc_cp2gT4HB6kezZknyazrXSQ_9_6"/>
      <w:bookmarkStart w:id="1197" w:name="Tc_AUfPxnniYEGRzhi4Xs4LUg_9_3"/>
      <w:bookmarkStart w:id="1198" w:name="Tc_fH-eXZmYM0ahd0loB-Fgyg_9_0"/>
      <w:bookmarkStart w:id="1199" w:name="Tc_Mn04_M0Ybk-OoUtE8uNQbQ_8_9"/>
      <w:bookmarkStart w:id="1200" w:name="Tc_3sylV-ZpWkefHrm1xeibbQ_8_6"/>
      <w:bookmarkStart w:id="1201" w:name="Tc_AJhi-oWgSkmp2Y-3gDidNg_8_3"/>
      <w:bookmarkStart w:id="1202" w:name="Tc_U6xgzcguzkC-F-8vAv0QzQ_8_0"/>
      <w:bookmarkStart w:id="1203" w:name="Tc_TRyHdjmIfk6udaSZjwAxBg_7_12"/>
      <w:bookmarkStart w:id="1204" w:name="Tc_y8BsxKCEqkSOz1bLccmHLw_7_9"/>
      <w:bookmarkStart w:id="1205" w:name="Tc_ZJPsOMFbQ0Gc6y-zam2Ilg_7_3"/>
      <w:bookmarkStart w:id="1206" w:name="Tc_Wr798FAmrEGjGRY2LEE6sg_7_0"/>
      <w:bookmarkStart w:id="1207" w:name="Tc_tBe2413JpUC9PMZrU1ZrUQ_6_12"/>
      <w:bookmarkStart w:id="1208" w:name="Tc_reG1Pu_-8UK0LJhdaw2XAA_6_9"/>
      <w:bookmarkStart w:id="1209" w:name="Tc_46mQATjbHEqaMGQaJ-OXQw_6_3"/>
      <w:bookmarkStart w:id="1210" w:name="Tc_Tztej7mGmEioFWsO7uebUw_6_0"/>
      <w:bookmarkStart w:id="1211" w:name="Tc_SVD3ya1lq0-iPEaBrYVndA_5_14"/>
      <w:bookmarkStart w:id="1212" w:name="Tc_v8KuqvQ0fUC1JWzth0dUFw_5_11"/>
      <w:bookmarkStart w:id="1213" w:name="Tc_tBOXnvC4mUe4vFtVwvKjMA_5_8"/>
      <w:bookmarkStart w:id="1214" w:name="Tc_TZ6h5uCpVUCfmjWZAbRZgA_5_5"/>
      <w:bookmarkStart w:id="1215" w:name="Tc_p9qEop7hlUeAdIVoGfj3DA_5_2"/>
      <w:bookmarkStart w:id="1216" w:name="Tc_IQg6OcPHAU-Pi4CVaK9ivQ_5_0"/>
      <w:bookmarkStart w:id="1217" w:name="Tc_h5SxswiqQ0iOxoMQp6dWKw_4_14"/>
      <w:bookmarkStart w:id="1218" w:name="Tc_ypXEG3S6b0mUrDBW56-mFA_4_11"/>
      <w:bookmarkStart w:id="1219" w:name="Tc_g0OdV51urkSRhvhCrNQEjQ_4_8"/>
      <w:bookmarkStart w:id="1220" w:name="Tc_gddgNYAVnUS6ehz0EYEMEQ_4_5"/>
      <w:bookmarkStart w:id="1221" w:name="Tc_3hdJL6fxE0qxvMfeVKHBzw_4_2"/>
      <w:bookmarkStart w:id="1222" w:name="Tc_BTG61meZPEG7cLeqfqo5bw_4_0"/>
      <w:bookmarkStart w:id="1223" w:name="Tc_7PUbWmgLp0i5ZCKbm95ezg_3_14"/>
      <w:bookmarkStart w:id="1224" w:name="Tc_kZArlq496U-i3trfEP6vVw_3_8"/>
      <w:bookmarkStart w:id="1225" w:name="Tc_Ye1jNDQ2vE6ftiYeNJMxUA_3_5"/>
      <w:bookmarkStart w:id="1226" w:name="Tc_VvpbNSjVkEafkm8KefWddg_3_2"/>
      <w:bookmarkStart w:id="1227" w:name="Tc_3JO3A32T_EKGWrJY0iX3RQ_2_14"/>
      <w:bookmarkStart w:id="1228" w:name="Tc_D_x118lxPEmzsCq6D5gygw_2_8"/>
      <w:bookmarkStart w:id="1229" w:name="Tc_NBfkcdqFpUWFR_mTZtj_bg_2_5"/>
      <w:bookmarkStart w:id="1230" w:name="Tc_wevQO4Xo2kmiQlz_mP4MQw_1_14"/>
      <w:bookmarkStart w:id="1231" w:name="_e1001717_62d6_4e4c_82f1_b7415064dd16"/>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r>
        <w:rPr>
          <w:rFonts w:ascii="Times New Roman;Times;serif" w:hAnsi="Times New Roman;Times;serif"/>
          <w:b/>
          <w:sz w:val="20"/>
        </w:rPr>
        <w:t>10.          ACCUMULATED OTHER COMPREHENSIVE INCOME (LOSS)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for the six months ended June 30, 2025 consisted of the following:</w:t>
      </w:r>
    </w:p>
    <w:tbl>
      <w:tblPr>
        <w:tblW w:w="9239" w:type="dxa"/>
        <w:jc w:val="left"/>
        <w:tblInd w:w="0" w:type="dxa"/>
        <w:tblLayout w:type="fixed"/>
        <w:tblCellMar>
          <w:top w:w="0" w:type="dxa"/>
          <w:left w:w="0" w:type="dxa"/>
          <w:bottom w:w="0" w:type="dxa"/>
          <w:right w:w="0" w:type="dxa"/>
        </w:tblCellMar>
      </w:tblPr>
      <w:tblGrid>
        <w:gridCol w:w="3016"/>
        <w:gridCol w:w="326"/>
        <w:gridCol w:w="211"/>
        <w:gridCol w:w="586"/>
        <w:gridCol w:w="326"/>
        <w:gridCol w:w="305"/>
        <w:gridCol w:w="611"/>
        <w:gridCol w:w="326"/>
        <w:gridCol w:w="260"/>
        <w:gridCol w:w="521"/>
        <w:gridCol w:w="326"/>
        <w:gridCol w:w="211"/>
        <w:gridCol w:w="481"/>
        <w:gridCol w:w="326"/>
        <w:gridCol w:w="404"/>
        <w:gridCol w:w="812"/>
        <w:gridCol w:w="19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915160" cy="175895"/>
                      <wp:effectExtent l="0" t="0" r="0" b="0"/>
                      <wp:wrapNone/>
                      <wp:docPr id="218" name="Frame218"/>
                      <a:graphic xmlns:a="http://schemas.openxmlformats.org/drawingml/2006/main">
                        <a:graphicData uri="http://schemas.microsoft.com/office/word/2010/wordprocessingShape">
                          <wps:wsp>
                            <wps:cNvSpPr txBox="1"/>
                            <wps:spPr>
                              <a:xfrm>
                                <a:off x="0" y="0"/>
                                <a:ext cx="19151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895"/>
                      <wp:effectExtent l="0" t="0" r="0" b="0"/>
                      <wp:wrapNone/>
                      <wp:docPr id="219" name="Frame219"/>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895"/>
                      <wp:effectExtent l="0" t="0" r="0" b="0"/>
                      <wp:wrapNone/>
                      <wp:docPr id="220" name="Frame22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72110" cy="175895"/>
                      <wp:effectExtent l="0" t="0" r="0" b="0"/>
                      <wp:wrapNone/>
                      <wp:docPr id="221" name="Frame221"/>
                      <a:graphic xmlns:a="http://schemas.openxmlformats.org/drawingml/2006/main">
                        <a:graphicData uri="http://schemas.microsoft.com/office/word/2010/wordprocessingShape">
                          <wps:wsp>
                            <wps:cNvSpPr txBox="1"/>
                            <wps:spPr>
                              <a:xfrm>
                                <a:off x="0" y="0"/>
                                <a:ext cx="3721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895"/>
                      <wp:effectExtent l="0" t="0" r="0" b="0"/>
                      <wp:wrapNone/>
                      <wp:docPr id="222" name="Frame22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93675" cy="175895"/>
                      <wp:effectExtent l="0" t="0" r="0" b="0"/>
                      <wp:wrapNone/>
                      <wp:docPr id="223" name="Frame223"/>
                      <a:graphic xmlns:a="http://schemas.openxmlformats.org/drawingml/2006/main">
                        <a:graphicData uri="http://schemas.microsoft.com/office/word/2010/wordprocessingShape">
                          <wps:wsp>
                            <wps:cNvSpPr txBox="1"/>
                            <wps:spPr>
                              <a:xfrm>
                                <a:off x="0" y="0"/>
                                <a:ext cx="1936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87985" cy="175895"/>
                      <wp:effectExtent l="0" t="0" r="0" b="0"/>
                      <wp:wrapNone/>
                      <wp:docPr id="224" name="Frame224"/>
                      <a:graphic xmlns:a="http://schemas.openxmlformats.org/drawingml/2006/main">
                        <a:graphicData uri="http://schemas.microsoft.com/office/word/2010/wordprocessingShape">
                          <wps:wsp>
                            <wps:cNvSpPr txBox="1"/>
                            <wps:spPr>
                              <a:xfrm>
                                <a:off x="0" y="0"/>
                                <a:ext cx="387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895"/>
                      <wp:effectExtent l="0" t="0" r="0" b="0"/>
                      <wp:wrapNone/>
                      <wp:docPr id="225" name="Frame225"/>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65100" cy="175895"/>
                      <wp:effectExtent l="0" t="0" r="0" b="0"/>
                      <wp:wrapNone/>
                      <wp:docPr id="226" name="Frame226"/>
                      <a:graphic xmlns:a="http://schemas.openxmlformats.org/drawingml/2006/main">
                        <a:graphicData uri="http://schemas.microsoft.com/office/word/2010/wordprocessingShape">
                          <wps:wsp>
                            <wps:cNvSpPr txBox="1"/>
                            <wps:spPr>
                              <a:xfrm>
                                <a:off x="0" y="0"/>
                                <a:ext cx="1651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30835" cy="175895"/>
                      <wp:effectExtent l="0" t="0" r="0" b="0"/>
                      <wp:wrapNone/>
                      <wp:docPr id="227" name="Frame227"/>
                      <a:graphic xmlns:a="http://schemas.openxmlformats.org/drawingml/2006/main">
                        <a:graphicData uri="http://schemas.microsoft.com/office/word/2010/wordprocessingShape">
                          <wps:wsp>
                            <wps:cNvSpPr txBox="1"/>
                            <wps:spPr>
                              <a:xfrm>
                                <a:off x="0" y="0"/>
                                <a:ext cx="3308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895"/>
                      <wp:effectExtent l="0" t="0" r="0" b="0"/>
                      <wp:wrapNone/>
                      <wp:docPr id="228" name="Frame22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895"/>
                      <wp:effectExtent l="0" t="0" r="0" b="0"/>
                      <wp:wrapNone/>
                      <wp:docPr id="229" name="Frame22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05435" cy="175895"/>
                      <wp:effectExtent l="0" t="0" r="0" b="0"/>
                      <wp:wrapNone/>
                      <wp:docPr id="230" name="Frame230"/>
                      <a:graphic xmlns:a="http://schemas.openxmlformats.org/drawingml/2006/main">
                        <a:graphicData uri="http://schemas.microsoft.com/office/word/2010/wordprocessingShape">
                          <wps:wsp>
                            <wps:cNvSpPr txBox="1"/>
                            <wps:spPr>
                              <a:xfrm>
                                <a:off x="0" y="0"/>
                                <a:ext cx="305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895"/>
                      <wp:effectExtent l="0" t="0" r="0" b="0"/>
                      <wp:wrapNone/>
                      <wp:docPr id="231" name="Frame231"/>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56540" cy="175895"/>
                      <wp:effectExtent l="0" t="0" r="0" b="0"/>
                      <wp:wrapNone/>
                      <wp:docPr id="232" name="Frame232"/>
                      <a:graphic xmlns:a="http://schemas.openxmlformats.org/drawingml/2006/main">
                        <a:graphicData uri="http://schemas.microsoft.com/office/word/2010/wordprocessingShape">
                          <wps:wsp>
                            <wps:cNvSpPr txBox="1"/>
                            <wps:spPr>
                              <a:xfrm>
                                <a:off x="0" y="0"/>
                                <a:ext cx="2565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15620" cy="175895"/>
                      <wp:effectExtent l="0" t="0" r="0" b="0"/>
                      <wp:wrapNone/>
                      <wp:docPr id="233" name="Frame233"/>
                      <a:graphic xmlns:a="http://schemas.openxmlformats.org/drawingml/2006/main">
                        <a:graphicData uri="http://schemas.microsoft.com/office/word/2010/wordprocessingShape">
                          <wps:wsp>
                            <wps:cNvSpPr txBox="1"/>
                            <wps:spPr>
                              <a:xfrm>
                                <a:off x="0" y="0"/>
                                <a:ext cx="5156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21285" cy="175895"/>
                      <wp:effectExtent l="0" t="0" r="0" b="0"/>
                      <wp:wrapNone/>
                      <wp:docPr id="234" name="Frame234"/>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1" w:after="1"/>
              <w:ind w:left="0" w:right="0" w:hanging="0"/>
              <w:jc w:val="left"/>
              <w:rPr/>
            </w:pPr>
            <w:r>
              <w:rPr/>
              <w:t>​</w:t>
            </w:r>
          </w:p>
        </w:tc>
      </w:tr>
      <w:tr>
        <w:trPr/>
        <w:tc>
          <w:tcPr>
            <w:tcW w:w="301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1" w:after="1"/>
              <w:ind w:left="0" w:right="0" w:hanging="0"/>
              <w:jc w:val="left"/>
              <w:rPr/>
            </w:pPr>
            <w:r>
              <w:rPr/>
              <w:t>​</w:t>
            </w:r>
          </w:p>
        </w:tc>
      </w:tr>
      <w:tr>
        <w:trPr/>
        <w:tc>
          <w:tcPr>
            <w:tcW w:w="301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797"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1" w:after="1"/>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1"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1"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1"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Plans</w:t>
            </w:r>
          </w:p>
        </w:tc>
        <w:tc>
          <w:tcPr>
            <w:tcW w:w="326" w:type="dxa"/>
            <w:tcBorders/>
            <w:vAlign w:val="center"/>
          </w:tcPr>
          <w:p>
            <w:pPr>
              <w:pStyle w:val="TableContents"/>
              <w:bidi w:val="0"/>
              <w:spacing w:before="1"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1"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1" w:after="1"/>
              <w:ind w:left="0" w:right="0" w:hanging="0"/>
              <w:jc w:val="left"/>
              <w:rPr/>
            </w:pPr>
            <w:r>
              <w:rPr/>
              <w:t> </w:t>
            </w:r>
          </w:p>
        </w:tc>
      </w:tr>
      <w:tr>
        <w:trPr/>
        <w:tc>
          <w:tcPr>
            <w:tcW w:w="30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shd w:fill="CCEEFF" w:val="clear"/>
            <w:vAlign w:val="center"/>
          </w:tcPr>
          <w:p>
            <w:pPr>
              <w:pStyle w:val="TableContents"/>
              <w:bidi w:val="0"/>
              <w:spacing w:before="1" w:after="1"/>
              <w:ind w:left="0" w:right="0" w:hanging="0"/>
              <w:jc w:val="left"/>
              <w:rPr/>
            </w:pPr>
            <w:r>
              <w:rPr/>
              <w:t>​</w:t>
            </w:r>
          </w:p>
        </w:tc>
        <w:tc>
          <w:tcPr>
            <w:tcW w:w="30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1" w:after="1"/>
              <w:ind w:left="0" w:right="0" w:hanging="0"/>
              <w:jc w:val="left"/>
              <w:rPr/>
            </w:pPr>
            <w:r>
              <w:rPr/>
              <w:t>​</w:t>
            </w:r>
          </w:p>
        </w:tc>
        <w:tc>
          <w:tcPr>
            <w:tcW w:w="26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30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305" w:type="dxa"/>
            <w:tcBorders/>
            <w:vAlign w:val="center"/>
          </w:tcPr>
          <w:p>
            <w:pPr>
              <w:pStyle w:val="TableContents"/>
              <w:bidi w:val="0"/>
              <w:spacing w:before="1" w:after="1"/>
              <w:ind w:left="0" w:right="0" w:hanging="0"/>
              <w:jc w:val="left"/>
              <w:rPr/>
            </w:pPr>
            <w:r>
              <w:rPr/>
              <w:t>​</w:t>
            </w:r>
          </w:p>
        </w:tc>
        <w:tc>
          <w:tcPr>
            <w:tcW w:w="61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vAlign w:val="center"/>
          </w:tcPr>
          <w:p>
            <w:pPr>
              <w:pStyle w:val="TableContents"/>
              <w:bidi w:val="0"/>
              <w:spacing w:before="1" w:after="1"/>
              <w:ind w:left="0" w:right="0" w:hanging="0"/>
              <w:jc w:val="left"/>
              <w:rPr/>
            </w:pPr>
            <w:r>
              <w:rPr/>
              <w:t>​</w:t>
            </w:r>
          </w:p>
        </w:tc>
      </w:tr>
      <w:tr>
        <w:trPr/>
        <w:tc>
          <w:tcPr>
            <w:tcW w:w="30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net actuarial loss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86"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305" w:type="dxa"/>
            <w:tcBorders/>
            <w:shd w:fill="CCEEFF" w:val="clear"/>
            <w:vAlign w:val="center"/>
          </w:tcPr>
          <w:p>
            <w:pPr>
              <w:pStyle w:val="TableContents"/>
              <w:bidi w:val="0"/>
              <w:spacing w:before="1" w:after="1"/>
              <w:ind w:left="0" w:right="0" w:hanging="0"/>
              <w:jc w:val="left"/>
              <w:rPr/>
            </w:pPr>
            <w:r>
              <w:rPr/>
              <w:t>​</w:t>
            </w:r>
          </w:p>
        </w:tc>
        <w:tc>
          <w:tcPr>
            <w:tcW w:w="61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1" w:after="1"/>
              <w:ind w:left="0" w:right="0" w:hanging="0"/>
              <w:jc w:val="left"/>
              <w:rPr/>
            </w:pPr>
            <w:r>
              <w:rPr/>
              <w:t>​</w:t>
            </w:r>
          </w:p>
        </w:tc>
        <w:tc>
          <w:tcPr>
            <w:tcW w:w="260" w:type="dxa"/>
            <w:tcBorders/>
            <w:shd w:fill="CCEEFF" w:val="clear"/>
            <w:vAlign w:val="center"/>
          </w:tcPr>
          <w:p>
            <w:pPr>
              <w:pStyle w:val="TableContents"/>
              <w:bidi w:val="0"/>
              <w:spacing w:before="1" w:after="1"/>
              <w:ind w:left="0" w:right="0" w:hanging="0"/>
              <w:jc w:val="left"/>
              <w:rPr/>
            </w:pPr>
            <w:r>
              <w:rPr/>
              <w:t>​</w:t>
            </w:r>
          </w:p>
        </w:tc>
        <w:tc>
          <w:tcPr>
            <w:tcW w:w="52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pPr>
            <w:r>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30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305" w:type="dxa"/>
            <w:tcBorders/>
            <w:vAlign w:val="center"/>
          </w:tcPr>
          <w:p>
            <w:pPr>
              <w:pStyle w:val="TableContents"/>
              <w:bidi w:val="0"/>
              <w:spacing w:before="1" w:after="1"/>
              <w:ind w:left="0" w:right="0" w:hanging="0"/>
              <w:jc w:val="left"/>
              <w:rPr/>
            </w:pPr>
            <w:r>
              <w:rPr/>
              <w:t>​</w:t>
            </w:r>
          </w:p>
        </w:tc>
        <w:tc>
          <w:tcPr>
            <w:tcW w:w="61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191" w:type="dxa"/>
            <w:tcBorders/>
            <w:vAlign w:val="center"/>
          </w:tcPr>
          <w:p>
            <w:pPr>
              <w:pStyle w:val="TableContents"/>
              <w:bidi w:val="0"/>
              <w:spacing w:before="1" w:after="1"/>
              <w:ind w:left="0" w:right="0" w:hanging="0"/>
              <w:jc w:val="left"/>
              <w:rPr/>
            </w:pPr>
            <w:r>
              <w:rPr/>
              <w:t>​</w:t>
            </w:r>
          </w:p>
        </w:tc>
      </w:tr>
      <w:tr>
        <w:trPr/>
        <w:tc>
          <w:tcPr>
            <w:tcW w:w="30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30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1" w:after="1"/>
              <w:ind w:left="0" w:right="0" w:hanging="0"/>
              <w:jc w:val="left"/>
              <w:rPr/>
            </w:pPr>
            <w:r>
              <w:rPr/>
              <w:t>​</w:t>
            </w:r>
          </w:p>
        </w:tc>
        <w:tc>
          <w:tcPr>
            <w:tcW w:w="305" w:type="dxa"/>
            <w:tcBorders/>
            <w:vAlign w:val="center"/>
          </w:tcPr>
          <w:p>
            <w:pPr>
              <w:pStyle w:val="TableContents"/>
              <w:bidi w:val="0"/>
              <w:spacing w:before="1" w:after="1"/>
              <w:ind w:left="0" w:right="0" w:hanging="0"/>
              <w:jc w:val="left"/>
              <w:rPr/>
            </w:pPr>
            <w:r>
              <w:rPr/>
              <w:t>​</w:t>
            </w:r>
          </w:p>
        </w:tc>
        <w:tc>
          <w:tcPr>
            <w:tcW w:w="61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191" w:type="dxa"/>
            <w:tcBorders/>
            <w:vAlign w:val="center"/>
          </w:tcPr>
          <w:p>
            <w:pPr>
              <w:pStyle w:val="TableContents"/>
              <w:bidi w:val="0"/>
              <w:spacing w:before="1" w:after="1"/>
              <w:ind w:left="0" w:right="0" w:hanging="0"/>
              <w:jc w:val="left"/>
              <w:rPr/>
            </w:pPr>
            <w:r>
              <w:rPr/>
              <w:t>​</w:t>
            </w:r>
          </w:p>
        </w:tc>
      </w:tr>
      <w:tr>
        <w:trPr/>
        <w:tc>
          <w:tcPr>
            <w:tcW w:w="30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credit </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86"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305" w:type="dxa"/>
            <w:tcBorders/>
            <w:shd w:fill="CCEEFF" w:val="clear"/>
            <w:vAlign w:val="center"/>
          </w:tcPr>
          <w:p>
            <w:pPr>
              <w:pStyle w:val="TableContents"/>
              <w:bidi w:val="0"/>
              <w:spacing w:before="1" w:after="1"/>
              <w:ind w:left="0" w:right="0" w:hanging="0"/>
              <w:jc w:val="left"/>
              <w:rPr/>
            </w:pPr>
            <w:r>
              <w:rPr/>
              <w:t>​</w:t>
            </w:r>
          </w:p>
        </w:tc>
        <w:tc>
          <w:tcPr>
            <w:tcW w:w="61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1" w:after="1"/>
              <w:ind w:left="0" w:right="0" w:hanging="0"/>
              <w:jc w:val="left"/>
              <w:rPr/>
            </w:pPr>
            <w:r>
              <w:rPr/>
              <w:t>​</w:t>
            </w:r>
          </w:p>
        </w:tc>
        <w:tc>
          <w:tcPr>
            <w:tcW w:w="260" w:type="dxa"/>
            <w:tcBorders/>
            <w:shd w:fill="CCEEFF" w:val="clear"/>
            <w:vAlign w:val="center"/>
          </w:tcPr>
          <w:p>
            <w:pPr>
              <w:pStyle w:val="TableContents"/>
              <w:bidi w:val="0"/>
              <w:spacing w:before="1" w:after="1"/>
              <w:ind w:left="0" w:right="0" w:hanging="0"/>
              <w:jc w:val="left"/>
              <w:rPr/>
            </w:pPr>
            <w:r>
              <w:rPr/>
              <w:t>​</w:t>
            </w:r>
          </w:p>
        </w:tc>
        <w:tc>
          <w:tcPr>
            <w:tcW w:w="52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pPr>
            <w:r>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30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net actuarial loss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305" w:type="dxa"/>
            <w:tcBorders/>
            <w:vAlign w:val="center"/>
          </w:tcPr>
          <w:p>
            <w:pPr>
              <w:pStyle w:val="TableContents"/>
              <w:bidi w:val="0"/>
              <w:spacing w:before="1" w:after="1"/>
              <w:ind w:left="0" w:right="0" w:hanging="0"/>
              <w:jc w:val="left"/>
              <w:rPr/>
            </w:pPr>
            <w:r>
              <w:rPr/>
              <w:t>​</w:t>
            </w:r>
          </w:p>
        </w:tc>
        <w:tc>
          <w:tcPr>
            <w:tcW w:w="61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91" w:type="dxa"/>
            <w:tcBorders/>
            <w:vAlign w:val="center"/>
          </w:tcPr>
          <w:p>
            <w:pPr>
              <w:pStyle w:val="TableContents"/>
              <w:bidi w:val="0"/>
              <w:spacing w:before="1" w:after="1"/>
              <w:ind w:left="0" w:right="0" w:hanging="0"/>
              <w:jc w:val="left"/>
              <w:rPr/>
            </w:pPr>
            <w:r>
              <w:rPr/>
              <w:t>​</w:t>
            </w:r>
          </w:p>
        </w:tc>
      </w:tr>
      <w:tr>
        <w:trPr/>
        <w:tc>
          <w:tcPr>
            <w:tcW w:w="30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30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1" w:after="1"/>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1"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1" w:after="1"/>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for the six months ended June 30, 2024 consisted of the following:</w:t>
      </w:r>
    </w:p>
    <w:tbl>
      <w:tblPr>
        <w:tblW w:w="9569" w:type="dxa"/>
        <w:jc w:val="left"/>
        <w:tblInd w:w="0" w:type="dxa"/>
        <w:tblLayout w:type="fixed"/>
        <w:tblCellMar>
          <w:top w:w="0" w:type="dxa"/>
          <w:left w:w="0" w:type="dxa"/>
          <w:bottom w:w="0" w:type="dxa"/>
          <w:right w:w="0" w:type="dxa"/>
        </w:tblCellMar>
      </w:tblPr>
      <w:tblGrid>
        <w:gridCol w:w="3346"/>
        <w:gridCol w:w="326"/>
        <w:gridCol w:w="211"/>
        <w:gridCol w:w="586"/>
        <w:gridCol w:w="326"/>
        <w:gridCol w:w="285"/>
        <w:gridCol w:w="631"/>
        <w:gridCol w:w="326"/>
        <w:gridCol w:w="260"/>
        <w:gridCol w:w="521"/>
        <w:gridCol w:w="326"/>
        <w:gridCol w:w="211"/>
        <w:gridCol w:w="481"/>
        <w:gridCol w:w="326"/>
        <w:gridCol w:w="347"/>
        <w:gridCol w:w="869"/>
        <w:gridCol w:w="19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24710" cy="175260"/>
                      <wp:effectExtent l="0" t="0" r="0" b="0"/>
                      <wp:wrapNone/>
                      <wp:docPr id="235" name="Frame235"/>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72110" cy="175260"/>
                      <wp:effectExtent l="0" t="0" r="0" b="0"/>
                      <wp:wrapNone/>
                      <wp:docPr id="238" name="Frame23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80975" cy="175260"/>
                      <wp:effectExtent l="0" t="0" r="0" b="0"/>
                      <wp:wrapNone/>
                      <wp:docPr id="240" name="Frame24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00685" cy="175260"/>
                      <wp:effectExtent l="0" t="0" r="0" b="0"/>
                      <wp:wrapNone/>
                      <wp:docPr id="241" name="Frame24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5100" cy="175260"/>
                      <wp:effectExtent l="0" t="0" r="0" b="0"/>
                      <wp:wrapNone/>
                      <wp:docPr id="243" name="Frame24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30835" cy="175260"/>
                      <wp:effectExtent l="0" t="0" r="0" b="0"/>
                      <wp:wrapNone/>
                      <wp:docPr id="244" name="Frame244"/>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05435" cy="175260"/>
                      <wp:effectExtent l="0" t="0" r="0" b="0"/>
                      <wp:wrapNone/>
                      <wp:docPr id="247" name="Frame24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20345" cy="175260"/>
                      <wp:effectExtent l="0" t="0" r="0" b="0"/>
                      <wp:wrapNone/>
                      <wp:docPr id="249" name="Frame249"/>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51815" cy="175260"/>
                      <wp:effectExtent l="0" t="0" r="0" b="0"/>
                      <wp:wrapNone/>
                      <wp:docPr id="250" name="Frame250"/>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21285" cy="175260"/>
                      <wp:effectExtent l="0" t="0" r="0" b="0"/>
                      <wp:wrapNone/>
                      <wp:docPr id="251" name="Frame25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0" w:after="0"/>
              <w:ind w:left="0" w:right="0" w:hanging="0"/>
              <w:jc w:val="left"/>
              <w:rPr/>
            </w:pPr>
            <w:r>
              <w:rPr/>
              <w:t> </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actuarial gain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actuarial gain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vAlign w:val="center"/>
          </w:tcPr>
          <w:p>
            <w:pPr>
              <w:pStyle w:val="TableContents"/>
              <w:bidi w:val="0"/>
              <w:spacing w:before="0" w:after="0"/>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11.</w:t>
      </w:r>
      <w:r>
        <w:rPr>
          <w:rFonts w:ascii="Times New Roman;Times;serif" w:hAnsi="Times New Roman;Times;serif"/>
          <w:sz w:val="20"/>
        </w:rPr>
        <w:t>          </w:t>
      </w:r>
      <w:r>
        <w:rPr>
          <w:rFonts w:ascii="Times New Roman;Times;serif" w:hAnsi="Times New Roman;Times;serif"/>
          <w:b/>
          <w:sz w:val="20"/>
        </w:rPr>
        <w:t>FAIR VALUE OF FINANCIAL INSTRUMENTS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uses Level 1 inputs for the fair values of its cash and cash equivalents, and CCF cash and cash equivalents and investments, and Level 2 inputs for fixed rate debt. The fair values of cash and cash equivalents, and cash and cash equivalents in the CCF approximate their carrying values due to the nature of the instruments. The fair value of investments in the CCF is calculated based upon quoted prices available in active markets. The fair value of fixed rate debt is calculated based upon interest rates available for debt with terms and maturities similar to the Company’s existing debt arrangements.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232" w:name="Tc_o4Ogus_u5EWRRmrD-4SwKA_14_15"/>
      <w:bookmarkStart w:id="1233" w:name="Tc_-mLTtEy5IE-mR5jrHanYSA_14_14"/>
      <w:bookmarkStart w:id="1234" w:name="Tc_8lu4WjNm2U6VUoI92Aq33A_14_11"/>
      <w:bookmarkStart w:id="1235" w:name="Tc_Xk04_7cJ60Kv16vRvCXStw_14_9"/>
      <w:bookmarkStart w:id="1236" w:name="Tc_c_UCeA3Pq0usB62UdMskAw_14_8"/>
      <w:bookmarkStart w:id="1237" w:name="Tc_2wgJ7B8f00eYUvdzOzvSJQ_14_5"/>
      <w:bookmarkStart w:id="1238" w:name="Tc_TxX6C44EykKLcKl9FlB-zg_14_2"/>
      <w:bookmarkStart w:id="1239" w:name="Tc_y1NjbUtMFkagEIkn_hFoLw_14_0"/>
      <w:bookmarkStart w:id="1240" w:name="Tc_fOggWmoC80m-x9MXZ_i_gw_13_15"/>
      <w:bookmarkStart w:id="1241" w:name="Tc_EirWTqmREEiuZdqmy4JIqQ_13_14"/>
      <w:bookmarkStart w:id="1242" w:name="Tc_b3bfbz20xEetWyLkXV0RKA_13_12"/>
      <w:bookmarkStart w:id="1243" w:name="Tc_3RxClygNLku_fIr8-bCBjQ_13_11"/>
      <w:bookmarkStart w:id="1244" w:name="Tc_fQH7ZUDQ5ky7uRved29NDQ_13_8"/>
      <w:bookmarkStart w:id="1245" w:name="Tc_-TvFjl_psUCIbegWLVGzuQ_13_5"/>
      <w:bookmarkStart w:id="1246" w:name="Tc_80MMTjvzF0aY0wxBbYmHXA_13_2"/>
      <w:bookmarkStart w:id="1247" w:name="Tc_HsoIY0Thw06SOyQlF0PmUg_13_0"/>
      <w:bookmarkStart w:id="1248" w:name="Tc_iaugZA3vyU2gc2LC5BP0Bg_12_15"/>
      <w:bookmarkStart w:id="1249" w:name="Tc_J0_gZJeHQ0es4MjNOGqrpA_12_14"/>
      <w:bookmarkStart w:id="1250" w:name="Tc_1XnGZWvu5kCgw0jF7yF42g_12_12"/>
      <w:bookmarkStart w:id="1251" w:name="Tc_iR5bdnhSmEuBDFANRCnxUA_12_11"/>
      <w:bookmarkStart w:id="1252" w:name="Tc_httu0pVr7EiikuxtVuXdFg_12_8"/>
      <w:bookmarkStart w:id="1253" w:name="Tc_bZnnnkuc2Eir5_ZdC-IN-A_12_5"/>
      <w:bookmarkStart w:id="1254" w:name="Tc_QvC-qfWgmEGu03Ohk6S9nA_12_2"/>
      <w:bookmarkStart w:id="1255" w:name="Tc_7fuV20IN6Eib2qLjJWwqoA_12_0"/>
      <w:bookmarkStart w:id="1256" w:name="Tc_gBfGaB1zu0CU__DFv6mpcw_11_15"/>
      <w:bookmarkStart w:id="1257" w:name="Tc_zk1DffuZdkmDRHJlxj4_fA_11_14"/>
      <w:bookmarkStart w:id="1258" w:name="Tc_VgRvKtN9MEO5fsUSUeBaww_11_12"/>
      <w:bookmarkStart w:id="1259" w:name="Tc_S8KQLgn7AUqHk9fAr8QR6A_11_11"/>
      <w:bookmarkStart w:id="1260" w:name="Tc_ntm5SXupo0ecQIZfuUJWLg_11_8"/>
      <w:bookmarkStart w:id="1261" w:name="Tc_52tHQ_oGBkO7rV4ex4o_5w_11_5"/>
      <w:bookmarkStart w:id="1262" w:name="Tc_UdW3XtEk-0m0V2X0jPsTfw_11_2"/>
      <w:bookmarkStart w:id="1263" w:name="Tc_8M7JM29b8UWEGg2yfmkf8A_11_0"/>
      <w:bookmarkStart w:id="1264" w:name="Tc_Cze4cdCj70CjWMllIxcQrA_10_5"/>
      <w:bookmarkStart w:id="1265" w:name="Tc_mmDkLMAYEk-sueI68ymAxg_10_2"/>
      <w:bookmarkStart w:id="1266" w:name="Tc_Zz8sepknhkuQZ7_YJPJCuQ_10_0"/>
      <w:bookmarkStart w:id="1267" w:name="Tc_BAlp34_4MEyDaeMkDh-JVg_8_15"/>
      <w:bookmarkStart w:id="1268" w:name="Tc_gPGu2zYVc06V0R7cdy1Slw_8_14"/>
      <w:bookmarkStart w:id="1269" w:name="Tc_ETIsc1Vp1U2207vpOTVh8Q_8_11"/>
      <w:bookmarkStart w:id="1270" w:name="Tc_Ag6qLD1pz0GmFaKzlTpH5A_8_9"/>
      <w:bookmarkStart w:id="1271" w:name="Tc_0m60zArf3E-sE8DlY5RGXw_8_8"/>
      <w:bookmarkStart w:id="1272" w:name="Tc_NEHEY1gRvUq0vBub9pNjFg_8_5"/>
      <w:bookmarkStart w:id="1273" w:name="Tc_IWKhHcE_Sky5r5ctuPk-7g_8_2"/>
      <w:bookmarkStart w:id="1274" w:name="Tc_tV7BRCZU0kuxPZeQShMzCQ_8_0"/>
      <w:bookmarkStart w:id="1275" w:name="Tc_WVjGwRph40-f6NV-2-csqw_7_15"/>
      <w:bookmarkStart w:id="1276" w:name="Tc_zGwv9wX6u0q-KDvD64VzOA_7_14"/>
      <w:bookmarkStart w:id="1277" w:name="Tc_xQvcxsDgREq_NLWAuJB9-w_7_12"/>
      <w:bookmarkStart w:id="1278" w:name="Tc_4mVPbxOmRk-8U4Slcf967w_7_11"/>
      <w:bookmarkStart w:id="1279" w:name="Tc_QojtNYXqVEqqN0GXQlEZsQ_7_8"/>
      <w:bookmarkStart w:id="1280" w:name="Tc_-Je2sqM3ZU6L0wBUMUdsvw_7_5"/>
      <w:bookmarkStart w:id="1281" w:name="Tc_6vpYteYjKkmzoeTC1RZncw_7_2"/>
      <w:bookmarkStart w:id="1282" w:name="Tc_bHk_aUqby0ylaEtTJfl7mA_7_0"/>
      <w:bookmarkStart w:id="1283" w:name="Tc_nyTaxqvdkkuVogzgjwTdOA_6_15"/>
      <w:bookmarkStart w:id="1284" w:name="Tc_aBg535DfukmvTSAvX02DPg_6_14"/>
      <w:bookmarkStart w:id="1285" w:name="Tc_1hQ4qmjvZ0Oe2VE51SFTKA_6_12"/>
      <w:bookmarkStart w:id="1286" w:name="Tc_IDDvILNWekeh8wDdygIDiA_6_11"/>
      <w:bookmarkStart w:id="1287" w:name="Tc_NLCXp83xYUWST17Kvoihrg_6_8"/>
      <w:bookmarkStart w:id="1288" w:name="Tc_bQ_FgSZirUKyLOKWd1ezrg_6_5"/>
      <w:bookmarkStart w:id="1289" w:name="Tc_8NLlOu9AuUCGB2SX4q1INA_6_2"/>
      <w:bookmarkStart w:id="1290" w:name="Tc_Pc5Y4cAqc0ik0sIMXSd0Ag_6_0"/>
      <w:bookmarkStart w:id="1291" w:name="Tc_jJq7EdxchEancv-H4C6RAw_5_15"/>
      <w:bookmarkStart w:id="1292" w:name="Tc_kogTrNOzyUON6RPze_kcmg_5_14"/>
      <w:bookmarkStart w:id="1293" w:name="Tc_IXZj4yvEqU-xx45nC6vI5w_5_12"/>
      <w:bookmarkStart w:id="1294" w:name="Tc_EyNOfsdhnUexnV5P9NUC3Q_5_11"/>
      <w:bookmarkStart w:id="1295" w:name="Tc_TWonecx-j0mI9gIfwnLm3A_5_8"/>
      <w:bookmarkStart w:id="1296" w:name="Tc_WMljnGCwhUGUxi6Fc79gIg_5_5"/>
      <w:bookmarkStart w:id="1297" w:name="Tc_eTz6qz-YKUugKVDHlJ_png_5_2"/>
      <w:bookmarkStart w:id="1298" w:name="Tc_YmtUjhfL50aAE5VAJ-R7Cg_5_0"/>
      <w:bookmarkStart w:id="1299" w:name="Tc_v39B8m-LnU2w5-38bSNY5Q_4_5"/>
      <w:bookmarkStart w:id="1300" w:name="Tc_5k41-EkmKUGZvwVzog5wnw_4_2"/>
      <w:bookmarkStart w:id="1301" w:name="Tc_q30ulpK33EWRcmnCJ5ljDA_4_0"/>
      <w:bookmarkStart w:id="1302" w:name="Tc_5vQ72jO8xkWXJIUgRX_fRA_3_14"/>
      <w:bookmarkStart w:id="1303" w:name="Tc_dV_yi8SthUKfRvf3jVk01A_3_11"/>
      <w:bookmarkStart w:id="1304" w:name="Tc_3mwVCz95kkieCd6VQewcHw_3_8"/>
      <w:bookmarkStart w:id="1305" w:name="Tc_udoZRXvUx0ixHWOj6cB9OQ_3_5"/>
      <w:bookmarkStart w:id="1306" w:name="Tc_T-8N2LmIzkGvBMHArAygEQ_3_2"/>
      <w:bookmarkStart w:id="1307" w:name="Tc_U5KA2b39ek-CcIYviuUKTg_2_14"/>
      <w:bookmarkStart w:id="1308" w:name="Tc_X4pbwfy9v0aKHxgrQn4seA_2_11"/>
      <w:bookmarkStart w:id="1309" w:name="Tc_J153JgY110meuj25OCutdQ_2_8"/>
      <w:bookmarkStart w:id="1310" w:name="Tc_9PAM7DiNJ0WD5r9Wf7u0Yg_2_2"/>
      <w:bookmarkStart w:id="1311" w:name="Tc__lK5duSViUavdJcgEQ-xhA_1_14"/>
      <w:bookmarkStart w:id="1312" w:name="Tc_0BADZlGzH0yzJFZyyFhbjg_1_11"/>
      <w:bookmarkStart w:id="1313" w:name="Tc_DedYJMFzCUScFEonz7ohPQ_1_8"/>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r>
        <w:rPr>
          <w:rFonts w:ascii="Times New Roman;Times;serif" w:hAnsi="Times New Roman;Times;serif"/>
          <w:sz w:val="20"/>
        </w:rPr>
        <w:t>The carrying value and fair value of the Company’s financial instruments as of June 30, 2025 and December 31, 2024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02"/>
        <w:gridCol w:w="326"/>
        <w:gridCol w:w="449"/>
        <w:gridCol w:w="1217"/>
        <w:gridCol w:w="326"/>
        <w:gridCol w:w="372"/>
        <w:gridCol w:w="1009"/>
        <w:gridCol w:w="326"/>
        <w:gridCol w:w="352"/>
        <w:gridCol w:w="954"/>
        <w:gridCol w:w="326"/>
        <w:gridCol w:w="291"/>
        <w:gridCol w:w="791"/>
        <w:gridCol w:w="326"/>
        <w:gridCol w:w="446"/>
        <w:gridCol w:w="735"/>
        <w:gridCol w:w="157"/>
      </w:tblGrid>
      <w:tr>
        <w:trPr/>
        <w:tc>
          <w:tcPr>
            <w:tcW w:w="1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144270" cy="175260"/>
                      <wp:effectExtent l="0" t="0" r="0" b="0"/>
                      <wp:wrapNone/>
                      <wp:docPr id="252" name="Frame252"/>
                      <a:graphic xmlns:a="http://schemas.openxmlformats.org/drawingml/2006/main">
                        <a:graphicData uri="http://schemas.microsoft.com/office/word/2010/wordprocessingShape">
                          <wps:wsp>
                            <wps:cNvSpPr txBox="1"/>
                            <wps:spPr>
                              <a:xfrm>
                                <a:off x="0" y="0"/>
                                <a:ext cx="1144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85115" cy="175260"/>
                      <wp:effectExtent l="0" t="0" r="0" b="0"/>
                      <wp:wrapNone/>
                      <wp:docPr id="254" name="Frame254"/>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772795" cy="175260"/>
                      <wp:effectExtent l="0" t="0" r="0" b="0"/>
                      <wp:wrapNone/>
                      <wp:docPr id="255" name="Frame255"/>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36220" cy="175260"/>
                      <wp:effectExtent l="0" t="0" r="0" b="0"/>
                      <wp:wrapNone/>
                      <wp:docPr id="257" name="Frame257"/>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0715" cy="175260"/>
                      <wp:effectExtent l="0" t="0" r="0" b="0"/>
                      <wp:wrapNone/>
                      <wp:docPr id="258" name="Frame258"/>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23520" cy="175260"/>
                      <wp:effectExtent l="0" t="0" r="0" b="0"/>
                      <wp:wrapNone/>
                      <wp:docPr id="260" name="Frame260"/>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05790" cy="175260"/>
                      <wp:effectExtent l="0" t="0" r="0" b="0"/>
                      <wp:wrapNone/>
                      <wp:docPr id="261" name="Frame261"/>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84785" cy="175260"/>
                      <wp:effectExtent l="0" t="0" r="0" b="0"/>
                      <wp:wrapNone/>
                      <wp:docPr id="263" name="Frame263"/>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02285" cy="175260"/>
                      <wp:effectExtent l="0" t="0" r="0" b="0"/>
                      <wp:wrapNone/>
                      <wp:docPr id="264" name="Frame264"/>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83210" cy="175260"/>
                      <wp:effectExtent l="0" t="0" r="0" b="0"/>
                      <wp:wrapNone/>
                      <wp:docPr id="266" name="Frame266"/>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66725" cy="175260"/>
                      <wp:effectExtent l="0" t="0" r="0" b="0"/>
                      <wp:wrapNone/>
                      <wp:docPr id="267" name="Frame267"/>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99695" cy="175260"/>
                      <wp:effectExtent l="0" t="0" r="0" b="0"/>
                      <wp:wrapNone/>
                      <wp:docPr id="268" name="Frame268"/>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w:t>
            </w:r>
          </w:p>
        </w:tc>
        <w:tc>
          <w:tcPr>
            <w:tcW w:w="11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2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w:t>
            </w:r>
          </w:p>
        </w:tc>
        <w:tc>
          <w:tcPr>
            <w:tcW w:w="326" w:type="dxa"/>
            <w:tcBorders/>
            <w:vAlign w:val="center"/>
          </w:tcPr>
          <w:p>
            <w:pPr>
              <w:pStyle w:val="TableContents"/>
              <w:bidi w:val="0"/>
              <w:spacing w:before="0" w:after="0"/>
              <w:ind w:left="0" w:right="0" w:hanging="0"/>
              <w:jc w:val="left"/>
              <w:rPr/>
            </w:pPr>
            <w:r>
              <w:rPr/>
              <w:t>​</w:t>
            </w:r>
          </w:p>
        </w:tc>
        <w:tc>
          <w:tcPr>
            <w:tcW w:w="11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Carrying Value    </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Total         </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26" w:type="dxa"/>
            <w:tcBorders/>
            <w:vAlign w:val="center"/>
          </w:tcPr>
          <w:p>
            <w:pPr>
              <w:pStyle w:val="TableContents"/>
              <w:bidi w:val="0"/>
              <w:spacing w:before="0" w:after="0"/>
              <w:ind w:left="0" w:right="0" w:hanging="0"/>
              <w:jc w:val="left"/>
              <w:rPr/>
            </w:pPr>
            <w:r>
              <w:rPr/>
              <w:t>    </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157" w:type="dxa"/>
            <w:tcBorders/>
            <w:vAlign w:val="center"/>
          </w:tcPr>
          <w:p>
            <w:pPr>
              <w:pStyle w:val="TableContents"/>
              <w:bidi w:val="0"/>
              <w:spacing w:before="0" w:after="0"/>
              <w:ind w:left="0" w:right="0" w:hanging="0"/>
              <w:jc w:val="left"/>
              <w:rPr/>
            </w:pPr>
            <w:r>
              <w:rPr/>
              <w:t>​</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8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left"/>
              <w:rPr/>
            </w:pPr>
            <w:r>
              <w:rPr/>
              <w:t>​</w:t>
            </w:r>
          </w:p>
        </w:tc>
        <w:tc>
          <w:tcPr>
            <w:tcW w:w="592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June 30, 2025</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330.1</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330.1</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330.1</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327.4</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327.4</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308.4</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308.4</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0"/>
              <w:ind w:left="0" w:right="0" w:hanging="0"/>
              <w:jc w:val="left"/>
              <w:rPr/>
            </w:pPr>
            <w:r>
              <w:rPr/>
              <w:t>​</w:t>
            </w:r>
          </w:p>
        </w:tc>
        <w:tc>
          <w:tcPr>
            <w:tcW w:w="5928" w:type="dxa"/>
            <w:gridSpan w:val="11"/>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Fair Value Measurements at December 31, 2024        </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2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411.9</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314" w:name="Tc_leg_aMaXNkKEBCosXDyGPg_8_15"/>
      <w:bookmarkStart w:id="1315" w:name="Tc_R6KJdadJNUys5mCipPnXTg_8_10"/>
      <w:bookmarkStart w:id="1316" w:name="Tc_sSUhC8Oi7Eeq4ev8MKOinA_8_7"/>
      <w:bookmarkStart w:id="1317" w:name="Tc_3PAMYSyh0UW7cUQd7OSWhQ_8_2"/>
      <w:bookmarkStart w:id="1318" w:name="Tc_IbBlz7SeXEGtakbgG3iJhA_8_0"/>
      <w:bookmarkStart w:id="1319" w:name="Tc_Iyp3wua0Q0m1wbGe1UkBDA_7_0"/>
      <w:bookmarkStart w:id="1320" w:name="Tc_up0cviAHbU-Vy5IxbK8daQ_6_15"/>
      <w:bookmarkStart w:id="1321" w:name="Tc_qNfw3N1m0E-zkEJmaawo9A_6_10"/>
      <w:bookmarkStart w:id="1322" w:name="Tc_LUUpQlOFSEuudclFML5lHw_6_7"/>
      <w:bookmarkStart w:id="1323" w:name="Tc_7EIzGIN3rkyPrz1Fmfvvmw_6_2"/>
      <w:bookmarkStart w:id="1324" w:name="Tc_rzEqka1Uh0yCjwQCYpGIkA_6_0"/>
      <w:bookmarkStart w:id="1325" w:name="Tc_eHKcp8ZHNEyZ1A3dEDTnjw_5_15"/>
      <w:bookmarkStart w:id="1326" w:name="Tc_pXZ5ksXuck-UHlqsc7RYng_5_13"/>
      <w:bookmarkStart w:id="1327" w:name="Tc_v8CJ-bSMY0aa6w-yqf6_CA_5_10"/>
      <w:bookmarkStart w:id="1328" w:name="Tc_jeixQYGxJECsvnzftBeoCA_5_7"/>
      <w:bookmarkStart w:id="1329" w:name="Tc_YETBU7zXJ0iePWWXUuIFCw_5_5"/>
      <w:bookmarkStart w:id="1330" w:name="Tc_qDYxL6ySYUOL6AcETjsGHA_5_2"/>
      <w:bookmarkStart w:id="1331" w:name="Tc_s8gUk0FWrEiYyvWnpqW-1Q_5_0"/>
      <w:bookmarkStart w:id="1332" w:name="Tc_METAVuLMaU2Ft5qrBHVQ5A_4_15"/>
      <w:bookmarkStart w:id="1333" w:name="Tc_GpAN0mV2yUGvuxO-7Ilafw_4_13"/>
      <w:bookmarkStart w:id="1334" w:name="Tc_jSFSWzSKgU2iCDhbC40u_g_4_10"/>
      <w:bookmarkStart w:id="1335" w:name="Tc_GaKYWRqWKE-id_w1tqk_wg_4_7"/>
      <w:bookmarkStart w:id="1336" w:name="Tc_vH252tsrpEmTBrXO1ZydCw_4_5"/>
      <w:bookmarkStart w:id="1337" w:name="Tc_KWUpbqpu4kWULWunUbW4Cw_4_2"/>
      <w:bookmarkStart w:id="1338" w:name="Tc_5KcKVrU5XkW7_-5FTYZ2qA_3_15"/>
      <w:bookmarkStart w:id="1339" w:name="Tc_ICwszahdP0WA0mYuGIL-gQ_3_13"/>
      <w:bookmarkStart w:id="1340" w:name="Tc_5XlM3Y6GlUWS26mKuz0U8A_3_7"/>
      <w:bookmarkStart w:id="1341" w:name="Tc_p5-0VvLVd0afVMz_8MGTNA_3_5"/>
      <w:bookmarkStart w:id="1342" w:name="Tc_7jOGNBvFIU2405YCSqbhkw_2_15"/>
      <w:bookmarkStart w:id="1343" w:name="Tc_KczmJaZ2Tk2xWR4AHIF0Hw_2_13"/>
      <w:bookmarkStart w:id="1344" w:name="Tc_UA46wEvu7U2cP1DwxFiLKQ_2_7"/>
      <w:bookmarkStart w:id="1345" w:name="Tc_RH1iR8keoUmMvSkUbuUEzg_2_5"/>
      <w:bookmarkStart w:id="1346" w:name="Tc__QfetD00IUCElukNmiEpWw_1_10"/>
      <w:bookmarkStart w:id="1347" w:name="Tc_rKkkfShCakWydJP_6lirKg_1_2"/>
      <w:bookmarkStart w:id="1348" w:name="_ce7342ac_f8c1_49de_bc8d_704cd4b6da53"/>
      <w:bookmarkStart w:id="1349" w:name="Tc_enj1_DIda0CgxesQ0IFvMQ_8_15"/>
      <w:bookmarkStart w:id="1350" w:name="Tc_NTzUb9GcEEKEP7BzpbyO-g_8_10"/>
      <w:bookmarkStart w:id="1351" w:name="Tc_qtgpTz5e8U6ChnCYTe_UaQ_8_7"/>
      <w:bookmarkStart w:id="1352" w:name="Tc_p2t0w3HpQ0mga9sLtmC1vA_8_2"/>
      <w:bookmarkStart w:id="1353" w:name="Tc_xRgpCFF50UG3ZhVqWXGIyQ_8_0"/>
      <w:bookmarkStart w:id="1354" w:name="Tc_KKQz0jpnRkGMjx8OVjYK2Q_7_0"/>
      <w:bookmarkStart w:id="1355" w:name="Tc_pRpRfc_I1UyfL3MsyHcdRw_6_15"/>
      <w:bookmarkStart w:id="1356" w:name="Tc_AIVUSFyNs06NK-hL26gvgw_6_10"/>
      <w:bookmarkStart w:id="1357" w:name="Tc_vp4p1dq_AkCvqB5PTGkPhA_6_7"/>
      <w:bookmarkStart w:id="1358" w:name="Tc_6gjTd6JvKU2l3xQWoPHE8w_6_2"/>
      <w:bookmarkStart w:id="1359" w:name="Tc_81jPkhQ3FkiohztALFEw-g_6_0"/>
      <w:bookmarkStart w:id="1360" w:name="Tc_Y9Wkx6ZhiUWSnh7FqGo3bQ_5_15"/>
      <w:bookmarkStart w:id="1361" w:name="Tc_-st9bub3pkGW4VX06NwToQ_5_13"/>
      <w:bookmarkStart w:id="1362" w:name="Tc_ZbwYAd7HFU6F_4zfkego9g_5_10"/>
      <w:bookmarkStart w:id="1363" w:name="Tc_rpPr3d7DuEaRqiAQSG-6Sg_5_7"/>
      <w:bookmarkStart w:id="1364" w:name="Tc_Q_0_XmnYykCQS5KjbzmZjg_5_5"/>
      <w:bookmarkStart w:id="1365" w:name="Tc_1vYP0UvOpky9wGrKEk7QnA_5_2"/>
      <w:bookmarkStart w:id="1366" w:name="Tc_KbywdaH3aU2h5bzEdizSDQ_5_0"/>
      <w:bookmarkStart w:id="1367" w:name="Tc_OQDvJSTOi0eKseblYjZOAA_4_15"/>
      <w:bookmarkStart w:id="1368" w:name="Tc_7aQoV91Yy0SSM__5raF3hA_4_13"/>
      <w:bookmarkStart w:id="1369" w:name="Tc_anb8vlOBskGCDxdvZgsiqA_4_10"/>
      <w:bookmarkStart w:id="1370" w:name="Tc_jryJGKCO6kW8BhK1Ee0_QQ_4_7"/>
      <w:bookmarkStart w:id="1371" w:name="Tc_rpMsAL-090CiS8Pl7Lx08Q_4_5"/>
      <w:bookmarkStart w:id="1372" w:name="Tc_ulUx9DA5pU6827zPl9oU1w_4_2"/>
      <w:bookmarkStart w:id="1373" w:name="Tc_1FZxos7ku0m4KNcA2kO30Q_3_15"/>
      <w:bookmarkStart w:id="1374" w:name="Tc_Dh1sjMqbjkapzBxWdfHToA_3_13"/>
      <w:bookmarkStart w:id="1375" w:name="Tc_fewVXAVBt0evzxpQjWF-nw_3_7"/>
      <w:bookmarkStart w:id="1376" w:name="Tc_KaHkKEpxnU22lQ7fjB0ljA_3_5"/>
      <w:bookmarkStart w:id="1377" w:name="Tc_ZNj-TlZ_XUCjFjpWg8BGSA_2_15"/>
      <w:bookmarkStart w:id="1378" w:name="Tc__NsiP-cCakueDOeAJOn6FQ_2_13"/>
      <w:bookmarkStart w:id="1379" w:name="Tc_hO0ActxcgEqTi8FJ2vqcTw_2_7"/>
      <w:bookmarkStart w:id="1380" w:name="Tc_OvrffYc0tkClqwzdjdpEow_2_5"/>
      <w:bookmarkStart w:id="1381" w:name="Tc_agYTD0LbX0aeT2drIYz3sQ_1_10"/>
      <w:bookmarkStart w:id="1382" w:name="Tc_iFomvpiyXU6qhTY0Dq8HfA_1_2"/>
      <w:bookmarkStart w:id="1383" w:name="_4d9058e3_68ab_4a86_988e_a23b6cf6e4d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r>
        <w:rPr>
          <w:rFonts w:ascii="Times New Roman;Times;serif" w:hAnsi="Times New Roman;Times;serif"/>
          <w:b/>
          <w:sz w:val="20"/>
        </w:rPr>
        <w:t>12.</w:t>
      </w:r>
      <w:r>
        <w:rPr>
          <w:rFonts w:ascii="Times New Roman;Times;serif" w:hAnsi="Times New Roman;Times;serif"/>
          <w:sz w:val="20"/>
        </w:rPr>
        <w:t>          </w:t>
      </w:r>
      <w:r>
        <w:rPr>
          <w:rFonts w:ascii="Times New Roman;Times;serif" w:hAnsi="Times New Roman;Times;serif"/>
          <w:b/>
          <w:sz w:val="20"/>
        </w:rPr>
        <w:t>EARNINGS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 is determined by dividing net income by the weighted average common shares outstanding during the period. The calculation of diluted earnings per share includes the dilutive effect of non-vested restricted stock units. The computation of weighted average common shares outstanding excluded a nominal amount of anti-dilutive restricted stock units for each period ended June 30, 2025 and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computations for basic and diluted earnings per share for the three and six months ended June 30, 2025 and 2024 are as follows:</w:t>
      </w:r>
    </w:p>
    <w:p>
      <w:pPr>
        <w:pStyle w:val="TextBody"/>
        <w:bidi w:val="0"/>
        <w:spacing w:before="0" w:after="0"/>
        <w:ind w:left="0" w:right="0" w:hanging="0"/>
        <w:jc w:val="left"/>
        <w:rPr/>
      </w:pPr>
      <w:r>
        <w:rPr/>
        <w:t>​</w:t>
      </w:r>
    </w:p>
    <w:tbl>
      <w:tblPr>
        <w:tblW w:w="8897" w:type="dxa"/>
        <w:jc w:val="left"/>
        <w:tblInd w:w="0" w:type="dxa"/>
        <w:tblLayout w:type="fixed"/>
        <w:tblCellMar>
          <w:top w:w="0" w:type="dxa"/>
          <w:left w:w="0" w:type="dxa"/>
          <w:bottom w:w="0" w:type="dxa"/>
          <w:right w:w="0" w:type="dxa"/>
        </w:tblCellMar>
      </w:tblPr>
      <w:tblGrid>
        <w:gridCol w:w="2656"/>
        <w:gridCol w:w="326"/>
        <w:gridCol w:w="196"/>
        <w:gridCol w:w="421"/>
        <w:gridCol w:w="326"/>
        <w:gridCol w:w="721"/>
        <w:gridCol w:w="326"/>
        <w:gridCol w:w="196"/>
        <w:gridCol w:w="541"/>
        <w:gridCol w:w="326"/>
        <w:gridCol w:w="196"/>
        <w:gridCol w:w="511"/>
        <w:gridCol w:w="326"/>
        <w:gridCol w:w="721"/>
        <w:gridCol w:w="326"/>
        <w:gridCol w:w="196"/>
        <w:gridCol w:w="58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686560" cy="175260"/>
                      <wp:effectExtent l="0" t="0" r="0" b="0"/>
                      <wp:wrapNone/>
                      <wp:docPr id="269" name="Frame269"/>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24460" cy="175260"/>
                      <wp:effectExtent l="0" t="0" r="0" b="0"/>
                      <wp:wrapNone/>
                      <wp:docPr id="271" name="Frame2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67335" cy="175260"/>
                      <wp:effectExtent l="0" t="0" r="0" b="0"/>
                      <wp:wrapNone/>
                      <wp:docPr id="272" name="Frame27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57835" cy="175260"/>
                      <wp:effectExtent l="0" t="0" r="0" b="0"/>
                      <wp:wrapNone/>
                      <wp:docPr id="274" name="Frame27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4460" cy="175260"/>
                      <wp:effectExtent l="0" t="0" r="0" b="0"/>
                      <wp:wrapNone/>
                      <wp:docPr id="276" name="Frame2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43535" cy="175260"/>
                      <wp:effectExtent l="0" t="0" r="0" b="0"/>
                      <wp:wrapNone/>
                      <wp:docPr id="277" name="Frame27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24460" cy="175260"/>
                      <wp:effectExtent l="0" t="0" r="0" b="0"/>
                      <wp:wrapNone/>
                      <wp:docPr id="279" name="Frame2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24485" cy="175260"/>
                      <wp:effectExtent l="0" t="0" r="0" b="0"/>
                      <wp:wrapNone/>
                      <wp:docPr id="280" name="Frame28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57835" cy="175260"/>
                      <wp:effectExtent l="0" t="0" r="0" b="0"/>
                      <wp:wrapNone/>
                      <wp:docPr id="282" name="Frame28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24460" cy="175260"/>
                      <wp:effectExtent l="0" t="0" r="0" b="0"/>
                      <wp:wrapNone/>
                      <wp:docPr id="284" name="Frame2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72110" cy="175260"/>
                      <wp:effectExtent l="0" t="0" r="0" b="0"/>
                      <wp:wrapNone/>
                      <wp:docPr id="285" name="Frame28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June 30, 2025</w:t>
            </w:r>
          </w:p>
        </w:tc>
        <w:tc>
          <w:tcPr>
            <w:tcW w:w="326" w:type="dxa"/>
            <w:tcBorders/>
            <w:vAlign w:val="center"/>
          </w:tcPr>
          <w:p>
            <w:pPr>
              <w:pStyle w:val="TableContents"/>
              <w:bidi w:val="0"/>
              <w:spacing w:before="0" w:after="0"/>
              <w:ind w:left="0" w:right="0" w:hanging="0"/>
              <w:jc w:val="left"/>
              <w:rPr/>
            </w:pPr>
            <w:r>
              <w:rPr/>
              <w:t>​</w:t>
            </w:r>
          </w:p>
        </w:tc>
        <w:tc>
          <w:tcPr>
            <w:tcW w:w="286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2025</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 millions, except per share amounts)</w:t>
            </w:r>
          </w:p>
        </w:tc>
        <w:tc>
          <w:tcPr>
            <w:tcW w:w="326" w:type="dxa"/>
            <w:tcBorders/>
            <w:vAlign w:val="center"/>
          </w:tcPr>
          <w:p>
            <w:pPr>
              <w:pStyle w:val="TableContents"/>
              <w:bidi w:val="0"/>
              <w:spacing w:before="0" w:after="0"/>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94.7</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167.0</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94.7</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167.0</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5.09</w:t>
            </w:r>
          </w:p>
        </w:tc>
      </w:tr>
    </w:tbl>
    <w:p>
      <w:pPr>
        <w:pStyle w:val="TextBody"/>
        <w:bidi w:val="0"/>
        <w:spacing w:before="0" w:after="0"/>
        <w:ind w:left="0" w:right="0" w:hanging="0"/>
        <w:jc w:val="left"/>
        <w:rPr/>
      </w:pPr>
      <w:r>
        <w:rPr/>
        <w:t>​</w:t>
      </w:r>
    </w:p>
    <w:tbl>
      <w:tblPr>
        <w:tblW w:w="8927" w:type="dxa"/>
        <w:jc w:val="left"/>
        <w:tblInd w:w="0" w:type="dxa"/>
        <w:tblLayout w:type="fixed"/>
        <w:tblCellMar>
          <w:top w:w="0" w:type="dxa"/>
          <w:left w:w="0" w:type="dxa"/>
          <w:bottom w:w="0" w:type="dxa"/>
          <w:right w:w="0" w:type="dxa"/>
        </w:tblCellMar>
      </w:tblPr>
      <w:tblGrid>
        <w:gridCol w:w="2656"/>
        <w:gridCol w:w="266"/>
        <w:gridCol w:w="196"/>
        <w:gridCol w:w="511"/>
        <w:gridCol w:w="326"/>
        <w:gridCol w:w="721"/>
        <w:gridCol w:w="326"/>
        <w:gridCol w:w="196"/>
        <w:gridCol w:w="541"/>
        <w:gridCol w:w="326"/>
        <w:gridCol w:w="196"/>
        <w:gridCol w:w="511"/>
        <w:gridCol w:w="326"/>
        <w:gridCol w:w="721"/>
        <w:gridCol w:w="326"/>
        <w:gridCol w:w="196"/>
        <w:gridCol w:w="58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686560" cy="175260"/>
                      <wp:effectExtent l="0" t="0" r="0" b="0"/>
                      <wp:wrapNone/>
                      <wp:docPr id="286" name="Frame286"/>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68910" cy="175260"/>
                      <wp:effectExtent l="0" t="0" r="0" b="0"/>
                      <wp:wrapNone/>
                      <wp:docPr id="287" name="Frame28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24460" cy="175260"/>
                      <wp:effectExtent l="0" t="0" r="0" b="0"/>
                      <wp:wrapNone/>
                      <wp:docPr id="288" name="Frame2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24485" cy="175260"/>
                      <wp:effectExtent l="0" t="0" r="0" b="0"/>
                      <wp:wrapNone/>
                      <wp:docPr id="289" name="Frame28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57835" cy="175260"/>
                      <wp:effectExtent l="0" t="0" r="0" b="0"/>
                      <wp:wrapNone/>
                      <wp:docPr id="291" name="Frame29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24460" cy="175260"/>
                      <wp:effectExtent l="0" t="0" r="0" b="0"/>
                      <wp:wrapNone/>
                      <wp:docPr id="293" name="Frame2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43535" cy="175260"/>
                      <wp:effectExtent l="0" t="0" r="0" b="0"/>
                      <wp:wrapNone/>
                      <wp:docPr id="294" name="Frame29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24460" cy="175260"/>
                      <wp:effectExtent l="0" t="0" r="0" b="0"/>
                      <wp:wrapNone/>
                      <wp:docPr id="296" name="Frame2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24485" cy="175260"/>
                      <wp:effectExtent l="0" t="0" r="0" b="0"/>
                      <wp:wrapNone/>
                      <wp:docPr id="297" name="Frame29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57835" cy="175260"/>
                      <wp:effectExtent l="0" t="0" r="0" b="0"/>
                      <wp:wrapNone/>
                      <wp:docPr id="299" name="Frame29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24460" cy="175260"/>
                      <wp:effectExtent l="0" t="0" r="0" b="0"/>
                      <wp:wrapNone/>
                      <wp:docPr id="301" name="Frame3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72110" cy="175260"/>
                      <wp:effectExtent l="0" t="0" r="0" b="0"/>
                      <wp:wrapNone/>
                      <wp:docPr id="302" name="Frame30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28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June 30, 2024</w:t>
            </w:r>
          </w:p>
        </w:tc>
        <w:tc>
          <w:tcPr>
            <w:tcW w:w="326" w:type="dxa"/>
            <w:tcBorders/>
            <w:vAlign w:val="center"/>
          </w:tcPr>
          <w:p>
            <w:pPr>
              <w:pStyle w:val="TableContents"/>
              <w:bidi w:val="0"/>
              <w:spacing w:before="0" w:after="0"/>
              <w:ind w:left="0" w:right="0" w:hanging="0"/>
              <w:jc w:val="left"/>
              <w:rPr/>
            </w:pPr>
            <w:r>
              <w:rPr/>
              <w:t>​</w:t>
            </w:r>
          </w:p>
        </w:tc>
        <w:tc>
          <w:tcPr>
            <w:tcW w:w="286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2024</w: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 millions, except per share amounts)</w:t>
            </w:r>
          </w:p>
        </w:tc>
        <w:tc>
          <w:tcPr>
            <w:tcW w:w="26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113.2</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4.38</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26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384" w:name="_Hlk164155045"/>
      <w:bookmarkEnd w:id="1384"/>
      <w:r>
        <w:rPr>
          <w:rFonts w:ascii="Times New Roman;Times;serif" w:hAnsi="Times New Roman;Times;serif"/>
          <w:b/>
          <w:sz w:val="20"/>
        </w:rPr>
        <w:t>13.</w:t>
      </w:r>
      <w:r>
        <w:rPr>
          <w:rFonts w:ascii="Times New Roman;Times;serif" w:hAnsi="Times New Roman;Times;serif"/>
          <w:sz w:val="20"/>
        </w:rPr>
        <w:t>          </w:t>
      </w:r>
      <w:r>
        <w:rPr>
          <w:rFonts w:ascii="Times New Roman;Times;serif" w:hAnsi="Times New Roman;Times;serif"/>
          <w:b/>
          <w:sz w:val="20"/>
        </w:rPr>
        <w:t>SHARE-BASED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and six months ended June 30, 2025, the Company granted time-based restricted stock units and performance-based shares to certain of its employees totaling approximately 98,000 and 231,200 shares, respectively, with a combined weighted average grant date fair value of $112.55 and $130.46 per share,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share-based compensation cost recognized in the Condensed Consolidated Statements of Income and Comprehensive Income as a component of general and administrative expenses was $5.9 million and $6.3 million for the three months ended June 30, 2025 and 2024 and $11.7 million and $12.0 million for the six months ended June 30, 2025 and 2024, respectively. Total unrecognized compensation cost related to unvested share-based compensation arrangements was $32.7 million at June 30, 2025, and is expected to be recognized over a weighted average period of approximately 1.8 years. Total unrecognized compensation cost may be adjusted for any unearned performance shares or forfeited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385" w:name="Tc_tiNfjZ3X10CN9Za8FvftQw_10_11"/>
      <w:bookmarkStart w:id="1386" w:name="Tc_qZP9xvZSZkm4L-kwA7CbhQ_10_8"/>
      <w:bookmarkStart w:id="1387" w:name="Tc_8ca8QBqqE0-uVhr26JaLKQ_10_5"/>
      <w:bookmarkStart w:id="1388" w:name="Tc_ECc_KjjoLUKdGJbulUKWyA_10_2"/>
      <w:bookmarkStart w:id="1389" w:name="Tc_Qq3M6CKOik2xWmqS7V1Isw_10_0"/>
      <w:bookmarkStart w:id="1390" w:name="Tc_jOasxwQSkE6Zg0vILO8juw_9_6"/>
      <w:bookmarkStart w:id="1391" w:name="Tc_BhoI2be3LUqbXh8T4tpIbg_9_3"/>
      <w:bookmarkStart w:id="1392" w:name="Tc_rrTX8FAbUkeK58NMCeD8tw_9_0"/>
      <w:bookmarkStart w:id="1393" w:name="Tc_0PBzENCMNU6kgOqjshlk9A_8_3"/>
      <w:bookmarkStart w:id="1394" w:name="Tc_l1_i7wyKK0-k7sl4nkGJXQ_8_0"/>
      <w:bookmarkStart w:id="1395" w:name="Tc_jpyOXYmfpkWbW5LlVaqubQ_7_12"/>
      <w:bookmarkStart w:id="1396" w:name="Tc_iNkhOYusDkmcyl2WTEr9xg_7_9"/>
      <w:bookmarkStart w:id="1397" w:name="Tc_Y03asR6SVk6KwRzVMI_meQ_7_0"/>
      <w:bookmarkStart w:id="1398" w:name="Tc_tQwPXhYyUUmMxSbY3eRiFQ_6_0"/>
      <w:bookmarkStart w:id="1399" w:name="Tc_UtXJdDexRUqH0Xs_zUIqlw_5_11"/>
      <w:bookmarkStart w:id="1400" w:name="Tc_8DYQYXAJpEmIyIFz6vGOkg_5_8"/>
      <w:bookmarkStart w:id="1401" w:name="Tc_HRxcYSgIKUKgk7SKxvVdJA_5_5"/>
      <w:bookmarkStart w:id="1402" w:name="Tc_QjS_evboSUiHrvXS3c_5LQ_5_2"/>
      <w:bookmarkStart w:id="1403" w:name="Tc_0YbJTml6HkG0SZ1_ErXmKg_5_0"/>
      <w:bookmarkStart w:id="1404" w:name="Tc_D8BZKx7sPUKDIZHPbmU4iw_4_0"/>
      <w:bookmarkStart w:id="1405" w:name="Tc_Jr6WxEkse0O-L4bUBFyn7w_3_11"/>
      <w:bookmarkStart w:id="1406" w:name="Tc_64dvRyEpEUSQaPJA6W4Rdg_3_8"/>
      <w:bookmarkStart w:id="1407" w:name="Tc_5ncgjdfZR0iT6lIQxfV7fA_3_5"/>
      <w:bookmarkStart w:id="1408" w:name="Tc_50p7uqjj2kWAx5hcUJVSpA_3_2"/>
      <w:bookmarkStart w:id="1409" w:name="Tc_VP5NJTKghkaZgbkUN_gEdA_3_0"/>
      <w:bookmarkStart w:id="1410" w:name="Tc_taInCLVG40aQr-ysG4PusQ_2_8"/>
      <w:bookmarkStart w:id="1411" w:name="Tc_JNp0Tk6AuEqf5faFAWKVyg_2_2"/>
      <w:bookmarkStart w:id="1412" w:name="Tc_loUq_L1LZ0-HP7o-74U36w_1_8"/>
      <w:bookmarkStart w:id="1413" w:name="Tc_HphBogxN_EOUyLEMt-ScIQ_1_2"/>
      <w:bookmarkStart w:id="1414" w:name="_6c7c1c79_66bb_46ef_a0b8_6ac6c6349900"/>
      <w:bookmarkStart w:id="1415" w:name="Tc_QjOUmqwkAkWFpud5hqEf7g_10_11"/>
      <w:bookmarkStart w:id="1416" w:name="Tc_U63mC6IZBkK0fyPwYM_INA_10_8"/>
      <w:bookmarkStart w:id="1417" w:name="Tc_5MnXGJiF2ESpIIRZjN1HQQ_10_5"/>
      <w:bookmarkStart w:id="1418" w:name="Tc_Jn_wrY49CEiW0J6hO6WweQ_10_2"/>
      <w:bookmarkStart w:id="1419" w:name="Tc_UQLuHnNdYEqCPzcmtrH3cQ_10_0"/>
      <w:bookmarkStart w:id="1420" w:name="Tc_g6lqxlfth0miGt8B2b3DaA_9_6"/>
      <w:bookmarkStart w:id="1421" w:name="Tc_vt9kxL9xA0msHUMBqkAhqg_9_3"/>
      <w:bookmarkStart w:id="1422" w:name="Tc_TG5VWdjnLEymL23jCNQHLA_9_0"/>
      <w:bookmarkStart w:id="1423" w:name="Tc_NPxdqRCa1k-4QrNyH8XG6w_8_3"/>
      <w:bookmarkStart w:id="1424" w:name="Tc_BQdAwk8LzUOPlHw-Hb4Vxw_8_0"/>
      <w:bookmarkStart w:id="1425" w:name="Tc_l2SWWqqEEEmLRxEG6p1tNQ_7_12"/>
      <w:bookmarkStart w:id="1426" w:name="Tc_oakEyAe7LE2QD5pzQWLpAA_7_9"/>
      <w:bookmarkStart w:id="1427" w:name="Tc_rcimayGIxEm7Zxjtggcezg_7_0"/>
      <w:bookmarkStart w:id="1428" w:name="Tc_GIHxJ09GVEWvDk37dJ1j2w_6_0"/>
      <w:bookmarkStart w:id="1429" w:name="Tc_gLWekTL29ESn-MahTWQjUg_5_11"/>
      <w:bookmarkStart w:id="1430" w:name="Tc_IicVLzP4kkymB-QpIMEQLA_5_8"/>
      <w:bookmarkStart w:id="1431" w:name="Tc_2YkDPbZkCk69K3Enp5pviQ_5_5"/>
      <w:bookmarkStart w:id="1432" w:name="Tc_hsJacrMyPk2bjOrWT9jvGQ_5_2"/>
      <w:bookmarkStart w:id="1433" w:name="Tc_Er9qgGImlEmA7cwOE9HvTw_5_0"/>
      <w:bookmarkStart w:id="1434" w:name="Tc_7XqxeS0daU-zhKq59QIWXA_4_0"/>
      <w:bookmarkStart w:id="1435" w:name="Tc_TE7-TjQEbEeqQD6cDf_xvA_3_11"/>
      <w:bookmarkStart w:id="1436" w:name="Tc_rpGdtMJLt0u6FDynoN2Y9g_3_8"/>
      <w:bookmarkStart w:id="1437" w:name="Tc_msXImRIjDECoDLAZJRog-Q_3_5"/>
      <w:bookmarkStart w:id="1438" w:name="Tc_G88-ocIBe0-BQqCUgHkz2g_3_2"/>
      <w:bookmarkStart w:id="1439" w:name="Tc_pLa53bwP2kOqN94BKYa2rQ_3_0"/>
      <w:bookmarkStart w:id="1440" w:name="Tc_WK-_H-JO_0m7tqCtBgrIOA_2_8"/>
      <w:bookmarkStart w:id="1441" w:name="Tc_5KmJ0O6ws0C6sGff0yZuBQ_2_2"/>
      <w:bookmarkStart w:id="1442" w:name="Tc_33JrEpMJLEqQSx_UnqjKPw_1_8"/>
      <w:bookmarkStart w:id="1443" w:name="Tc_7VB9PGU4w0q4uivV9RY6_g_1_2"/>
      <w:bookmarkStart w:id="1444" w:name="_becbae1c_cd12_46fe_abed_e1b2a29886e5"/>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r>
        <w:rPr>
          <w:rFonts w:ascii="Times New Roman;Times;serif" w:hAnsi="Times New Roman;Times;serif"/>
          <w:b/>
          <w:sz w:val="20"/>
        </w:rPr>
        <w:t>14.</w:t>
      </w:r>
      <w:r>
        <w:rPr>
          <w:rFonts w:ascii="Times New Roman;Times;serif" w:hAnsi="Times New Roman;Times;serif"/>
          <w:sz w:val="20"/>
        </w:rPr>
        <w:t>          </w:t>
      </w:r>
      <w:r>
        <w:rPr>
          <w:rFonts w:ascii="Times New Roman;Times;serif" w:hAnsi="Times New Roman;Times;serif"/>
          <w:b/>
          <w:sz w:val="20"/>
        </w:rPr>
        <w:t>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pension and post-retirement plans are described in Note 11 to the Consolidated Financial Statements included in Part II, Item 8 of the Company’s Annual Report on Form 10-K for the year ended December 31, 2024. Components of net periodic benefit cost and other amounts recognized in Other Comprehensive Income (Loss) for the qualified pension plans and the post-retirement benefit plans for the three and six months ended June 30, 2025 and 2024 consisted of the following:</w:t>
      </w:r>
    </w:p>
    <w:p>
      <w:pPr>
        <w:pStyle w:val="TextBody"/>
        <w:bidi w:val="0"/>
        <w:spacing w:before="0" w:after="0"/>
        <w:ind w:left="0" w:right="0" w:hanging="0"/>
        <w:jc w:val="left"/>
        <w:rPr/>
      </w:pPr>
      <w:r>
        <w:rPr/>
        <w:t>​</w:t>
      </w:r>
    </w:p>
    <w:tbl>
      <w:tblPr>
        <w:tblW w:w="9380" w:type="dxa"/>
        <w:jc w:val="left"/>
        <w:tblInd w:w="0" w:type="dxa"/>
        <w:tblLayout w:type="fixed"/>
        <w:tblCellMar>
          <w:top w:w="0" w:type="dxa"/>
          <w:left w:w="0" w:type="dxa"/>
          <w:bottom w:w="0" w:type="dxa"/>
          <w:right w:w="0" w:type="dxa"/>
        </w:tblCellMar>
      </w:tblPr>
      <w:tblGrid>
        <w:gridCol w:w="4066"/>
        <w:gridCol w:w="326"/>
        <w:gridCol w:w="285"/>
        <w:gridCol w:w="650"/>
        <w:gridCol w:w="440"/>
        <w:gridCol w:w="285"/>
        <w:gridCol w:w="650"/>
        <w:gridCol w:w="326"/>
        <w:gridCol w:w="302"/>
        <w:gridCol w:w="605"/>
        <w:gridCol w:w="469"/>
        <w:gridCol w:w="302"/>
        <w:gridCol w:w="674"/>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581910" cy="175260"/>
                      <wp:effectExtent l="0" t="0" r="0" b="0"/>
                      <wp:wrapNone/>
                      <wp:docPr id="303" name="Frame303"/>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80975" cy="175260"/>
                      <wp:effectExtent l="0" t="0" r="0" b="0"/>
                      <wp:wrapNone/>
                      <wp:docPr id="305" name="Frame30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12750" cy="175260"/>
                      <wp:effectExtent l="0" t="0" r="0" b="0"/>
                      <wp:wrapNone/>
                      <wp:docPr id="306" name="Frame306"/>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79400" cy="175260"/>
                      <wp:effectExtent l="0" t="0" r="0" b="0"/>
                      <wp:wrapNone/>
                      <wp:docPr id="307" name="Frame307"/>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80975" cy="175260"/>
                      <wp:effectExtent l="0" t="0" r="0" b="0"/>
                      <wp:wrapNone/>
                      <wp:docPr id="308" name="Frame308"/>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12750" cy="175260"/>
                      <wp:effectExtent l="0" t="0" r="0" b="0"/>
                      <wp:wrapNone/>
                      <wp:docPr id="309" name="Frame309"/>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91770" cy="175260"/>
                      <wp:effectExtent l="0" t="0" r="0" b="0"/>
                      <wp:wrapNone/>
                      <wp:docPr id="311" name="Frame311"/>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84175" cy="175260"/>
                      <wp:effectExtent l="0" t="0" r="0" b="0"/>
                      <wp:wrapNone/>
                      <wp:docPr id="312" name="Frame312"/>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97815" cy="175260"/>
                      <wp:effectExtent l="0" t="0" r="0" b="0"/>
                      <wp:wrapNone/>
                      <wp:docPr id="313" name="Frame313"/>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91770" cy="175260"/>
                      <wp:effectExtent l="0" t="0" r="0" b="0"/>
                      <wp:wrapNone/>
                      <wp:docPr id="314" name="Frame314"/>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27990" cy="175260"/>
                      <wp:effectExtent l="0" t="0" r="0" b="0"/>
                      <wp:wrapNone/>
                      <wp:docPr id="315" name="Frame315"/>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26" w:type="dxa"/>
            <w:tcBorders/>
            <w:vAlign w:val="center"/>
          </w:tcPr>
          <w:p>
            <w:pPr>
              <w:pStyle w:val="TableContents"/>
              <w:bidi w:val="0"/>
              <w:spacing w:before="0" w:after="0"/>
              <w:ind w:left="0" w:right="0" w:hanging="0"/>
              <w:jc w:val="left"/>
              <w:rPr/>
            </w:pPr>
            <w:r>
              <w:rPr/>
              <w:t>​</w:t>
            </w:r>
          </w:p>
        </w:tc>
        <w:tc>
          <w:tcPr>
            <w:tcW w:w="235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3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0" w:type="dxa"/>
            <w:tcBorders/>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69" w:type="dxa"/>
            <w:tcBorders/>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net periodic benefit cost (credit):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650" w:type="dxa"/>
            <w:tcBorders/>
            <w:shd w:fill="CCEEFF" w:val="clear"/>
            <w:vAlign w:val="center"/>
          </w:tcPr>
          <w:p>
            <w:pPr>
              <w:pStyle w:val="TableContents"/>
              <w:bidi w:val="0"/>
              <w:spacing w:before="0" w:after="0"/>
              <w:ind w:left="0" w:right="0" w:hanging="0"/>
              <w:jc w:val="center"/>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65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center"/>
              <w:rPr/>
            </w:pPr>
            <w:r>
              <w:rPr/>
              <w:t>​</w:t>
            </w:r>
          </w:p>
        </w:tc>
        <w:tc>
          <w:tcPr>
            <w:tcW w:w="605" w:type="dxa"/>
            <w:tcBorders/>
            <w:shd w:fill="CCEEFF" w:val="clear"/>
            <w:vAlign w:val="center"/>
          </w:tcPr>
          <w:p>
            <w:pPr>
              <w:pStyle w:val="TableContents"/>
              <w:bidi w:val="0"/>
              <w:spacing w:before="0" w:after="0"/>
              <w:ind w:left="0" w:right="0" w:hanging="0"/>
              <w:jc w:val="center"/>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center"/>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6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6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pPr>
            <w:r>
              <w:rPr/>
              <w:t>—</w:t>
            </w:r>
          </w:p>
        </w:tc>
        <w:tc>
          <w:tcPr>
            <w:tcW w:w="46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actuarial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6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69"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credit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469"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bl>
    <w:p>
      <w:pPr>
        <w:pStyle w:val="TextBody"/>
        <w:bidi w:val="0"/>
        <w:spacing w:before="0" w:after="0"/>
        <w:ind w:left="0" w:right="0" w:hanging="0"/>
        <w:jc w:val="left"/>
        <w:rPr/>
      </w:pPr>
      <w:r>
        <w:rPr/>
        <w:t>​</w:t>
      </w:r>
    </w:p>
    <w:tbl>
      <w:tblPr>
        <w:tblW w:w="8991" w:type="dxa"/>
        <w:jc w:val="left"/>
        <w:tblInd w:w="0" w:type="dxa"/>
        <w:tblLayout w:type="fixed"/>
        <w:tblCellMar>
          <w:top w:w="0" w:type="dxa"/>
          <w:left w:w="0" w:type="dxa"/>
          <w:bottom w:w="0" w:type="dxa"/>
          <w:right w:w="0" w:type="dxa"/>
        </w:tblCellMar>
      </w:tblPr>
      <w:tblGrid>
        <w:gridCol w:w="4066"/>
        <w:gridCol w:w="326"/>
        <w:gridCol w:w="261"/>
        <w:gridCol w:w="595"/>
        <w:gridCol w:w="403"/>
        <w:gridCol w:w="261"/>
        <w:gridCol w:w="595"/>
        <w:gridCol w:w="326"/>
        <w:gridCol w:w="277"/>
        <w:gridCol w:w="555"/>
        <w:gridCol w:w="430"/>
        <w:gridCol w:w="277"/>
        <w:gridCol w:w="619"/>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581910" cy="175260"/>
                      <wp:effectExtent l="0" t="0" r="0" b="0"/>
                      <wp:wrapNone/>
                      <wp:docPr id="316" name="Frame316"/>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65735" cy="175260"/>
                      <wp:effectExtent l="0" t="0" r="0" b="0"/>
                      <wp:wrapNone/>
                      <wp:docPr id="318" name="Frame31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77825" cy="175260"/>
                      <wp:effectExtent l="0" t="0" r="0" b="0"/>
                      <wp:wrapNone/>
                      <wp:docPr id="319" name="Frame319"/>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55905" cy="175260"/>
                      <wp:effectExtent l="0" t="0" r="0" b="0"/>
                      <wp:wrapNone/>
                      <wp:docPr id="320" name="Frame320"/>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65735" cy="175260"/>
                      <wp:effectExtent l="0" t="0" r="0" b="0"/>
                      <wp:wrapNone/>
                      <wp:docPr id="321" name="Frame321"/>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77825" cy="175260"/>
                      <wp:effectExtent l="0" t="0" r="0" b="0"/>
                      <wp:wrapNone/>
                      <wp:docPr id="322" name="Frame322"/>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75895" cy="175260"/>
                      <wp:effectExtent l="0" t="0" r="0" b="0"/>
                      <wp:wrapNone/>
                      <wp:docPr id="324" name="Frame32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52425" cy="175260"/>
                      <wp:effectExtent l="0" t="0" r="0" b="0"/>
                      <wp:wrapNone/>
                      <wp:docPr id="325" name="Frame325"/>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73050" cy="175260"/>
                      <wp:effectExtent l="0" t="0" r="0" b="0"/>
                      <wp:wrapNone/>
                      <wp:docPr id="326" name="Frame326"/>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75895" cy="175260"/>
                      <wp:effectExtent l="0" t="0" r="0" b="0"/>
                      <wp:wrapNone/>
                      <wp:docPr id="327" name="Frame32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93065" cy="175260"/>
                      <wp:effectExtent l="0" t="0" r="0" b="0"/>
                      <wp:wrapNone/>
                      <wp:docPr id="328" name="Frame328"/>
                      <a:graphic xmlns:a="http://schemas.openxmlformats.org/drawingml/2006/main">
                        <a:graphicData uri="http://schemas.microsoft.com/office/word/2010/wordprocessingShape">
                          <wps:wsp>
                            <wps:cNvSpPr txBox="1"/>
                            <wps:spPr>
                              <a:xfrm>
                                <a:off x="0" y="0"/>
                                <a:ext cx="393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26" w:type="dxa"/>
            <w:tcBorders/>
            <w:vAlign w:val="center"/>
          </w:tcPr>
          <w:p>
            <w:pPr>
              <w:pStyle w:val="TableContents"/>
              <w:bidi w:val="0"/>
              <w:spacing w:before="0" w:after="0"/>
              <w:ind w:left="0" w:right="0" w:hanging="0"/>
              <w:jc w:val="left"/>
              <w:rPr/>
            </w:pPr>
            <w:r>
              <w:rPr/>
              <w:t>​</w:t>
            </w:r>
          </w:p>
        </w:tc>
        <w:tc>
          <w:tcPr>
            <w:tcW w:w="215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3"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0" w:type="dxa"/>
            <w:tcBorders/>
            <w:vAlign w:val="center"/>
          </w:tcPr>
          <w:p>
            <w:pPr>
              <w:pStyle w:val="TableContents"/>
              <w:bidi w:val="0"/>
              <w:spacing w:before="0" w:after="0"/>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net periodic benefit cost (credit):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center"/>
              <w:rPr/>
            </w:pPr>
            <w:r>
              <w:rPr/>
              <w:t>​</w:t>
            </w:r>
          </w:p>
        </w:tc>
        <w:tc>
          <w:tcPr>
            <w:tcW w:w="595" w:type="dxa"/>
            <w:tcBorders/>
            <w:shd w:fill="CCEEFF" w:val="clear"/>
            <w:vAlign w:val="center"/>
          </w:tcPr>
          <w:p>
            <w:pPr>
              <w:pStyle w:val="TableContents"/>
              <w:bidi w:val="0"/>
              <w:spacing w:before="0" w:after="0"/>
              <w:ind w:left="0" w:right="0" w:hanging="0"/>
              <w:jc w:val="center"/>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center"/>
              <w:rPr/>
            </w:pPr>
            <w:r>
              <w:rPr/>
              <w:t>​</w:t>
            </w:r>
          </w:p>
        </w:tc>
        <w:tc>
          <w:tcPr>
            <w:tcW w:w="59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center"/>
              <w:rPr/>
            </w:pPr>
            <w:r>
              <w:rPr/>
              <w:t>​</w:t>
            </w:r>
          </w:p>
        </w:tc>
        <w:tc>
          <w:tcPr>
            <w:tcW w:w="555" w:type="dxa"/>
            <w:tcBorders/>
            <w:shd w:fill="CCEEFF" w:val="clear"/>
            <w:vAlign w:val="center"/>
          </w:tcPr>
          <w:p>
            <w:pPr>
              <w:pStyle w:val="TableContents"/>
              <w:bidi w:val="0"/>
              <w:spacing w:before="0" w:after="0"/>
              <w:ind w:left="0" w:right="0" w:hanging="0"/>
              <w:jc w:val="center"/>
              <w:rPr/>
            </w:pPr>
            <w:r>
              <w:rPr/>
              <w:t>​</w:t>
            </w:r>
          </w:p>
        </w:tc>
        <w:tc>
          <w:tcPr>
            <w:tcW w:w="430"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center"/>
              <w:rPr/>
            </w:pPr>
            <w:r>
              <w:rPr/>
              <w:t>​</w:t>
            </w:r>
          </w:p>
        </w:tc>
        <w:tc>
          <w:tcPr>
            <w:tcW w:w="619" w:type="dxa"/>
            <w:tcBorders/>
            <w:shd w:fill="CCEEFF" w:val="clear"/>
            <w:vAlign w:val="center"/>
          </w:tcPr>
          <w:p>
            <w:pPr>
              <w:pStyle w:val="TableContents"/>
              <w:bidi w:val="0"/>
              <w:spacing w:before="0" w:after="0"/>
              <w:ind w:left="0" w:right="0" w:hanging="0"/>
              <w:jc w:val="center"/>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03"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30"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30"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403"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30"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3"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30"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credit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30"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15.</w:t>
      </w:r>
      <w:r>
        <w:rPr>
          <w:rFonts w:ascii="Times New Roman;Times;serif" w:hAnsi="Times New Roman;Times;serif"/>
          <w:sz w:val="20"/>
        </w:rPr>
        <w:t>          </w:t>
      </w:r>
      <w:r>
        <w:rPr>
          <w:rFonts w:ascii="Times New Roman;Times;serif" w:hAnsi="Times New Roman;Times;serif"/>
          <w:b/>
          <w:sz w:val="20"/>
        </w:rPr>
        <w:t>COMMITMENTS AND 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Environmental Matters:</w:t>
      </w:r>
      <w:r>
        <w:rPr>
          <w:rFonts w:ascii="Times New Roman;Times;serif" w:hAnsi="Times New Roman;Times;serif"/>
          <w:sz w:val="20"/>
        </w:rPr>
        <w:t xml:space="preserve"> The Company’s Ocean Transportation business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45" w:name="ITEM_2_MDA"/>
      <w:bookmarkStart w:id="1446" w:name="_daa2ac42_3f49_4fb3_baec_bc39f849fdbd"/>
      <w:bookmarkEnd w:id="1445"/>
      <w:bookmarkEnd w:id="1446"/>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discussion and analysis should be read in conjunction with the Condensed Consolidated Financial Statements and related notes, and other financial information appearing elsewhere in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 Company, from time to time, may make or may have made certain forward-looking statements, whether orally or in writing, such as, among others, forecasts or projections of the Company’s future performance or statements of management’s plans and objectives. These statements are considered “forward-looking” statements as that term is defined in the Private Securities Litigation Reform Act of 1995. Such forward-looking statements may be contained in, among other things, SEC filings such as Forms 10-K, 10-Q and 8-K, the Company’s Annual Report to Shareholders, the Company’s Sustainability Report, press releases made by the Company, the Company’s Internet websites (including websites of its subsidiaries), and oral statements made by officers of the Company. Except for historical information contained in these written or oral communications, all other statements are forward-looking statements. These include, for example, all references to 2025 or future years, including such references included under “Second Quarter 2025 Discussion and Outlook for 2025,” as well as statements generally identified through the inclusion of words such as “anticipate,” “believe,” “can,” “commit,” “estimate,” “expect,” “goal,” “intend,” “may,” “plan,” “seek,” “should,” “target,” and “will,” or similar statements or variations of such terms and other similar expressions. New risks or uncertainties may emerge from time to time, risks that the Company currently does not consider to be material could become material, and it is not possible for the Company to predict all such risks, nor can it assess the impact of all such risks on the Company’s business or the extent to which any factor, or combination of factors, may cause actual results or outcomes, or the timing of results or outcomes, to differ materially from those contained in any forward-looking statements. Accordingly, forward-looking statements cannot be relied upon as a guarantee of future results or outcomes and involve a number of risks and uncertainties that could cause actual results or outcomes to differ materially from those projected in the statements, including but not limited to the factors that are described in Part II, Item 1A under the caption “Risk Factors” of the Company’s </w:t>
      </w:r>
      <w:hyperlink r:id="rId2">
        <w:r>
          <w:rPr>
            <w:rStyle w:val="InternetLink"/>
            <w:rFonts w:ascii="Times New Roman;Times;serif" w:hAnsi="Times New Roman;Times;serif"/>
            <w:b w:val="false"/>
            <w:i w:val="false"/>
            <w:caps w:val="false"/>
            <w:smallCaps w:val="false"/>
            <w:sz w:val="20"/>
          </w:rPr>
          <w:t>Form 10-Q for the quarter ended March 31, 2025</w:t>
        </w:r>
      </w:hyperlink>
      <w:r>
        <w:rPr>
          <w:rFonts w:ascii="Times New Roman;Times;serif" w:hAnsi="Times New Roman;Times;serif"/>
          <w:sz w:val="20"/>
        </w:rPr>
        <w:t>. Except as required by law, the Company undertakes no obligation to revise or update publicly forward-looking statements or any factors that may affect actual results, whether as a result of new information, future events, circumstances occurring after the date of this report, or otherwise.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Condensed Consolidated Financial Statements from period to period, the primary factors that accounted for those changes, and how certain accounting principles, policies and estimates affected the Company’s Condensed Consolidated Financial Statements. The MD&amp;A is provided as a supplement to the Condensed Consolidated Financial Statements and notes herein, and should be read in conjunction with the Company’s </w:t>
      </w:r>
      <w:hyperlink r:id="rId3">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sz w:val="20"/>
        </w:rPr>
        <w:t>, the Company’s reports on Forms 10-Q and 8-K, and other publicly available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SECOND</w:t>
      </w:r>
      <w:r>
        <w:rPr>
          <w:rFonts w:ascii="Times New Roman;Times;serif" w:hAnsi="Times New Roman;Times;serif"/>
          <w:sz w:val="20"/>
        </w:rPr>
        <w:t xml:space="preserve"> </w:t>
      </w:r>
      <w:r>
        <w:rPr>
          <w:rFonts w:ascii="Times New Roman;Times;serif" w:hAnsi="Times New Roman;Times;serif"/>
          <w:b/>
          <w:sz w:val="20"/>
        </w:rPr>
        <w:t xml:space="preserve">QUARTER 2025 DISCUSSION AND OUTLOOK FOR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Ocean Transportation:</w:t>
      </w:r>
      <w:r>
        <w:rPr>
          <w:rFonts w:ascii="Times New Roman;Times;serif" w:hAnsi="Times New Roman;Times;serif"/>
          <w:sz w:val="20"/>
        </w:rPr>
        <w:t xml:space="preserve"> The Company’s container volume in the Hawaii service in the second quarter 2025 was 2.6 percent higher year-over-year. The increase was primarily due to higher general demand. The Hawaii economy remains stable supported by strong construction activity, but faces potential headwinds from slowing tourism, increasing unemployment, and high inflation and interest rates. The Company expects volume in 2025 to be modestly higher than the level achieved in 2024, reflecting modest economic growth in Hawaii and stable market share.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China, the Company’s container volume in the second quarter 2025 decreased 14.6 percent year-over-year primarily due to the challenges of market uncertainty and volatility from tariffs and global trade. Freight rates in the second quarter 2025 were modestly higher than the levels achieved in the same period last year. At the onset of tariffs in April, the Company experienced significantly lower year-over-year freight demand, but starting in mid-May saw a rebound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 after the U.S. and China agreed to a temporary reduced level of tariffs. During the second quarter, the Company also moved with its customers as they shifted production throughout Asia in response to the tariffs, which resulted in higher container volume levels outside of China than the levels achieved in the first quarter. For the third quarter 2025, the Company expects lower year-over-year freight rates and volume compared to the elevated demand levels achieved in the third quarter last year and the Company’s expectation of a muted peak season this year. Assuming tariffs and global trade, regulatory measures, the trajectory of the U.S. economy and other geopolitical factors do not materially change from current conditions, the Company expects, for full year 2025, average freight rates and volume to be lower year-over-year.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Guam, the Company’s container volume in the second quarter 2025 decreased 2.2 percent year-over-year. In the near term, the Company expects Guam’s economy to remain stable with a slow recovery in tourism, a low unemployment rate, and some increase in construction activity. For 2025, the Company expects volume to be modestly lower than the level achieved last year.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Alaska, the Company’s container volume for the second quarter 2025 increased 0.9 percent year-over-year. The increase was primarily due to higher AAX volume, partially offset by two fewer northbound sailings compared to the year ago period. In the near term, the Company expects continued economic growth in Alaska supported by a low unemployment rate, jobs growth and continued oil and gas exploration and production activity. For 2025, the Company expects volume to be modestly higher than the level achieved last year.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contribution in the second quarter 2025 from the Company’s SSAT joint venture investment was $7.3 million, or $6.1 million higher than second quarter 2024. The increase was primarily due to higher lift volume. For 2025, the Company expects the contribution from SSAT to be modestly higher than the $17.4 million achieved last year without taking into account the $18.4 million impairment charge at SSAT during the fourth quarter 2024.</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the outlook trends noted above, the Company expects uncertainty regarding tariffs and global trade, regulatory measures, the trajectory of the U.S. economy and other geopolitical factors to continue. Assuming these factors do not materially change from current conditions, the Company expects Ocean Transportation operating income for the full year to be higher than the guidance provided in early May, but moderately lower than the level achieved in the prior year. For the third quarter 2025, the Company expects Ocean Transportation operating income to be meaningfully lower than the level achieved in the same period last year primarily due to lower year-over-year freight rates and volume in the China service compared to the elevated demand levels achieved in the third quarter last year and the Company’s expectation of a muted peak season this year.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Logistics:</w:t>
      </w:r>
      <w:r>
        <w:rPr>
          <w:rFonts w:ascii="Times New Roman;Times;serif" w:hAnsi="Times New Roman;Times;serif"/>
          <w:sz w:val="20"/>
        </w:rPr>
        <w:t xml:space="preserve"> In the second quarter 2025, operating income for the Company’s Logistics segment was $14.4 million, or $1.2 million lower compared to the level achieved in the second quarter 2024. The decrease was primarily due to a lower contribution from transportation brokerage. For the third quarter 2025, the Company expects Logistics operating income to be comparable to the $15.4 million achieved in the third quarter 2024. For full year 2025, the Company expects Logistics operating income to be comparable to the level achieved in the prior year.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Consolidated Operating Income:</w:t>
      </w:r>
      <w:r>
        <w:rPr>
          <w:rFonts w:ascii="Times New Roman;Times;serif" w:hAnsi="Times New Roman;Times;serif"/>
          <w:sz w:val="20"/>
        </w:rPr>
        <w:t xml:space="preserve"> For the third quarter 2025, the Company expects consolidated operating income to be meaningfully lower than the $242.3 million achieved in the third quarter 2024. For full year 2025, the Company expects consolidated operating income to be higher than the guidance provided in early May, but moderately lower than the $551.3 million achieved in 2024.</w:t>
      </w:r>
      <w:r>
        <w:rPr>
          <w:rFonts w:ascii="Times New Roman;Times;serif" w:hAnsi="Times New Roman;Times;serif"/>
          <w:sz w:val="20"/>
          <w:shd w:fill="FFFF00" w:val="clear"/>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Depreciation and Amortization:</w:t>
      </w:r>
      <w:r>
        <w:rPr>
          <w:rFonts w:ascii="Times New Roman;Times;serif" w:hAnsi="Times New Roman;Times;serif"/>
          <w:sz w:val="20"/>
        </w:rPr>
        <w:t xml:space="preserve"> For full year 2025, the Company expects depreciation and amortization expense to be approximately $200 million, inclusive of dry-docking amortization of approximately $26 million.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The Company expects interest income for the full year 2025 to be approximately $31 million. In the second quarter 2024, the Company’s interest income of $18.8 million included $10.2 million in interest income earned on the federal tax refund related to the Company’s 2021 federal tax return.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xml:space="preserve"> The Company expects interest expense for the full year 2025 to be approximately $7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447" w:name="_Hlk179577062"/>
      <w:bookmarkEnd w:id="1447"/>
      <w:r>
        <w:rPr>
          <w:rFonts w:ascii="Times New Roman;Times;serif" w:hAnsi="Times New Roman;Times;serif"/>
          <w:i/>
          <w:sz w:val="20"/>
        </w:rPr>
        <w:t xml:space="preserve">Other Income (Expense): </w:t>
      </w:r>
      <w:r>
        <w:rPr>
          <w:rFonts w:ascii="Times New Roman;Times;serif" w:hAnsi="Times New Roman;Times;serif"/>
          <w:sz w:val="20"/>
        </w:rPr>
        <w:t>The Company expects full year 2025 other income (expense) to be approximately $9 million in income, which is attributable to the amortization of certain components of net periodic benefit costs or gains related to the Company’s pension and post-retirement plans.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 the second quarter 2025, the Company’s effective tax rate was 22.2 percent. For the full year 2025, the Company expects its effective tax rate to be approximately 22.0 percent.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bookmarkStart w:id="1448" w:name="_Hlk179577135"/>
      <w:bookmarkEnd w:id="1448"/>
      <w:r>
        <w:rPr>
          <w:rFonts w:ascii="Times New Roman;Times;serif" w:hAnsi="Times New Roman;Times;serif"/>
          <w:i/>
          <w:sz w:val="20"/>
        </w:rPr>
        <w:t>Capital and Vessel Dry-docking Expenditures:</w:t>
      </w:r>
      <w:r>
        <w:rPr>
          <w:rFonts w:ascii="Times New Roman;Times;serif" w:hAnsi="Times New Roman;Times;serif"/>
          <w:sz w:val="20"/>
        </w:rPr>
        <w:t xml:space="preserve"> For the second quarter 2025, the Company made capital expenditure payments excluding new vessel construction expenditures of $48.9 million, new vessel construction expenditures (including capitalized interest and owner’s items) of $37.4 million, and dry-docking payments of $13.4 million. For the full year 2025, the Company expects to make other capital expenditure payments, including maintenance capital expenditures, of approximately $100 to $120 million, new vessel construction expenditures (including capitalized interest and owner’s items) of approximately $305 million, and dry-docking payments of approximately $40 million.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Consolidated Results – Three months ended June 30, 2025 compared with 2024:</w:t>
      </w:r>
    </w:p>
    <w:p>
      <w:pPr>
        <w:pStyle w:val="TextBody"/>
        <w:bidi w:val="0"/>
        <w:spacing w:before="0" w:after="0"/>
        <w:ind w:left="0" w:right="0" w:hanging="0"/>
        <w:jc w:val="left"/>
        <w:rPr/>
      </w:pPr>
      <w:r>
        <w:rPr/>
        <w:t>​</w:t>
      </w:r>
    </w:p>
    <w:tbl>
      <w:tblPr>
        <w:tblW w:w="8288" w:type="dxa"/>
        <w:jc w:val="left"/>
        <w:tblInd w:w="0" w:type="dxa"/>
        <w:tblLayout w:type="fixed"/>
        <w:tblCellMar>
          <w:top w:w="0" w:type="dxa"/>
          <w:left w:w="0" w:type="dxa"/>
          <w:bottom w:w="0" w:type="dxa"/>
          <w:right w:w="0" w:type="dxa"/>
        </w:tblCellMar>
      </w:tblPr>
      <w:tblGrid>
        <w:gridCol w:w="3481"/>
        <w:gridCol w:w="326"/>
        <w:gridCol w:w="211"/>
        <w:gridCol w:w="691"/>
        <w:gridCol w:w="326"/>
        <w:gridCol w:w="211"/>
        <w:gridCol w:w="691"/>
        <w:gridCol w:w="326"/>
        <w:gridCol w:w="211"/>
        <w:gridCol w:w="586"/>
        <w:gridCol w:w="326"/>
        <w:gridCol w:w="586"/>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210435" cy="175260"/>
                      <wp:effectExtent l="0" t="0" r="0" b="0"/>
                      <wp:wrapNone/>
                      <wp:docPr id="329" name="Frame329"/>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38785" cy="175260"/>
                      <wp:effectExtent l="0" t="0" r="0" b="0"/>
                      <wp:wrapNone/>
                      <wp:docPr id="332" name="Frame3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38785" cy="175260"/>
                      <wp:effectExtent l="0" t="0" r="0" b="0"/>
                      <wp:wrapNone/>
                      <wp:docPr id="335" name="Frame3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72110" cy="175260"/>
                      <wp:effectExtent l="0" t="0" r="0" b="0"/>
                      <wp:wrapNone/>
                      <wp:docPr id="338" name="Frame33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72110" cy="175260"/>
                      <wp:effectExtent l="0" t="0" r="0" b="0"/>
                      <wp:wrapNone/>
                      <wp:docPr id="340" name="Frame34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0660" cy="175260"/>
                      <wp:effectExtent l="0" t="0" r="0" b="0"/>
                      <wp:wrapNone/>
                      <wp:docPr id="341" name="Frame34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6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 except per share amounts)</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7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revenue, and operating costs and expenses are further described below in the Analysis of Operating Revenue and Income by Segment.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decrease in interest income for the three months ended June 30, 2025, compared to the three months ended June 30, 2024, was due to interest of $10.2 million related to a federal income tax refund received during the three months ended June 30, 2024, and lower amounts of cash and cash equivalent, and CCF funds that were invested in interest bearing accounts during the three months ended June 30, 2025.</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decrease in interest expense for the three months ended June 30, 2025, compared to the three months ended June 30, 2024, was due to lower outstanding debt during the period.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relates to the amortization of certain components of net periodic benefit costs or gains related to the Company’s pension and post-retirement plans.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was $27.0 million, or 22.2 percent of income before taxes, for the three months ended June 30, 2025, compared to $29.9 million, or 20.9 percent of income before taxes, for the three months ended June 30, 2024. The effective tax rate for the three months ended June 30, 2024 benefited from certain discrete tax adjustments that lowered the effective tax rate for that period.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Consolidated Results – Six months ended June 30, 2025 compared with 2024:</w:t>
      </w:r>
    </w:p>
    <w:p>
      <w:pPr>
        <w:pStyle w:val="TextBody"/>
        <w:bidi w:val="0"/>
        <w:spacing w:before="0" w:after="0"/>
        <w:ind w:left="0" w:right="0" w:hanging="0"/>
        <w:jc w:val="left"/>
        <w:rPr/>
      </w:pPr>
      <w:r>
        <w:rPr/>
        <w:t>​</w:t>
      </w:r>
    </w:p>
    <w:tbl>
      <w:tblPr>
        <w:tblW w:w="8588" w:type="dxa"/>
        <w:jc w:val="left"/>
        <w:tblInd w:w="0" w:type="dxa"/>
        <w:tblLayout w:type="fixed"/>
        <w:tblCellMar>
          <w:top w:w="0" w:type="dxa"/>
          <w:left w:w="0" w:type="dxa"/>
          <w:bottom w:w="0" w:type="dxa"/>
          <w:right w:w="0" w:type="dxa"/>
        </w:tblCellMar>
      </w:tblPr>
      <w:tblGrid>
        <w:gridCol w:w="3481"/>
        <w:gridCol w:w="326"/>
        <w:gridCol w:w="211"/>
        <w:gridCol w:w="841"/>
        <w:gridCol w:w="326"/>
        <w:gridCol w:w="211"/>
        <w:gridCol w:w="841"/>
        <w:gridCol w:w="326"/>
        <w:gridCol w:w="211"/>
        <w:gridCol w:w="586"/>
        <w:gridCol w:w="326"/>
        <w:gridCol w:w="586"/>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210435" cy="175260"/>
                      <wp:effectExtent l="0" t="0" r="0" b="0"/>
                      <wp:wrapNone/>
                      <wp:docPr id="342" name="Frame342"/>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34035" cy="175260"/>
                      <wp:effectExtent l="0" t="0" r="0" b="0"/>
                      <wp:wrapNone/>
                      <wp:docPr id="345" name="Frame34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34035" cy="175260"/>
                      <wp:effectExtent l="0" t="0" r="0" b="0"/>
                      <wp:wrapNone/>
                      <wp:docPr id="348" name="Frame34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72110" cy="175260"/>
                      <wp:effectExtent l="0" t="0" r="0" b="0"/>
                      <wp:wrapNone/>
                      <wp:docPr id="351" name="Frame35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72110" cy="175260"/>
                      <wp:effectExtent l="0" t="0" r="0" b="0"/>
                      <wp:wrapNone/>
                      <wp:docPr id="353" name="Frame35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0660" cy="175260"/>
                      <wp:effectExtent l="0" t="0" r="0" b="0"/>
                      <wp:wrapNone/>
                      <wp:docPr id="354" name="Frame35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6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 except per share amounts)</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7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2.7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0.7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20.8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revenue, and operating costs and expenses are further described below in the Analysis of Operating Revenue and Income by Segment.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decrease in interest income for the six months ended June 30, 2025, compared to the six months ended June 30, 2024, was due to interest of $10.2 million related to a federal income tax refund received during the six months ended June 30,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decrease in interest expense for the six months ended June 30, 2025, compared to the six months ended June 30, 2024, was due to lower outstanding debt during the period, and a higher offset of capitalized interest related to the construction of new vessels.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relates to the amortization of certain components of net periodic benefit costs or gains related to the Company’s 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was $46.9 million, or 21.9 percent of income before taxes, for the six months ended June 30, 2025, compared to $39.1 million, or 20.8 percent of income before taxes, for the six months ended June 30, 2024. The effective tax rate for the six months ended June 30, 2024 benefited from certain discrete tax adjustments that lowered the effective tax rate for that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ANALYSIS OF OPERATING REVENUE AND INCOME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Ocean Transportation Operating Results – Three months ended June 30, 2025 compared with 2024:</w:t>
      </w:r>
    </w:p>
    <w:p>
      <w:pPr>
        <w:pStyle w:val="TextBody"/>
        <w:bidi w:val="0"/>
        <w:spacing w:before="0" w:after="0"/>
        <w:ind w:left="0" w:right="0" w:hanging="0"/>
        <w:jc w:val="left"/>
        <w:rPr/>
      </w:pPr>
      <w:r>
        <w:rPr/>
        <w:t>​</w:t>
      </w:r>
    </w:p>
    <w:tbl>
      <w:tblPr>
        <w:tblW w:w="8611" w:type="dxa"/>
        <w:jc w:val="left"/>
        <w:tblInd w:w="0" w:type="dxa"/>
        <w:tblLayout w:type="fixed"/>
        <w:tblCellMar>
          <w:top w:w="0" w:type="dxa"/>
          <w:left w:w="0" w:type="dxa"/>
          <w:bottom w:w="0" w:type="dxa"/>
          <w:right w:w="0" w:type="dxa"/>
        </w:tblCellMar>
      </w:tblPr>
      <w:tblGrid>
        <w:gridCol w:w="3916"/>
        <w:gridCol w:w="326"/>
        <w:gridCol w:w="211"/>
        <w:gridCol w:w="691"/>
        <w:gridCol w:w="326"/>
        <w:gridCol w:w="211"/>
        <w:gridCol w:w="691"/>
        <w:gridCol w:w="326"/>
        <w:gridCol w:w="211"/>
        <w:gridCol w:w="691"/>
        <w:gridCol w:w="109"/>
        <w:gridCol w:w="586"/>
        <w:gridCol w:w="31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486660" cy="175260"/>
                      <wp:effectExtent l="0" t="0" r="0" b="0"/>
                      <wp:wrapNone/>
                      <wp:docPr id="355" name="Frame355"/>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38785" cy="175260"/>
                      <wp:effectExtent l="0" t="0" r="0" b="0"/>
                      <wp:wrapNone/>
                      <wp:docPr id="358" name="Frame3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38785" cy="175260"/>
                      <wp:effectExtent l="0" t="0" r="0" b="0"/>
                      <wp:wrapNone/>
                      <wp:docPr id="361" name="Frame3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3"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38785" cy="175260"/>
                      <wp:effectExtent l="0" t="0" r="0" b="0"/>
                      <wp:wrapNone/>
                      <wp:docPr id="364" name="Frame3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260"/>
                      <wp:effectExtent l="0" t="0" r="0" b="0"/>
                      <wp:wrapNone/>
                      <wp:docPr id="365" name="Frame3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72110" cy="175260"/>
                      <wp:effectExtent l="0" t="0" r="0" b="0"/>
                      <wp:wrapNone/>
                      <wp:docPr id="366" name="Frame36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0660" cy="175260"/>
                      <wp:effectExtent l="0" t="0" r="0" b="0"/>
                      <wp:wrapNone/>
                      <wp:docPr id="367" name="Frame36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5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59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(Forty-foot equivalent units (FEU))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0.9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 (2)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volume included for the period are based on the voyage departure date, but revenue and operating income are adjusted to reflect the percentage of revenue and operating income earned during the reporting period for voyages in transit at the end of each reporting period.</w:t>
            </w:r>
          </w:p>
        </w:tc>
      </w:tr>
    </w:tbl>
    <w:tbl>
      <w:tblPr>
        <w:tblW w:w="4442" w:type="dxa"/>
        <w:jc w:val="left"/>
        <w:tblInd w:w="0" w:type="dxa"/>
        <w:tblLayout w:type="fixed"/>
        <w:tblCellMar>
          <w:top w:w="0" w:type="dxa"/>
          <w:left w:w="0" w:type="dxa"/>
          <w:bottom w:w="0" w:type="dxa"/>
          <w:right w:w="0" w:type="dxa"/>
        </w:tblCellMar>
      </w:tblPr>
      <w:tblGrid>
        <w:gridCol w:w="331"/>
        <w:gridCol w:w="411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41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transshipped from other Asia origins.</w:t>
            </w:r>
          </w:p>
        </w:tc>
      </w:tr>
    </w:tbl>
    <w:tbl>
      <w:tblPr>
        <w:tblW w:w="8072" w:type="dxa"/>
        <w:jc w:val="left"/>
        <w:tblInd w:w="0" w:type="dxa"/>
        <w:tblLayout w:type="fixed"/>
        <w:tblCellMar>
          <w:top w:w="0" w:type="dxa"/>
          <w:left w:w="0" w:type="dxa"/>
          <w:bottom w:w="0" w:type="dxa"/>
          <w:right w:w="0" w:type="dxa"/>
        </w:tblCellMar>
      </w:tblPr>
      <w:tblGrid>
        <w:gridCol w:w="331"/>
        <w:gridCol w:w="77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7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services in various islands in Micronesia and the South Pacific, and Okinawa, Japan.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decreased $14.3 million, or 2.1 percent, during the three months ended June 30, 2025, compared with the three months ended June 30, 2024. The decrease was primarily due to lower volume in China, partially offset by higher freight rates in China.</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year-over-year FEU basis, Hawaii container volume increased 2.6 percent primarily due to higher general demand; Alaska volume increased 0.9 percent primarily due to higher AAX volume, partially offset by two fewer northbound sailings compared to the year ago period; China volume was 14.6 percent lower primarily due to the challenges of market uncertainty and volatility from tariffs and global trade; Guam volume decreased 2.2 percent; and Other containers volume was flat.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operating income decreased $10.4 million, or 9.5 percent, during the three months ended June 30, 2025, compared with the three months ended June 30, 2024. The decrease was primarily due to lower volume in China, partially offset by higher freight rates in China and the timing of fuel-related surcharge collections.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$7.3 million during the three months ended June 30, 2025, compared to a contribution of $1.2 million during the three months ended June 30, 2024. The increase was primarily driven by higher lift volume.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Ocean Transportation Operating Results – Six months ended June 30, 2025 compared with 2024:</w:t>
      </w:r>
    </w:p>
    <w:p>
      <w:pPr>
        <w:pStyle w:val="TextBody"/>
        <w:bidi w:val="0"/>
        <w:spacing w:before="0" w:after="0"/>
        <w:ind w:left="0" w:right="0" w:hanging="0"/>
        <w:jc w:val="left"/>
        <w:rPr/>
      </w:pPr>
      <w:r>
        <w:rPr/>
        <w:t>​</w:t>
      </w:r>
    </w:p>
    <w:tbl>
      <w:tblPr>
        <w:tblW w:w="8993" w:type="dxa"/>
        <w:jc w:val="left"/>
        <w:tblInd w:w="0" w:type="dxa"/>
        <w:tblLayout w:type="fixed"/>
        <w:tblCellMar>
          <w:top w:w="0" w:type="dxa"/>
          <w:left w:w="0" w:type="dxa"/>
          <w:bottom w:w="0" w:type="dxa"/>
          <w:right w:w="0" w:type="dxa"/>
        </w:tblCellMar>
      </w:tblPr>
      <w:tblGrid>
        <w:gridCol w:w="3916"/>
        <w:gridCol w:w="326"/>
        <w:gridCol w:w="211"/>
        <w:gridCol w:w="841"/>
        <w:gridCol w:w="326"/>
        <w:gridCol w:w="211"/>
        <w:gridCol w:w="841"/>
        <w:gridCol w:w="326"/>
        <w:gridCol w:w="211"/>
        <w:gridCol w:w="691"/>
        <w:gridCol w:w="266"/>
        <w:gridCol w:w="511"/>
        <w:gridCol w:w="31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486660" cy="175260"/>
                      <wp:effectExtent l="0" t="0" r="0" b="0"/>
                      <wp:wrapNone/>
                      <wp:docPr id="368" name="Frame368"/>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34035" cy="175260"/>
                      <wp:effectExtent l="0" t="0" r="0" b="0"/>
                      <wp:wrapNone/>
                      <wp:docPr id="371" name="Frame37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34035" cy="175260"/>
                      <wp:effectExtent l="0" t="0" r="0" b="0"/>
                      <wp:wrapNone/>
                      <wp:docPr id="374" name="Frame37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38785" cy="175260"/>
                      <wp:effectExtent l="0" t="0" r="0" b="0"/>
                      <wp:wrapNone/>
                      <wp:docPr id="377" name="Frame3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68910" cy="175260"/>
                      <wp:effectExtent l="0" t="0" r="0" b="0"/>
                      <wp:wrapNone/>
                      <wp:docPr id="378" name="Frame37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24485" cy="175260"/>
                      <wp:effectExtent l="0" t="0" r="0" b="0"/>
                      <wp:wrapNone/>
                      <wp:docPr id="379" name="Frame37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0660" cy="175260"/>
                      <wp:effectExtent l="0" t="0" r="0" b="0"/>
                      <wp:wrapNone/>
                      <wp:docPr id="380" name="Frame38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3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6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26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26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0.8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26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26.1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(Forty-foot equivalent units (FEU))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26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26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 (2)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(5,900)</w:t>
            </w:r>
          </w:p>
        </w:tc>
        <w:tc>
          <w:tcPr>
            <w:tcW w:w="26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26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26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volume included for the period are based on the voyage departure date, but revenue and operating income are adjusted to reflect the percentage of revenue and operating income earned during the reporting period for voyages in transit at the end of each reporting period.</w:t>
            </w:r>
          </w:p>
        </w:tc>
      </w:tr>
    </w:tbl>
    <w:tbl>
      <w:tblPr>
        <w:tblW w:w="4442" w:type="dxa"/>
        <w:jc w:val="left"/>
        <w:tblInd w:w="0" w:type="dxa"/>
        <w:tblLayout w:type="fixed"/>
        <w:tblCellMar>
          <w:top w:w="0" w:type="dxa"/>
          <w:left w:w="0" w:type="dxa"/>
          <w:bottom w:w="0" w:type="dxa"/>
          <w:right w:w="0" w:type="dxa"/>
        </w:tblCellMar>
      </w:tblPr>
      <w:tblGrid>
        <w:gridCol w:w="331"/>
        <w:gridCol w:w="411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41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transshipped from other Asia origins.</w:t>
            </w:r>
          </w:p>
        </w:tc>
      </w:tr>
    </w:tbl>
    <w:tbl>
      <w:tblPr>
        <w:tblW w:w="8072" w:type="dxa"/>
        <w:jc w:val="left"/>
        <w:tblInd w:w="0" w:type="dxa"/>
        <w:tblLayout w:type="fixed"/>
        <w:tblCellMar>
          <w:top w:w="0" w:type="dxa"/>
          <w:left w:w="0" w:type="dxa"/>
          <w:bottom w:w="0" w:type="dxa"/>
          <w:right w:w="0" w:type="dxa"/>
        </w:tblCellMar>
      </w:tblPr>
      <w:tblGrid>
        <w:gridCol w:w="331"/>
        <w:gridCol w:w="77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7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services in various islands in Micronesia and the South Pacific, and Okinawa, Japan.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increased $44.1 million, or 3.5 percent, during the six months ended June 30, 2025, compared with the six months ended June 30, 2024. The increase was primarily due to higher freight rates in China and Hawaii, partially offset by lower volume in China.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year-over-year FEU basis, Hawaii container volume increased 2.9 percent primarily due to the dry-docking of a competitor’s vessel in the first half of 2025; Alaska volume increased 2.7 percent due to higher AAX volume and retail-related demand, partially offset by three fewer northbound sailings compared to the year ago period; China volume decreased 8.8 percent due to the challenges of market uncertainty and volatility from tariffs and global trade; Guam volume decreased 8.4 percent primarily due to lower demand from retail and food and beverage segments; and Other containers volume decreased 2.5 percent.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operating income increased $35.6 million, or 26.1 percent, during the six months ended June 30, 2025, compared with the six months ended June 30, 2024. The increase was primarily due to higher freight rates in China and the domestic tradelanes, the timing of fuel-related surcharge collections, and a higher contribution from SSAT, primarily offset by lower volume in China and higher operating overhead costs and direct cargo expense.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$13.9 million during the six months ended June 30, 2025, compared to a contribution of $1.6 million during the six months ended June 30, 2024. The increase was primarily driven by higher lift volume.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Logistics Operating Results – Three months ended June 30, 2025 compared with 2024:</w:t>
      </w:r>
    </w:p>
    <w:p>
      <w:pPr>
        <w:pStyle w:val="TextBody"/>
        <w:bidi w:val="0"/>
        <w:spacing w:before="0" w:after="0"/>
        <w:ind w:left="0" w:right="0" w:hanging="0"/>
        <w:jc w:val="left"/>
        <w:rPr/>
      </w:pPr>
      <w:r>
        <w:rPr/>
        <w:t>​</w:t>
      </w:r>
    </w:p>
    <w:tbl>
      <w:tblPr>
        <w:tblW w:w="6886" w:type="dxa"/>
        <w:jc w:val="left"/>
        <w:tblInd w:w="0" w:type="dxa"/>
        <w:tblLayout w:type="fixed"/>
        <w:tblCellMar>
          <w:top w:w="0" w:type="dxa"/>
          <w:left w:w="0" w:type="dxa"/>
          <w:bottom w:w="0" w:type="dxa"/>
          <w:right w:w="0" w:type="dxa"/>
        </w:tblCellMar>
      </w:tblPr>
      <w:tblGrid>
        <w:gridCol w:w="2506"/>
        <w:gridCol w:w="326"/>
        <w:gridCol w:w="211"/>
        <w:gridCol w:w="691"/>
        <w:gridCol w:w="326"/>
        <w:gridCol w:w="211"/>
        <w:gridCol w:w="691"/>
        <w:gridCol w:w="326"/>
        <w:gridCol w:w="211"/>
        <w:gridCol w:w="481"/>
        <w:gridCol w:w="109"/>
        <w:gridCol w:w="48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591310" cy="175260"/>
                      <wp:effectExtent l="0" t="0" r="0" b="0"/>
                      <wp:wrapNone/>
                      <wp:docPr id="381" name="Frame38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38785" cy="175260"/>
                      <wp:effectExtent l="0" t="0" r="0" b="0"/>
                      <wp:wrapNone/>
                      <wp:docPr id="384" name="Frame3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38785" cy="175260"/>
                      <wp:effectExtent l="0" t="0" r="0" b="0"/>
                      <wp:wrapNone/>
                      <wp:docPr id="387" name="Frame3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05435" cy="175260"/>
                      <wp:effectExtent l="0" t="0" r="0" b="0"/>
                      <wp:wrapNone/>
                      <wp:docPr id="390" name="Frame39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9215" cy="175260"/>
                      <wp:effectExtent l="0" t="0" r="0" b="0"/>
                      <wp:wrapNone/>
                      <wp:docPr id="391" name="Frame3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305435" cy="175260"/>
                      <wp:effectExtent l="0" t="0" r="0" b="0"/>
                      <wp:wrapNone/>
                      <wp:docPr id="392" name="Frame39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0660" cy="175260"/>
                      <wp:effectExtent l="0" t="0" r="0" b="0"/>
                      <wp:wrapNone/>
                      <wp:docPr id="393" name="Frame39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3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28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decreased $2.6 million, or 1.7 percent, during the three months ended June 30, 2025, compared with the three months ended June 30, 2024. The decrease was primarily due to lower revenue in transportation brokerage.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decreased $1.2 million, or 7.7 percent, during the three months ended June 30, 2025, compared with the three months ended June 30, 2024. The decrease was primarily due to a lower contribution from transportation brokerage.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Logistics Operating Results – Six months ended June 30, 2025 compared with 2024:</w:t>
      </w:r>
    </w:p>
    <w:p>
      <w:pPr>
        <w:pStyle w:val="TextBody"/>
        <w:bidi w:val="0"/>
        <w:spacing w:before="0" w:after="0"/>
        <w:ind w:left="0" w:right="0" w:hanging="0"/>
        <w:jc w:val="left"/>
        <w:rPr/>
      </w:pPr>
      <w:r>
        <w:rPr/>
        <w:t>​</w:t>
      </w:r>
    </w:p>
    <w:tbl>
      <w:tblPr>
        <w:tblW w:w="7043" w:type="dxa"/>
        <w:jc w:val="left"/>
        <w:tblInd w:w="0" w:type="dxa"/>
        <w:tblLayout w:type="fixed"/>
        <w:tblCellMar>
          <w:top w:w="0" w:type="dxa"/>
          <w:left w:w="0" w:type="dxa"/>
          <w:bottom w:w="0" w:type="dxa"/>
          <w:right w:w="0" w:type="dxa"/>
        </w:tblCellMar>
      </w:tblPr>
      <w:tblGrid>
        <w:gridCol w:w="2506"/>
        <w:gridCol w:w="326"/>
        <w:gridCol w:w="211"/>
        <w:gridCol w:w="691"/>
        <w:gridCol w:w="326"/>
        <w:gridCol w:w="211"/>
        <w:gridCol w:w="691"/>
        <w:gridCol w:w="326"/>
        <w:gridCol w:w="211"/>
        <w:gridCol w:w="481"/>
        <w:gridCol w:w="266"/>
        <w:gridCol w:w="48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591310" cy="175260"/>
                      <wp:effectExtent l="0" t="0" r="0" b="0"/>
                      <wp:wrapNone/>
                      <wp:docPr id="394" name="Frame394"/>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38785" cy="175260"/>
                      <wp:effectExtent l="0" t="0" r="0" b="0"/>
                      <wp:wrapNone/>
                      <wp:docPr id="397" name="Frame3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38785" cy="175260"/>
                      <wp:effectExtent l="0" t="0" r="0" b="0"/>
                      <wp:wrapNone/>
                      <wp:docPr id="400" name="Frame4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05435" cy="175260"/>
                      <wp:effectExtent l="0" t="0" r="0" b="0"/>
                      <wp:wrapNone/>
                      <wp:docPr id="403" name="Frame40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68910" cy="175260"/>
                      <wp:effectExtent l="0" t="0" r="0" b="0"/>
                      <wp:wrapNone/>
                      <wp:docPr id="404" name="Frame40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305435" cy="175260"/>
                      <wp:effectExtent l="0" t="0" r="0" b="0"/>
                      <wp:wrapNone/>
                      <wp:docPr id="405" name="Frame40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0660" cy="175260"/>
                      <wp:effectExtent l="0" t="0" r="0" b="0"/>
                      <wp:wrapNone/>
                      <wp:docPr id="406" name="Frame40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9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4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6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26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0.3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6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decreased $1.1 million, or 0.4 percent, during the six months ended June 30, 2025, compared with the six months ended June 30, 2024. The decrease was primarily due to lower revenue in transportation brokerage.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decreased $2.0 million, or 8.0 percent, during the six months ended June 30, 2025, compared with the six months ended June 30, 2024. The decrease was primarily due to a lower contribution from transportation brokerage and freight forwarding.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Sources of liquidity available to the Company as of June 30, 2025 compared to December 31, 2024 were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Cash and Cash Equivalents, Accounts Receivable and CCF:</w:t>
      </w:r>
      <w:r>
        <w:rPr>
          <w:rFonts w:ascii="Times New Roman;Times;serif" w:hAnsi="Times New Roman;Times;serif"/>
          <w:sz w:val="20"/>
        </w:rPr>
        <w:t xml:space="preserve"> Cash and cash equivalents, accounts receivable and CCF as of June 30, 2025 compared to December 31, 2024 were as follows:</w:t>
      </w:r>
    </w:p>
    <w:p>
      <w:pPr>
        <w:pStyle w:val="TextBody"/>
        <w:bidi w:val="0"/>
        <w:spacing w:before="0" w:after="0"/>
        <w:ind w:left="0" w:right="0" w:hanging="0"/>
        <w:jc w:val="left"/>
        <w:rPr/>
      </w:pPr>
      <w:r>
        <w:rPr/>
        <w:t>​</w:t>
      </w:r>
    </w:p>
    <w:tbl>
      <w:tblPr>
        <w:tblW w:w="8839" w:type="dxa"/>
        <w:jc w:val="left"/>
        <w:tblInd w:w="0" w:type="dxa"/>
        <w:tblLayout w:type="fixed"/>
        <w:tblCellMar>
          <w:top w:w="0" w:type="dxa"/>
          <w:left w:w="0" w:type="dxa"/>
          <w:bottom w:w="0" w:type="dxa"/>
          <w:right w:w="0" w:type="dxa"/>
        </w:tblCellMar>
      </w:tblPr>
      <w:tblGrid>
        <w:gridCol w:w="4846"/>
        <w:gridCol w:w="326"/>
        <w:gridCol w:w="211"/>
        <w:gridCol w:w="571"/>
        <w:gridCol w:w="326"/>
        <w:gridCol w:w="307"/>
        <w:gridCol w:w="833"/>
        <w:gridCol w:w="326"/>
        <w:gridCol w:w="211"/>
        <w:gridCol w:w="691"/>
        <w:gridCol w:w="191"/>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077210" cy="175260"/>
                      <wp:effectExtent l="0" t="0" r="0" b="0"/>
                      <wp:wrapNone/>
                      <wp:docPr id="407" name="Frame407"/>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409"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362585" cy="175260"/>
                      <wp:effectExtent l="0" t="0" r="0" b="0"/>
                      <wp:wrapNone/>
                      <wp:docPr id="410" name="Frame4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94945" cy="175260"/>
                      <wp:effectExtent l="0" t="0" r="0" b="0"/>
                      <wp:wrapNone/>
                      <wp:docPr id="412" name="Frame412"/>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28955" cy="175260"/>
                      <wp:effectExtent l="0" t="0" r="0" b="0"/>
                      <wp:wrapNone/>
                      <wp:docPr id="413" name="Frame413"/>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15"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38785" cy="175260"/>
                      <wp:effectExtent l="0" t="0" r="0" b="0"/>
                      <wp:wrapNone/>
                      <wp:docPr id="416" name="Frame4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21285" cy="175260"/>
                      <wp:effectExtent l="0" t="0" r="0" b="0"/>
                      <wp:wrapNone/>
                      <wp:docPr id="417" name="Frame41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0"/>
              <w:ind w:left="0" w:right="0" w:hanging="0"/>
              <w:jc w:val="left"/>
              <w:rPr/>
            </w:pPr>
            <w:r>
              <w:rPr/>
              <w:t> </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191" w:type="dxa"/>
            <w:tcBorders/>
            <w:vAlign w:val="center"/>
          </w:tcPr>
          <w:p>
            <w:pPr>
              <w:pStyle w:val="TableContents"/>
              <w:bidi w:val="0"/>
              <w:spacing w:before="0" w:after="0"/>
              <w:ind w:left="0" w:right="0" w:hanging="0"/>
              <w:jc w:val="lef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equivalents, and investments account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656.7</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 of June 30, 2025 and December 31, 2024, $80.2 million and $178.1 million of eligible accounts receivable were assigned to the CCF,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Company’s cash and cash equivalents for the six months ended June 30, 2025, compared to the six months ended June 30, 2024, were as follows:</w:t>
      </w:r>
    </w:p>
    <w:p>
      <w:pPr>
        <w:pStyle w:val="TextBody"/>
        <w:bidi w:val="0"/>
        <w:spacing w:before="0" w:after="0"/>
        <w:ind w:left="0" w:right="0" w:hanging="0"/>
        <w:jc w:val="left"/>
        <w:rPr/>
      </w:pPr>
      <w:r>
        <w:rPr/>
        <w:t>​</w:t>
      </w:r>
    </w:p>
    <w:tbl>
      <w:tblPr>
        <w:tblW w:w="8620" w:type="dxa"/>
        <w:jc w:val="left"/>
        <w:tblInd w:w="0" w:type="dxa"/>
        <w:tblLayout w:type="fixed"/>
        <w:tblCellMar>
          <w:top w:w="0" w:type="dxa"/>
          <w:left w:w="0" w:type="dxa"/>
          <w:bottom w:w="0" w:type="dxa"/>
          <w:right w:w="0" w:type="dxa"/>
        </w:tblCellMar>
      </w:tblPr>
      <w:tblGrid>
        <w:gridCol w:w="5116"/>
        <w:gridCol w:w="326"/>
        <w:gridCol w:w="196"/>
        <w:gridCol w:w="631"/>
        <w:gridCol w:w="326"/>
        <w:gridCol w:w="196"/>
        <w:gridCol w:w="631"/>
        <w:gridCol w:w="326"/>
        <w:gridCol w:w="196"/>
        <w:gridCol w:w="676"/>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3248660" cy="175260"/>
                      <wp:effectExtent l="0" t="0" r="0" b="0"/>
                      <wp:wrapNone/>
                      <wp:docPr id="418" name="Frame418"/>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24460" cy="175260"/>
                      <wp:effectExtent l="0" t="0" r="0" b="0"/>
                      <wp:wrapNone/>
                      <wp:docPr id="420" name="Frame4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00685" cy="175260"/>
                      <wp:effectExtent l="0" t="0" r="0" b="0"/>
                      <wp:wrapNone/>
                      <wp:docPr id="421" name="Frame42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2"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24460" cy="175260"/>
                      <wp:effectExtent l="0" t="0" r="0" b="0"/>
                      <wp:wrapNone/>
                      <wp:docPr id="423" name="Frame4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00685" cy="175260"/>
                      <wp:effectExtent l="0" t="0" r="0" b="0"/>
                      <wp:wrapNone/>
                      <wp:docPr id="424" name="Frame42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5"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24460" cy="175260"/>
                      <wp:effectExtent l="0" t="0" r="0" b="0"/>
                      <wp:wrapNone/>
                      <wp:docPr id="426" name="Frame4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429260" cy="175260"/>
                      <wp:effectExtent l="0" t="0" r="0" b="0"/>
                      <wp:wrapNone/>
                      <wp:docPr id="427" name="Frame4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 (1)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(149.9)</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 (2)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(52.3)</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 (3)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(242.0)</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130.5</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end of the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(1) Changes in net cash provided by operating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provided by operating activities for the six months ended June 30, 2025, compared to the six months ended June 30, 2024, were due to the following:</w:t>
      </w:r>
    </w:p>
    <w:p>
      <w:pPr>
        <w:pStyle w:val="TextBody"/>
        <w:bidi w:val="0"/>
        <w:spacing w:before="0" w:after="0"/>
        <w:ind w:left="0" w:right="0" w:hanging="0"/>
        <w:jc w:val="left"/>
        <w:rPr/>
      </w:pPr>
      <w:r>
        <w:rPr/>
        <w:t>​</w:t>
      </w:r>
    </w:p>
    <w:tbl>
      <w:tblPr>
        <w:tblW w:w="6194" w:type="dxa"/>
        <w:jc w:val="left"/>
        <w:tblInd w:w="0" w:type="dxa"/>
        <w:tblLayout w:type="fixed"/>
        <w:tblCellMar>
          <w:top w:w="0" w:type="dxa"/>
          <w:left w:w="0" w:type="dxa"/>
          <w:bottom w:w="0" w:type="dxa"/>
          <w:right w:w="0" w:type="dxa"/>
        </w:tblCellMar>
      </w:tblPr>
      <w:tblGrid>
        <w:gridCol w:w="4921"/>
        <w:gridCol w:w="326"/>
        <w:gridCol w:w="211"/>
        <w:gridCol w:w="736"/>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3124835" cy="175260"/>
                      <wp:effectExtent l="0" t="0" r="0" b="0"/>
                      <wp:wrapNone/>
                      <wp:docPr id="428" name="Frame428"/>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67360" cy="175260"/>
                      <wp:effectExtent l="0" t="0" r="0" b="0"/>
                      <wp:wrapNone/>
                      <wp:docPr id="431" name="Frame43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related changes,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and distribution from SSAT,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accruals and 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 and liabilities,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amortization of operating lease right of 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was $167.0 million for the six months ended June 30, 2025, compared to $149.3 million for the six months ended June 30, 2024. Income from SSAT was $13.9 million for the six months ended June 30, 2025, compared to $1.6 million for the six months ended June 30, 2024. The increase in income from SSAT was primarily due to higher lift volume during the six months ended June 30, 2025, compared to the same prior year period. The Company received $14.0 million of cash distributions from SSAT during the six months ended June 30, 2024. No cash distributions were received from SSAT during the six months ended June 30, 2025. Cash distributions from SSAT are dependent on the level of cash available for distribution after SSAT’s operational and capital needs. Changes in accounts receivable were primarily due to the timing of collections associated with those receivables. Changes in prepaid expenses and other assets were primarily due to a 2021 federal income tax refund of $118.6 million that was received by the Company during the six months ended June 30, 2024. Changes in accounts payable, accruals and other liabilities were due to the timing of payments associated with those liabilities. Changes in operating lease assets and liabilities were primarily due to new operating lease additions and renewals, offset by operating lease payments and terminations. Deferred dry-docking payments for the six months ended June 30, 2025 were $23.8 million, compared to $17.3 million for the six months ended June 30, 2024. Changes in deferred dry-docking are primarily due to the timing of vessel dry-dock related activities and the payments associated with those activities.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(2) Changes in net cash used in investing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used in investing activities for the six months ended June 30, 2025, compared to the six months ended June 30, 2024, were due to the following:</w:t>
      </w:r>
    </w:p>
    <w:p>
      <w:pPr>
        <w:pStyle w:val="TextBody"/>
        <w:bidi w:val="0"/>
        <w:spacing w:before="0" w:after="0"/>
        <w:ind w:left="0" w:right="0" w:hanging="0"/>
        <w:jc w:val="left"/>
        <w:rPr/>
      </w:pPr>
      <w:r>
        <w:rPr/>
        <w:t>​</w:t>
      </w:r>
    </w:p>
    <w:tbl>
      <w:tblPr>
        <w:tblW w:w="6674" w:type="dxa"/>
        <w:jc w:val="left"/>
        <w:tblInd w:w="0" w:type="dxa"/>
        <w:tblLayout w:type="fixed"/>
        <w:tblCellMar>
          <w:top w:w="0" w:type="dxa"/>
          <w:left w:w="0" w:type="dxa"/>
          <w:bottom w:w="0" w:type="dxa"/>
          <w:right w:w="0" w:type="dxa"/>
        </w:tblCellMar>
      </w:tblPr>
      <w:tblGrid>
        <w:gridCol w:w="5506"/>
        <w:gridCol w:w="326"/>
        <w:gridCol w:w="211"/>
        <w:gridCol w:w="631"/>
      </w:tblGrid>
      <w:tr>
        <w:trPr/>
        <w:tc>
          <w:tcPr>
            <w:tcW w:w="5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3496310" cy="175260"/>
                      <wp:effectExtent l="0" t="0" r="0" b="0"/>
                      <wp:wrapNone/>
                      <wp:docPr id="432" name="Frame432"/>
                      <a:graphic xmlns:a="http://schemas.openxmlformats.org/drawingml/2006/main">
                        <a:graphicData uri="http://schemas.microsoft.com/office/word/2010/wordprocessingShape">
                          <wps:wsp>
                            <wps:cNvSpPr txBox="1"/>
                            <wps:spPr>
                              <a:xfrm>
                                <a:off x="0" y="0"/>
                                <a:ext cx="3496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00685" cy="175260"/>
                      <wp:effectExtent l="0" t="0" r="0" b="0"/>
                      <wp:wrapNone/>
                      <wp:docPr id="435" name="Frame43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42" w:type="dxa"/>
            <w:gridSpan w:val="2"/>
            <w:tcBorders/>
            <w:vAlign w:val="center"/>
          </w:tcPr>
          <w:p>
            <w:pPr>
              <w:pStyle w:val="TableContents"/>
              <w:bidi w:val="0"/>
              <w:spacing w:before="0" w:after="0"/>
              <w:ind w:left="0" w:right="0" w:hanging="0"/>
              <w:jc w:val="center"/>
              <w:rPr/>
            </w:pPr>
            <w:r>
              <w:rPr/>
              <w:t>​</w:t>
            </w:r>
          </w:p>
        </w:tc>
      </w:tr>
      <w:tr>
        <w:trPr/>
        <w:tc>
          <w:tcPr>
            <w:tcW w:w="5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center"/>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deposits and interest into the CCF</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Withdrawals from CCF</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construction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(excluding vessel construction expenditures)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disposal of property and equipment, net,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449" w:name="_Hlk140611037"/>
      <w:bookmarkEnd w:id="1449"/>
      <w:r>
        <w:rPr>
          <w:rFonts w:ascii="Times New Roman;Times;serif" w:hAnsi="Times New Roman;Times;serif"/>
          <w:sz w:val="20"/>
        </w:rPr>
        <w:t xml:space="preserve">The Company deposited $109.1 million of cash and interest into the CCF and made $100.7 million of qualifying withdrawal payments out of the CCF during the six months ended June 30, 2025. The Company deposited $45.0 million into the CCF and made $35.8 million of qualifying withdrawal payments out of the CCF during the six months ended June 30, 2024. Qualifying withdrawal payments relate to milestone payments for the construction of three new Aloha Class vessels. Capital expenditures (excluding vessel construction expenditures) were $71.4 million for the six months ended June 30, 2025, compared to $86.9 million for the six months ended June 30, 2024. Capital expenditures (excluding vessel construction expenditures) primarily relate to vessel related expenditures, the acquisition of containers, chassis and other equipment, and expenditures on other capital related projects. The decrease in capital expenditure for the six months ended June 30, 2025, compared to the same prior year period primarily related to the timing of when vessel maintenance activities are performed and when other capital related projects are incurred.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(3) Changes in net cash used in financing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used in financing activities for the six months ended June 30, 2025, compared to the six months ended June 30, 2024, were due to the following:</w:t>
      </w:r>
    </w:p>
    <w:p>
      <w:pPr>
        <w:pStyle w:val="TextBody"/>
        <w:bidi w:val="0"/>
        <w:spacing w:before="0" w:after="0"/>
        <w:ind w:left="0" w:right="0" w:hanging="0"/>
        <w:jc w:val="left"/>
        <w:rPr/>
      </w:pPr>
      <w:r>
        <w:rPr/>
        <w:t>​</w:t>
      </w:r>
    </w:p>
    <w:tbl>
      <w:tblPr>
        <w:tblW w:w="6944" w:type="dxa"/>
        <w:jc w:val="left"/>
        <w:tblInd w:w="0" w:type="dxa"/>
        <w:tblLayout w:type="fixed"/>
        <w:tblCellMar>
          <w:top w:w="0" w:type="dxa"/>
          <w:left w:w="0" w:type="dxa"/>
          <w:bottom w:w="0" w:type="dxa"/>
          <w:right w:w="0" w:type="dxa"/>
        </w:tblCellMar>
      </w:tblPr>
      <w:tblGrid>
        <w:gridCol w:w="5776"/>
        <w:gridCol w:w="326"/>
        <w:gridCol w:w="211"/>
        <w:gridCol w:w="631"/>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3667760" cy="175260"/>
                      <wp:effectExtent l="0" t="0" r="0" b="0"/>
                      <wp:wrapNone/>
                      <wp:docPr id="436" name="Frame436"/>
                      <a:graphic xmlns:a="http://schemas.openxmlformats.org/drawingml/2006/main">
                        <a:graphicData uri="http://schemas.microsoft.com/office/word/2010/wordprocessingShape">
                          <wps:wsp>
                            <wps:cNvSpPr txBox="1"/>
                            <wps:spPr>
                              <a:xfrm>
                                <a:off x="0" y="0"/>
                                <a:ext cx="3667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00685" cy="175260"/>
                      <wp:effectExtent l="0" t="0" r="0" b="0"/>
                      <wp:wrapNone/>
                      <wp:docPr id="439" name="Frame43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Matson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withheld for taxes related to settlement of restricted stock units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2025, the Company paid $160.4 million to repurchase Matson common stock, compared to $120.1 million during the six months ended June 30, 2024. During the six months ended June 30, 2025, the Company paid $19.9 million in scheduled fixed interest debt payments, compared to $19.9 million during the six months ended June 30, 2024. During the six months ended June 30, 2025, the Company paid $16.3 million in withholding taxes related to vested restricted stock units, compared to $17.0 million during the six months ended June 30, 2024. During the six months ended June 30, 2025, the Company paid $22.3 million in dividends, compared to $22.1 million during the six months ended June 30, 2024. The increase in dividend payments was due to an increase in dividends declared per share of common stock by the Company, offset by a reduction in common stock outstanding.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Working Capital:</w:t>
      </w:r>
      <w:r>
        <w:rPr>
          <w:rFonts w:ascii="Times New Roman;Times;serif" w:hAnsi="Times New Roman;Times;serif"/>
          <w:sz w:val="20"/>
        </w:rPr>
        <w:t xml:space="preserve"> The Company had a working capital deficit of $122.4 million at June 30, 2025, compared to a working capital surplus of $49.2 million at December 31, 2024. Working capital is primarily impacted by the amount of net cash provided by operating activities, the amount of capital expenditures, the timing of collections associated with accounts receivable, prepaid expenses and other assets, and by the amount and timing of payments associated with accounts payable, accruals, income taxes and other liabilities. The decrease in the Company’s working capital at June 30, 2025, compared to December 31, 2024 is primarily due to $100.7 million of cash withdrawn from cash and cash equivalent and deposited into the CCF during the six months ended June 30, 2025, compared to $35.8 million for the six months ended June 30,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 Construction Fund:</w:t>
      </w:r>
      <w:r>
        <w:rPr>
          <w:rFonts w:ascii="Times New Roman;Times;serif" w:hAnsi="Times New Roman;Times;serif"/>
          <w:sz w:val="20"/>
        </w:rPr>
        <w:t xml:space="preserve"> The Company’s CCF is described in Note 7 of Part I, Item 1 above. CCF cash and cash equivalents, and CCF investments as of June 30, 2025 and December 31, 2024 are as follows:</w:t>
      </w:r>
    </w:p>
    <w:p>
      <w:pPr>
        <w:pStyle w:val="TextBody"/>
        <w:bidi w:val="0"/>
        <w:spacing w:before="0" w:after="0"/>
        <w:ind w:left="0" w:right="0" w:hanging="0"/>
        <w:jc w:val="left"/>
        <w:rPr/>
      </w:pPr>
      <w:r>
        <w:rPr/>
        <w:t>​</w:t>
      </w:r>
    </w:p>
    <w:tbl>
      <w:tblPr>
        <w:tblW w:w="5305" w:type="dxa"/>
        <w:jc w:val="left"/>
        <w:tblInd w:w="0" w:type="dxa"/>
        <w:tblLayout w:type="fixed"/>
        <w:tblCellMar>
          <w:top w:w="0" w:type="dxa"/>
          <w:left w:w="0" w:type="dxa"/>
          <w:bottom w:w="0" w:type="dxa"/>
          <w:right w:w="0" w:type="dxa"/>
        </w:tblCellMar>
      </w:tblPr>
      <w:tblGrid>
        <w:gridCol w:w="2686"/>
        <w:gridCol w:w="326"/>
        <w:gridCol w:w="211"/>
        <w:gridCol w:w="571"/>
        <w:gridCol w:w="326"/>
        <w:gridCol w:w="281"/>
        <w:gridCol w:w="904"/>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705610" cy="175260"/>
                      <wp:effectExtent l="0" t="0" r="0" b="0"/>
                      <wp:wrapNone/>
                      <wp:docPr id="440" name="Frame440"/>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1" name="Frame4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33985" cy="175260"/>
                      <wp:effectExtent l="0" t="0" r="0" b="0"/>
                      <wp:wrapNone/>
                      <wp:docPr id="442" name="Frame4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362585" cy="175260"/>
                      <wp:effectExtent l="0" t="0" r="0" b="0"/>
                      <wp:wrapNone/>
                      <wp:docPr id="443" name="Frame4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44" name="Frame4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78435" cy="175260"/>
                      <wp:effectExtent l="0" t="0" r="0" b="0"/>
                      <wp:wrapNone/>
                      <wp:docPr id="445" name="Frame44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74040" cy="175260"/>
                      <wp:effectExtent l="0" t="0" r="0" b="0"/>
                      <wp:wrapNone/>
                      <wp:docPr id="446" name="Frame446"/>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6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330.1</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656.7</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642.6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cash and cash equivalents, and CCF investments are intended to fund milestone payments for the construction of three new Aloha Class vessels.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sz w:val="20"/>
        </w:rPr>
        <w:t xml:space="preserve"> The Company’s debt is described in Note 8 of Part I, Item 1 above. The Company utilizes a mix of fixed and variable debt for liquidity and to fund the Company’s operations. Total Debt as of June 30, 2025 and December 31, 2024 is as follows:</w:t>
      </w:r>
    </w:p>
    <w:p>
      <w:pPr>
        <w:pStyle w:val="TextBody"/>
        <w:bidi w:val="0"/>
        <w:spacing w:before="0" w:after="0"/>
        <w:ind w:left="0" w:right="0" w:hanging="0"/>
        <w:jc w:val="left"/>
        <w:rPr/>
      </w:pPr>
      <w:r>
        <w:rPr/>
        <w:t>​</w:t>
      </w:r>
    </w:p>
    <w:tbl>
      <w:tblPr>
        <w:tblW w:w="8751" w:type="dxa"/>
        <w:jc w:val="left"/>
        <w:tblInd w:w="0" w:type="dxa"/>
        <w:tblLayout w:type="fixed"/>
        <w:tblCellMar>
          <w:top w:w="0" w:type="dxa"/>
          <w:left w:w="0" w:type="dxa"/>
          <w:bottom w:w="0" w:type="dxa"/>
          <w:right w:w="0" w:type="dxa"/>
        </w:tblCellMar>
      </w:tblPr>
      <w:tblGrid>
        <w:gridCol w:w="5551"/>
        <w:gridCol w:w="109"/>
        <w:gridCol w:w="211"/>
        <w:gridCol w:w="571"/>
        <w:gridCol w:w="109"/>
        <w:gridCol w:w="307"/>
        <w:gridCol w:w="833"/>
        <w:gridCol w:w="109"/>
        <w:gridCol w:w="211"/>
        <w:gridCol w:w="586"/>
        <w:gridCol w:w="154"/>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524885" cy="175260"/>
                      <wp:effectExtent l="0" t="0" r="0" b="0"/>
                      <wp:wrapNone/>
                      <wp:docPr id="447" name="Frame447"/>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9215" cy="175260"/>
                      <wp:effectExtent l="0" t="0" r="0" b="0"/>
                      <wp:wrapNone/>
                      <wp:docPr id="448" name="Frame4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3985" cy="175260"/>
                      <wp:effectExtent l="0" t="0" r="0" b="0"/>
                      <wp:wrapNone/>
                      <wp:docPr id="449" name="Frame4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362585" cy="175260"/>
                      <wp:effectExtent l="0" t="0" r="0" b="0"/>
                      <wp:wrapNone/>
                      <wp:docPr id="450" name="Frame45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9215" cy="175260"/>
                      <wp:effectExtent l="0" t="0" r="0" b="0"/>
                      <wp:wrapNone/>
                      <wp:docPr id="451" name="Frame4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94945" cy="175260"/>
                      <wp:effectExtent l="0" t="0" r="0" b="0"/>
                      <wp:wrapNone/>
                      <wp:docPr id="452" name="Frame452"/>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28955" cy="175260"/>
                      <wp:effectExtent l="0" t="0" r="0" b="0"/>
                      <wp:wrapNone/>
                      <wp:docPr id="453" name="Frame453"/>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9215" cy="175260"/>
                      <wp:effectExtent l="0" t="0" r="0" b="0"/>
                      <wp:wrapNone/>
                      <wp:docPr id="454" name="Frame4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33985" cy="175260"/>
                      <wp:effectExtent l="0" t="0" r="0" b="0"/>
                      <wp:wrapNone/>
                      <wp:docPr id="455" name="Frame4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372110" cy="175260"/>
                      <wp:effectExtent l="0" t="0" r="0" b="0"/>
                      <wp:wrapNone/>
                      <wp:docPr id="456" name="Frame45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97790" cy="175260"/>
                      <wp:effectExtent l="0" t="0" r="0" b="0"/>
                      <wp:wrapNone/>
                      <wp:docPr id="457" name="Frame45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54"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interest debt - Revolving 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interest debt - Title XI debt and private placement term loans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154" w:type="dxa"/>
            <w:tcBorders/>
            <w:vAlign w:val="center"/>
          </w:tcPr>
          <w:p>
            <w:pPr>
              <w:pStyle w:val="TableContents"/>
              <w:bidi w:val="0"/>
              <w:spacing w:before="0" w:after="0"/>
              <w:ind w:left="0" w:right="0" w:hanging="0"/>
              <w:jc w:val="left"/>
              <w:rPr/>
            </w:pPr>
            <w:r>
              <w:rPr/>
              <w:t>​</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(excluding deferred loan fees)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Debt decreased by $19.9 million during the six months ended June 30, 2025, compared to December 31, 2024, due to scheduled fixed interest debt repayments.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described in Note 8 of Part 1, Item 1 above, on July 23, 2025, the Company entered into a Third Amended and Restated Credit Agreement which provides for a five-year revolving credit facility and $550 million in loan commitments, with an uncommitted $300 million increase option. The Company reduced the size of its credit facility from $650 million to $550 million due to: (i) the nearly fully-funded status of the new Aloha Class vessel build program; and (ii) the Company’s expected lower level of capital needs for the remainder of the decade due in part to its next Jones Act build cycle which is not anticipated until the mid-2030s.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June 30, 2025, the Company had $643.9 million of remaining borrowing availability under the revolving credit facility. </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b/>
          <w:i/>
          <w:sz w:val="20"/>
        </w:rPr>
        <w:t>Capital Expenditures:</w:t>
      </w:r>
      <w:r>
        <w:rPr>
          <w:rFonts w:ascii="Times New Roman;Times;serif" w:hAnsi="Times New Roman;Times;serif"/>
          <w:sz w:val="20"/>
        </w:rPr>
        <w:t xml:space="preserve"> Except as described below, during the six months ended June 30, 2025, there were no material changes to the Company’s expected capital expenditures for the years ending December 31, 2025 and 2026 that are described in Part II, Item 7 of the Company’s </w:t>
      </w:r>
      <w:hyperlink r:id="rId4">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2025, the Company paid $100.7 million in milestone payments under the vessel construction agreements, compared to $35.8 million for the six months ended June 30, 2024. The following represents the estimated timing of future milestone payments under the vessel construction agreements as of June 30,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15"/>
        <w:gridCol w:w="326"/>
        <w:gridCol w:w="251"/>
        <w:gridCol w:w="656"/>
        <w:gridCol w:w="326"/>
        <w:gridCol w:w="244"/>
        <w:gridCol w:w="640"/>
        <w:gridCol w:w="326"/>
        <w:gridCol w:w="196"/>
        <w:gridCol w:w="511"/>
        <w:gridCol w:w="326"/>
        <w:gridCol w:w="196"/>
        <w:gridCol w:w="511"/>
        <w:gridCol w:w="326"/>
        <w:gridCol w:w="196"/>
        <w:gridCol w:w="421"/>
        <w:gridCol w:w="326"/>
        <w:gridCol w:w="273"/>
        <w:gridCol w:w="463"/>
        <w:gridCol w:w="326"/>
        <w:gridCol w:w="196"/>
        <w:gridCol w:w="754"/>
      </w:tblGrid>
      <w:tr>
        <w:trPr/>
        <w:tc>
          <w:tcPr>
            <w:tcW w:w="2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533525" cy="175260"/>
                      <wp:effectExtent l="0" t="0" r="0" b="0"/>
                      <wp:wrapNone/>
                      <wp:docPr id="458" name="Frame458"/>
                      <a:graphic xmlns:a="http://schemas.openxmlformats.org/drawingml/2006/main">
                        <a:graphicData uri="http://schemas.microsoft.com/office/word/2010/wordprocessingShape">
                          <wps:wsp>
                            <wps:cNvSpPr txBox="1"/>
                            <wps:spPr>
                              <a:xfrm>
                                <a:off x="0" y="0"/>
                                <a:ext cx="153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59385" cy="175260"/>
                      <wp:effectExtent l="0" t="0" r="0" b="0"/>
                      <wp:wrapNone/>
                      <wp:docPr id="460" name="Frame460"/>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16560" cy="175260"/>
                      <wp:effectExtent l="0" t="0" r="0" b="0"/>
                      <wp:wrapNone/>
                      <wp:docPr id="461" name="Frame461"/>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54940" cy="175260"/>
                      <wp:effectExtent l="0" t="0" r="0" b="0"/>
                      <wp:wrapNone/>
                      <wp:docPr id="463" name="Frame463"/>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06400" cy="175260"/>
                      <wp:effectExtent l="0" t="0" r="0" b="0"/>
                      <wp:wrapNone/>
                      <wp:docPr id="464" name="Frame464"/>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24460" cy="175260"/>
                      <wp:effectExtent l="0" t="0" r="0" b="0"/>
                      <wp:wrapNone/>
                      <wp:docPr id="466" name="Frame4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324485" cy="175260"/>
                      <wp:effectExtent l="0" t="0" r="0" b="0"/>
                      <wp:wrapNone/>
                      <wp:docPr id="467" name="Frame46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8"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24460" cy="175260"/>
                      <wp:effectExtent l="0" t="0" r="0" b="0"/>
                      <wp:wrapNone/>
                      <wp:docPr id="469" name="Frame4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324485" cy="175260"/>
                      <wp:effectExtent l="0" t="0" r="0" b="0"/>
                      <wp:wrapNone/>
                      <wp:docPr id="470" name="Frame47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71"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24460" cy="175260"/>
                      <wp:effectExtent l="0" t="0" r="0" b="0"/>
                      <wp:wrapNone/>
                      <wp:docPr id="472" name="Frame4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67335" cy="175260"/>
                      <wp:effectExtent l="0" t="0" r="0" b="0"/>
                      <wp:wrapNone/>
                      <wp:docPr id="473" name="Frame47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7010" cy="175260"/>
                      <wp:effectExtent l="0" t="0" r="0" b="0"/>
                      <wp:wrapNone/>
                      <wp:docPr id="474" name="Frame4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73355" cy="175260"/>
                      <wp:effectExtent l="0" t="0" r="0" b="0"/>
                      <wp:wrapNone/>
                      <wp:docPr id="475" name="Frame475"/>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94005" cy="175260"/>
                      <wp:effectExtent l="0" t="0" r="0" b="0"/>
                      <wp:wrapNone/>
                      <wp:docPr id="476" name="Frame476"/>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7" name="Frame4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24460" cy="175260"/>
                      <wp:effectExtent l="0" t="0" r="0" b="0"/>
                      <wp:wrapNone/>
                      <wp:docPr id="478" name="Frame4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78790" cy="175260"/>
                      <wp:effectExtent l="0" t="0" r="0" b="0"/>
                      <wp:wrapNone/>
                      <wp:docPr id="479" name="Frame479"/>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w:t>
            </w:r>
          </w:p>
        </w:tc>
        <w:tc>
          <w:tcPr>
            <w:tcW w:w="326" w:type="dxa"/>
            <w:tcBorders/>
            <w:vAlign w:val="center"/>
          </w:tcPr>
          <w:p>
            <w:pPr>
              <w:pStyle w:val="TableContents"/>
              <w:bidi w:val="0"/>
              <w:spacing w:before="0" w:after="0"/>
              <w:ind w:left="0" w:right="0" w:hanging="0"/>
              <w:jc w:val="left"/>
              <w:rPr/>
            </w:pPr>
            <w:r>
              <w:rPr/>
              <w:t>​</w:t>
            </w:r>
          </w:p>
        </w:tc>
        <w:tc>
          <w:tcPr>
            <w:tcW w:w="495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Future Milestone Payments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r>
      <w:tr>
        <w:trPr/>
        <w:tc>
          <w:tcPr>
            <w:tcW w:w="24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Vessel Construction Obligations</w:t>
              <w:br/>
              <w:t>(in millions)</w:t>
            </w:r>
          </w:p>
        </w:tc>
        <w:tc>
          <w:tcPr>
            <w:tcW w:w="326" w:type="dxa"/>
            <w:tcBorders/>
            <w:vAlign w:val="center"/>
          </w:tcPr>
          <w:p>
            <w:pPr>
              <w:pStyle w:val="TableContents"/>
              <w:bidi w:val="0"/>
              <w:spacing w:before="0" w:after="0"/>
              <w:ind w:left="0" w:right="0" w:hanging="0"/>
              <w:jc w:val="left"/>
              <w:rPr/>
            </w:pPr>
            <w:r>
              <w:rPr/>
              <w:t>    </w:t>
            </w:r>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 of</w:t>
              <w:br/>
              <w:t>June 30, 2025</w:t>
            </w:r>
          </w:p>
        </w:tc>
        <w:tc>
          <w:tcPr>
            <w:tcW w:w="326" w:type="dxa"/>
            <w:tcBorders/>
            <w:vAlign w:val="center"/>
          </w:tcPr>
          <w:p>
            <w:pPr>
              <w:pStyle w:val="TableContents"/>
              <w:bidi w:val="0"/>
              <w:spacing w:before="0" w:after="0"/>
              <w:ind w:left="0" w:right="0" w:hanging="0"/>
              <w:jc w:val="left"/>
              <w:rPr/>
            </w:pPr>
            <w:r>
              <w:rPr/>
              <w:t>    </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Remainder of</w:t>
              <w:br/>
              <w:t>2025</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2027</w:t>
            </w:r>
          </w:p>
        </w:tc>
        <w:tc>
          <w:tcPr>
            <w:tcW w:w="3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2028</w:t>
            </w:r>
          </w:p>
        </w:tc>
        <w:tc>
          <w:tcPr>
            <w:tcW w:w="326" w:type="dxa"/>
            <w:tcBorders/>
            <w:vAlign w:val="center"/>
          </w:tcPr>
          <w:p>
            <w:pPr>
              <w:pStyle w:val="TableContents"/>
              <w:bidi w:val="0"/>
              <w:spacing w:before="0" w:after="0"/>
              <w:ind w:left="0" w:right="0" w:hanging="0"/>
              <w:jc w:val="left"/>
              <w:rPr/>
            </w:pPr>
            <w:r>
              <w:rPr/>
              <w:t>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Thereafter</w:t>
            </w:r>
          </w:p>
        </w:tc>
        <w:tc>
          <w:tcPr>
            <w:tcW w:w="326" w:type="dxa"/>
            <w:tcBorders/>
            <w:vAlign w:val="center"/>
          </w:tcPr>
          <w:p>
            <w:pPr>
              <w:pStyle w:val="TableContents"/>
              <w:bidi w:val="0"/>
              <w:spacing w:before="0" w:after="0"/>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4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Three Aloha Class Containerships</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290.2</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4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54"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1,003.6</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intends to use the CCF cash and cash equivalents, and CCF investments to fund future milestone progress payments for the construction of three new Aloha Class vessels.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full year 2025, the Company expects to make other capital expenditure payments, including maintenance capital expenditures, of approximately $100 to $120 million, and dry-docking payments of approximately $40 million.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three and six months ended June 30, 2025, the Company repurchased approximately 0.9 million and 1.4 million shares for a total cost of $93.7 million and $162.9 million, respectively. During the three and six months ended June 30, 2024, the Company repurchased approximately 0.6 million and 1.0 million shares for a total cost of $72.2 million and $121.1 million, respectively. The amount of shares repurchased by the Company during any period is dependent on the amount of available cash and cash equivalents, the Company’s stock price and other factors.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maximum number of remaining shares that may be repurchased under the Company’s share repurchase program was approximately 2.5 million shares at June 30, 2025.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rFonts w:ascii="Times New Roman;Times;serif" w:hAnsi="Times New Roman;Times;serif"/>
          <w:b/>
          <w:i/>
          <w:sz w:val="20"/>
        </w:rPr>
        <w:t>Other Material Cash Requirements:</w:t>
      </w:r>
      <w:r>
        <w:rPr>
          <w:rFonts w:ascii="Times New Roman;Times;serif" w:hAnsi="Times New Roman;Times;serif"/>
          <w:sz w:val="20"/>
        </w:rPr>
        <w:t xml:space="preserve"> There were no other material changes during the quarter ended June 30, 2025 to the Company’s other cash requirements that are described in Part II, Item 7 of the Company’s </w:t>
      </w:r>
      <w:hyperlink r:id="rId5">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There have been no changes during this quarter to the Company’s critical accounting policies and estimates as discussed in Part II, Item 7 of the Company’s </w:t>
      </w:r>
      <w:hyperlink r:id="rId6">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xml:space="preserve"> The Company’s second quarter 2025 cash dividend of $0.34 per share was paid on June 5, 2025. On June 26, 2025, the Company’s Board of Directors declared a cash dividend of $0.36 per share payable on September 4, 2025 to shareholders of record on August 7,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New Accounting Pronouncements: </w:t>
      </w:r>
      <w:r>
        <w:rPr>
          <w:rFonts w:ascii="Times New Roman;Times;serif" w:hAnsi="Times New Roman;Times;serif"/>
          <w:sz w:val="20"/>
        </w:rPr>
        <w:t>See Note 2 of Part I, Item 1 above for information on new accounting pronouncements.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50" w:name="ITEM3QUANTITATIVEANDQUALITATIVEDISCLOSUR"/>
      <w:bookmarkStart w:id="1451" w:name="_c9b05f8f_c171_4519_8a81_5c1e695b3e96"/>
      <w:bookmarkEnd w:id="1450"/>
      <w:bookmarkEnd w:id="1451"/>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There have been no material changes to the Company’s market risk position from the information provided under Part II, Item 7A, “Quantitative and Qualitative Disclosures About Market Risk,” of its </w:t>
      </w:r>
      <w:hyperlink r:id="rId7">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52" w:name="ITEM4CONTROLSANDPROCEDURES_278454"/>
      <w:bookmarkStart w:id="1453" w:name="_10b5dfcb_d434_46bb_8236_2eee82582cd8"/>
      <w:bookmarkEnd w:id="1452"/>
      <w:bookmarkEnd w:id="1453"/>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xml:space="preserve"> 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June 30, 2025, the Company’s disclosure controls and procedures are effective.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Changes in Internal Control Over Financial Reporting: </w:t>
      </w:r>
      <w:r>
        <w:rPr>
          <w:rFonts w:ascii="Times New Roman;Times;serif" w:hAnsi="Times New Roman;Times;serif"/>
          <w:sz w:val="20"/>
        </w:rPr>
        <w:t>There were no changes in the Company’s internal control over financial reporting (as defined in Rules 13a-15(f) and 15d-15(f) under the Exchange Act) that occurred during the three months ended June 30, 2025, that have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454" w:name="PARTIIOTHERINFORMATION_744928"/>
      <w:bookmarkStart w:id="1455" w:name="_567138b7_77c1_41f2_bd5e_b929fc414a3c"/>
      <w:bookmarkEnd w:id="1454"/>
      <w:bookmarkEnd w:id="1455"/>
      <w:r>
        <w:rPr>
          <w:rFonts w:ascii="Times New Roman;Times;serif" w:hAnsi="Times New Roman;Times;serif"/>
          <w:b/>
          <w:sz w:val="20"/>
        </w:rPr>
        <w:t>PART II. OTHER INFORMATION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bookmarkStart w:id="1456" w:name="ITEM1LEGALPROCEEDINGS_436162"/>
      <w:bookmarkEnd w:id="1456"/>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Environmental Matters:</w:t>
      </w:r>
      <w:r>
        <w:rPr>
          <w:rFonts w:ascii="Times New Roman;Times;serif" w:hAnsi="Times New Roman;Times;serif"/>
          <w:sz w:val="20"/>
        </w:rPr>
        <w:t xml:space="preserve"> The Company’s Ocean Transportation business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accordance with SEC rules, with respect to administrative or judicial proceedings involving the environment, the Company has determined it will disclose any such proceeding if it reasonably believes such proceeding will result in monetary sanctions, exclusive of interest and costs, at or in excess of $1 million. The Company believes that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threshold is reasonably designed to result in disclosure of environmental proceedings that are material to its business or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57" w:name="ITEM1ARISKFACTORS_897747"/>
      <w:bookmarkStart w:id="1458" w:name="_2cecc99a_b560_4f93_b85a_259fe219e1f7"/>
      <w:bookmarkEnd w:id="1457"/>
      <w:bookmarkEnd w:id="1458"/>
      <w:r>
        <w:rPr>
          <w:rFonts w:ascii="Times New Roman;Times;serif" w:hAnsi="Times New Roman;Times;serif"/>
          <w:b/>
          <w:sz w:val="20"/>
        </w:rPr>
        <w:t>ITEM 1A. RISK FACTORS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bookmarkStart w:id="1459" w:name="_Hlk117024577"/>
      <w:bookmarkEnd w:id="1459"/>
      <w:r>
        <w:rPr>
          <w:rFonts w:ascii="Times New Roman;Times;serif" w:hAnsi="Times New Roman;Times;serif"/>
          <w:sz w:val="20"/>
        </w:rPr>
        <w:t xml:space="preserve">There were no material changes to the Company’s risk factors previously described in Part II, Item 1A, “Risk Factors” of the Company’s </w:t>
      </w:r>
      <w:hyperlink r:id="rId8">
        <w:r>
          <w:rPr>
            <w:rStyle w:val="InternetLink"/>
            <w:rFonts w:ascii="Times New Roman;Times;serif" w:hAnsi="Times New Roman;Times;serif"/>
            <w:b w:val="false"/>
            <w:i w:val="false"/>
            <w:caps w:val="false"/>
            <w:smallCaps w:val="false"/>
            <w:sz w:val="20"/>
          </w:rPr>
          <w:t>Form 10-Q for the quarter ended March 31, 2025</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60" w:name="ITEM2UNREGISTEREDSALESOFEQUITYSECURITIES"/>
      <w:bookmarkStart w:id="1461" w:name="_76ba60fe_deb8_4596_b1e4_a4a6debf2cd3"/>
      <w:bookmarkEnd w:id="1460"/>
      <w:bookmarkEnd w:id="1461"/>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 Purchases of Equity Securities by the Issuer and Affiliated Purchases:</w:t>
      </w:r>
      <w:r>
        <w:rPr>
          <w:rFonts w:ascii="Times New Roman;Times;serif" w:hAnsi="Times New Roman;Times;serif"/>
          <w:sz w:val="20"/>
        </w:rPr>
        <w:t xml:space="preserve"> The following is the summary of Matson shares that were repurchased under the Company’s share repurchase program during the three months ended June 30, 2025:</w:t>
      </w:r>
    </w:p>
    <w:tbl>
      <w:tblPr>
        <w:tblW w:w="8684" w:type="dxa"/>
        <w:jc w:val="left"/>
        <w:tblInd w:w="0" w:type="dxa"/>
        <w:tblLayout w:type="fixed"/>
        <w:tblCellMar>
          <w:top w:w="0" w:type="dxa"/>
          <w:left w:w="0" w:type="dxa"/>
          <w:bottom w:w="0" w:type="dxa"/>
          <w:right w:w="0" w:type="dxa"/>
        </w:tblCellMar>
      </w:tblPr>
      <w:tblGrid>
        <w:gridCol w:w="1606"/>
        <w:gridCol w:w="326"/>
        <w:gridCol w:w="1321"/>
        <w:gridCol w:w="326"/>
        <w:gridCol w:w="285"/>
        <w:gridCol w:w="915"/>
        <w:gridCol w:w="326"/>
        <w:gridCol w:w="1561"/>
        <w:gridCol w:w="326"/>
        <w:gridCol w:w="1501"/>
        <w:gridCol w:w="191"/>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019810" cy="175260"/>
                      <wp:effectExtent l="0" t="0" r="0" b="0"/>
                      <wp:wrapNone/>
                      <wp:docPr id="480" name="Frame480"/>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81"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838835" cy="175260"/>
                      <wp:effectExtent l="0" t="0" r="0" b="0"/>
                      <wp:wrapNone/>
                      <wp:docPr id="482" name="Frame482"/>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3" name="Frame4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80975" cy="175260"/>
                      <wp:effectExtent l="0" t="0" r="0" b="0"/>
                      <wp:wrapNone/>
                      <wp:docPr id="484" name="Frame484"/>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81025" cy="175260"/>
                      <wp:effectExtent l="0" t="0" r="0" b="0"/>
                      <wp:wrapNone/>
                      <wp:docPr id="485" name="Frame485"/>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6" name="Frame4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991235" cy="175260"/>
                      <wp:effectExtent l="0" t="0" r="0" b="0"/>
                      <wp:wrapNone/>
                      <wp:docPr id="487" name="Frame487"/>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7010" cy="175260"/>
                      <wp:effectExtent l="0" t="0" r="0" b="0"/>
                      <wp:wrapNone/>
                      <wp:docPr id="488" name="Frame4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953135" cy="175260"/>
                      <wp:effectExtent l="0" t="0" r="0" b="0"/>
                      <wp:wrapNone/>
                      <wp:docPr id="489" name="Frame489"/>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21285" cy="175260"/>
                      <wp:effectExtent l="0" t="0" r="0" b="0"/>
                      <wp:wrapNone/>
                      <wp:docPr id="490" name="Frame49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w:t>
            </w:r>
          </w:p>
        </w:tc>
        <w:tc>
          <w:tcPr>
            <w:tcW w:w="191" w:type="dxa"/>
            <w:tcBorders/>
            <w:vAlign w:val="center"/>
          </w:tcPr>
          <w:p>
            <w:pPr>
              <w:pStyle w:val="TableContents"/>
              <w:bidi w:val="0"/>
              <w:spacing w:before="0" w:after="0"/>
              <w:ind w:left="0" w:right="0" w:hanging="0"/>
              <w:jc w:val="left"/>
              <w:rPr/>
            </w:pPr>
            <w:r>
              <w:rPr/>
              <w:t> </w:t>
            </w:r>
          </w:p>
        </w:tc>
      </w:tr>
      <w:tr>
        <w:trPr/>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w:t>
            </w:r>
          </w:p>
        </w:tc>
        <w:tc>
          <w:tcPr>
            <w:tcW w:w="191" w:type="dxa"/>
            <w:tcBorders/>
            <w:vAlign w:val="center"/>
          </w:tcPr>
          <w:p>
            <w:pPr>
              <w:pStyle w:val="TableContents"/>
              <w:bidi w:val="0"/>
              <w:spacing w:before="0" w:after="0"/>
              <w:ind w:left="0" w:right="0" w:hanging="0"/>
              <w:jc w:val="left"/>
              <w:rPr/>
            </w:pPr>
            <w:r>
              <w:rPr/>
              <w:t> </w:t>
            </w:r>
          </w:p>
        </w:tc>
      </w:tr>
      <w:tr>
        <w:trPr/>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 Publicly</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Yet Be Purchased</w:t>
            </w:r>
          </w:p>
        </w:tc>
        <w:tc>
          <w:tcPr>
            <w:tcW w:w="191" w:type="dxa"/>
            <w:tcBorders/>
            <w:vAlign w:val="center"/>
          </w:tcPr>
          <w:p>
            <w:pPr>
              <w:pStyle w:val="TableContents"/>
              <w:bidi w:val="0"/>
              <w:spacing w:before="0" w:after="0"/>
              <w:ind w:left="0" w:right="0" w:hanging="0"/>
              <w:jc w:val="left"/>
              <w:rPr/>
            </w:pPr>
            <w:r>
              <w:rPr/>
              <w:t> </w:t>
            </w:r>
          </w:p>
        </w:tc>
      </w:tr>
      <w:tr>
        <w:trPr/>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 or</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 Plans or</w:t>
            </w:r>
          </w:p>
        </w:tc>
        <w:tc>
          <w:tcPr>
            <w:tcW w:w="191" w:type="dxa"/>
            <w:tcBorders/>
            <w:vAlign w:val="center"/>
          </w:tcPr>
          <w:p>
            <w:pPr>
              <w:pStyle w:val="TableContents"/>
              <w:bidi w:val="0"/>
              <w:spacing w:before="0" w:after="0"/>
              <w:ind w:left="0" w:right="0" w:hanging="0"/>
              <w:jc w:val="left"/>
              <w:rPr/>
            </w:pPr>
            <w:r>
              <w:rPr/>
              <w:t> </w:t>
            </w:r>
          </w:p>
        </w:tc>
      </w:tr>
      <w:tr>
        <w:trPr/>
        <w:tc>
          <w:tcPr>
            <w:tcW w:w="1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26"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 (1) (2)</w:t>
            </w:r>
          </w:p>
        </w:tc>
        <w:tc>
          <w:tcPr>
            <w:tcW w:w="32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w:t>
            </w:r>
          </w:p>
        </w:tc>
        <w:tc>
          <w:tcPr>
            <w:tcW w:w="191" w:type="dxa"/>
            <w:tcBorders/>
            <w:vAlign w:val="center"/>
          </w:tcPr>
          <w:p>
            <w:pPr>
              <w:pStyle w:val="TableContents"/>
              <w:bidi w:val="0"/>
              <w:spacing w:before="0" w:after="0"/>
              <w:ind w:left="0" w:right="0" w:hanging="0"/>
              <w:jc w:val="left"/>
              <w:rPr/>
            </w:pPr>
            <w:r>
              <w:rPr/>
              <w:t> </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410,000</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105.85</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410,000</w:t>
            </w:r>
          </w:p>
        </w:tc>
        <w:tc>
          <w:tcPr>
            <w:tcW w:w="32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2,920,956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31, 2025</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260,000</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107.88</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260,000</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2,660,956</w:t>
            </w:r>
          </w:p>
        </w:tc>
        <w:tc>
          <w:tcPr>
            <w:tcW w:w="191" w:type="dxa"/>
            <w:tcBorders/>
            <w:vAlign w:val="center"/>
          </w:tcPr>
          <w:p>
            <w:pPr>
              <w:pStyle w:val="TableContents"/>
              <w:bidi w:val="0"/>
              <w:spacing w:before="0" w:after="0"/>
              <w:ind w:left="0" w:right="0" w:hanging="0"/>
              <w:jc w:val="left"/>
              <w:rPr/>
            </w:pPr>
            <w:r>
              <w:rPr/>
              <w:t>​</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190,000</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112.06</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190,000</w:t>
            </w:r>
          </w:p>
        </w:tc>
        <w:tc>
          <w:tcPr>
            <w:tcW w:w="32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2,470,956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860,000</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107.83</w:t>
            </w:r>
          </w:p>
        </w:tc>
        <w:tc>
          <w:tcPr>
            <w:tcW w:w="326" w:type="dxa"/>
            <w:tcBorders/>
            <w:vAlign w:val="center"/>
          </w:tcPr>
          <w:p>
            <w:pPr>
              <w:pStyle w:val="TableContents"/>
              <w:bidi w:val="0"/>
              <w:spacing w:before="0" w:after="0"/>
              <w:ind w:left="0" w:right="0" w:hanging="0"/>
              <w:jc w:val="left"/>
              <w:rPr/>
            </w:pPr>
            <w:r>
              <w:rPr/>
              <w:t> </w:t>
            </w:r>
          </w:p>
        </w:tc>
        <w:tc>
          <w:tcPr>
            <w:tcW w:w="1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860,000</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 June 24, 2021, Matson’s Board of Directors approved a share repurchase program of up to 3.0 million shares of common stock, with subsequent approvals for the addition of 3.0 million shares on each of January 27, 2022, August 23, 2022, April 27, 2023 and February 27, 2025, for an aggregate total of 15.0 million shares of common stock. The share repurchase program expires on December 31, 2027. Shares will be repurchased in the open market from time to time, and may be made pursuant to a trading plan in accordance with Rule 10b5-1 of the Securities Exchange Act of 1934.</w:t>
            </w:r>
          </w:p>
        </w:tc>
      </w:tr>
    </w:tbl>
    <w:tbl>
      <w:tblPr>
        <w:tblW w:w="6737" w:type="dxa"/>
        <w:jc w:val="left"/>
        <w:tblInd w:w="0" w:type="dxa"/>
        <w:tblLayout w:type="fixed"/>
        <w:tblCellMar>
          <w:top w:w="0" w:type="dxa"/>
          <w:left w:w="0" w:type="dxa"/>
          <w:bottom w:w="0" w:type="dxa"/>
          <w:right w:w="0" w:type="dxa"/>
        </w:tblCellMar>
      </w:tblPr>
      <w:tblGrid>
        <w:gridCol w:w="331"/>
        <w:gridCol w:w="640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64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shares withheld for employee taxes upon vesting of stock-based awards.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62" w:name="ITEM3DEFAULTSUPONSENIORSECURITIES_766025"/>
      <w:bookmarkStart w:id="1463" w:name="_14258df5_a0d2_40ff_b4dc_3325c3c3778a"/>
      <w:bookmarkEnd w:id="1462"/>
      <w:bookmarkEnd w:id="1463"/>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64" w:name="ITEM4MINESAFETYDISCLOSURES_922547"/>
      <w:bookmarkStart w:id="1465" w:name="_1e584493_d9a2_4643_8b2d_ed88285e8b8b"/>
      <w:bookmarkEnd w:id="1464"/>
      <w:bookmarkEnd w:id="1465"/>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66" w:name="ITEM5OTHERINFORMATION_110834"/>
      <w:bookmarkStart w:id="1467" w:name="_981be80e_0963_455b_8386_ce568eeb26e4"/>
      <w:bookmarkEnd w:id="1466"/>
      <w:bookmarkEnd w:id="1467"/>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 Trading Plans:</w:t>
      </w:r>
      <w:r>
        <w:rPr>
          <w:rFonts w:ascii="Times New Roman;Times;serif" w:hAnsi="Times New Roman;Times;serif"/>
          <w:sz w:val="20"/>
        </w:rPr>
        <w:t xml:space="preserve"> During the quarter ended June 30, 2025, no director or Section 16 officer adopted or terminated any Rule 10b5-1 trading arrangements or non-Rule 10b5-1 trading arrangements except as described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8, 2025, Matthew J. Cox, Chairman and Chief Executive Officer, amended a trading plan intended to satisfy the affirmative defense conditions of Rule 10b5-1(c) (previously adopted on February 28, 2025) to sell up to 29,856 shares of Matson common stock through December 8, 2025, subject to certain pricing and other conditions.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68" w:name="ITEM6EXHIBITS_599668"/>
      <w:bookmarkStart w:id="1469" w:name="_b52b117d_c253_431e_bf05_96f2d4860285"/>
      <w:bookmarkEnd w:id="1468"/>
      <w:bookmarkEnd w:id="1469"/>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55"/>
        <w:gridCol w:w="9350"/>
      </w:tblGrid>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10d1.htm">
              <w:r>
                <w:rPr>
                  <w:rStyle w:val="InternetLink"/>
                  <w:rFonts w:ascii="Times New Roman;Times;serif" w:hAnsi="Times New Roman;Times;serif"/>
                  <w:b w:val="false"/>
                  <w:i w:val="false"/>
                  <w:caps w:val="false"/>
                  <w:smallCaps w:val="false"/>
                  <w:sz w:val="20"/>
                </w:rPr>
                <w:t>Letter Agreement Counter Parties</w:t>
              </w:r>
            </w:hyperlink>
          </w:p>
        </w:tc>
      </w:tr>
      <w:tr>
        <w:trPr/>
        <w:tc>
          <w:tcPr>
            <w:tcW w:w="855" w:type="dxa"/>
            <w:tcBorders/>
            <w:vAlign w:val="center"/>
          </w:tcPr>
          <w:p>
            <w:pPr>
              <w:pStyle w:val="TableContents"/>
              <w:pBdr/>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10.2</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10d2.htm">
              <w:r>
                <w:rPr>
                  <w:rStyle w:val="InternetLink"/>
                  <w:rFonts w:ascii="Times New Roman;Times;serif" w:hAnsi="Times New Roman;Times;serif"/>
                  <w:b w:val="false"/>
                  <w:i w:val="false"/>
                  <w:caps w:val="false"/>
                  <w:smallCaps w:val="false"/>
                  <w:sz w:val="20"/>
                </w:rPr>
                <w:t>Consulting Agreement with R. Rolfe</w:t>
              </w:r>
            </w:hyperlink>
          </w:p>
        </w:tc>
      </w:tr>
      <w:tr>
        <w:trPr/>
        <w:tc>
          <w:tcPr>
            <w:tcW w:w="855" w:type="dxa"/>
            <w:tcBorders/>
            <w:vAlign w:val="center"/>
          </w:tcPr>
          <w:p>
            <w:pPr>
              <w:pStyle w:val="TableContents"/>
              <w:pBdr/>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10.3</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10d3.htm">
              <w:r>
                <w:rPr>
                  <w:rStyle w:val="InternetLink"/>
                  <w:rFonts w:ascii="Times New Roman;Times;serif" w:hAnsi="Times New Roman;Times;serif"/>
                  <w:b w:val="false"/>
                  <w:i w:val="false"/>
                  <w:caps w:val="false"/>
                  <w:smallCaps w:val="false"/>
                  <w:sz w:val="20"/>
                </w:rPr>
                <w:t>Third Amended and Restated Credit Agreement among Matson, Inc., Bank of America, N.A. as the Agent, and the lenders thereto, dated as of July 23, 2025</w:t>
              </w:r>
            </w:hyperlink>
          </w:p>
        </w:tc>
      </w:tr>
      <w:tr>
        <w:trPr/>
        <w:tc>
          <w:tcPr>
            <w:tcW w:w="855" w:type="dxa"/>
            <w:tcBorders/>
            <w:vAlign w:val="center"/>
          </w:tcPr>
          <w:p>
            <w:pPr>
              <w:pStyle w:val="TableContents"/>
              <w:pBdr/>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10.4</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10d4.htm">
              <w:r>
                <w:rPr>
                  <w:rStyle w:val="InternetLink"/>
                  <w:rFonts w:ascii="Times New Roman;Times;serif" w:hAnsi="Times New Roman;Times;serif"/>
                  <w:b w:val="false"/>
                  <w:i w:val="false"/>
                  <w:caps w:val="false"/>
                  <w:smallCaps w:val="false"/>
                  <w:sz w:val="20"/>
                </w:rPr>
                <w:t>Amendment to Third Amended and Restated Note Purchase Agreement and Private Shelf Agreement, dated as of July 23, 2025</w:t>
              </w:r>
            </w:hyperlink>
          </w:p>
        </w:tc>
      </w:tr>
      <w:tr>
        <w:trPr/>
        <w:tc>
          <w:tcPr>
            <w:tcW w:w="855" w:type="dxa"/>
            <w:tcBorders/>
            <w:vAlign w:val="center"/>
          </w:tcPr>
          <w:p>
            <w:pPr>
              <w:pStyle w:val="TableContents"/>
              <w:pBdr/>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10.5</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10d5.htm">
              <w:r>
                <w:rPr>
                  <w:rStyle w:val="InternetLink"/>
                  <w:rFonts w:ascii="Times New Roman;Times;serif" w:hAnsi="Times New Roman;Times;serif"/>
                  <w:b w:val="false"/>
                  <w:i w:val="false"/>
                  <w:caps w:val="false"/>
                  <w:smallCaps w:val="false"/>
                  <w:sz w:val="20"/>
                </w:rPr>
                <w:t>Amendment to Note Purchase Agreement dated December 21, 2016, dated as of July 23, 2025</w:t>
              </w:r>
            </w:hyperlink>
          </w:p>
        </w:tc>
      </w:tr>
      <w:tr>
        <w:trPr/>
        <w:tc>
          <w:tcPr>
            <w:tcW w:w="855" w:type="dxa"/>
            <w:tcBorders/>
            <w:vAlign w:val="center"/>
          </w:tcPr>
          <w:p>
            <w:pPr>
              <w:pStyle w:val="TableContents"/>
              <w:pBdr/>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10.6</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r:id="rId9">
              <w:r>
                <w:rPr>
                  <w:rStyle w:val="InternetLink"/>
                  <w:rFonts w:ascii="Times New Roman;Times;serif" w:hAnsi="Times New Roman;Times;serif"/>
                  <w:b w:val="false"/>
                  <w:i w:val="false"/>
                  <w:caps w:val="false"/>
                  <w:smallCaps w:val="false"/>
                  <w:sz w:val="20"/>
                </w:rPr>
                <w:t>Matson, Inc. 2025 Incentive Compensation Plan (incorporated by reference to Exhibit 10.1 of Matson’s Form 8-K dated April 28, 2025).</w:t>
              </w:r>
            </w:hyperlink>
          </w:p>
        </w:tc>
      </w:tr>
      <w:tr>
        <w:trPr/>
        <w:tc>
          <w:tcPr>
            <w:tcW w:w="855" w:type="dxa"/>
            <w:tcBorders/>
            <w:vAlign w:val="center"/>
          </w:tcPr>
          <w:p>
            <w:pPr>
              <w:pStyle w:val="TableContents"/>
              <w:pBdr/>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10.7</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10d7.htm">
              <w:r>
                <w:rPr>
                  <w:rStyle w:val="InternetLink"/>
                  <w:rFonts w:ascii="Times New Roman;Times;serif" w:hAnsi="Times New Roman;Times;serif"/>
                  <w:b w:val="false"/>
                  <w:i w:val="false"/>
                  <w:caps w:val="false"/>
                  <w:smallCaps w:val="false"/>
                  <w:sz w:val="20"/>
                </w:rPr>
                <w:t>Form of 2025 Plan Performance Share Award Agreement (ROIC metric) for Executive Employees</w:t>
              </w:r>
            </w:hyperlink>
          </w:p>
        </w:tc>
      </w:tr>
      <w:tr>
        <w:trPr/>
        <w:tc>
          <w:tcPr>
            <w:tcW w:w="855" w:type="dxa"/>
            <w:tcBorders/>
            <w:vAlign w:val="center"/>
          </w:tcPr>
          <w:p>
            <w:pPr>
              <w:pStyle w:val="TableContents"/>
              <w:pBdr/>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10.8</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10d8.htm">
              <w:r>
                <w:rPr>
                  <w:rStyle w:val="InternetLink"/>
                  <w:rFonts w:ascii="Times New Roman;Times;serif" w:hAnsi="Times New Roman;Times;serif"/>
                  <w:b w:val="false"/>
                  <w:i w:val="false"/>
                  <w:caps w:val="false"/>
                  <w:smallCaps w:val="false"/>
                  <w:sz w:val="20"/>
                </w:rPr>
                <w:t>Form of 2025 Plan Performance Share Award Agreement (TSR metric) for Executive Employees</w:t>
              </w:r>
            </w:hyperlink>
          </w:p>
        </w:tc>
      </w:tr>
      <w:tr>
        <w:trPr/>
        <w:tc>
          <w:tcPr>
            <w:tcW w:w="855" w:type="dxa"/>
            <w:tcBorders/>
            <w:vAlign w:val="center"/>
          </w:tcPr>
          <w:p>
            <w:pPr>
              <w:pStyle w:val="TableContents"/>
              <w:pBdr/>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10.9</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10d9.htm">
              <w:r>
                <w:rPr>
                  <w:rStyle w:val="InternetLink"/>
                  <w:rFonts w:ascii="Times New Roman;Times;serif" w:hAnsi="Times New Roman;Times;serif"/>
                  <w:b w:val="false"/>
                  <w:i w:val="false"/>
                  <w:caps w:val="false"/>
                  <w:smallCaps w:val="false"/>
                  <w:sz w:val="20"/>
                </w:rPr>
                <w:t>Form of 2025 Plan Performance Share Award Agreement for Non-Executive Employees</w:t>
              </w:r>
            </w:hyperlink>
          </w:p>
        </w:tc>
      </w:tr>
      <w:tr>
        <w:trPr/>
        <w:tc>
          <w:tcPr>
            <w:tcW w:w="855" w:type="dxa"/>
            <w:tcBorders/>
            <w:vAlign w:val="center"/>
          </w:tcPr>
          <w:p>
            <w:pPr>
              <w:pStyle w:val="TableContents"/>
              <w:pBdr/>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10.10</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10d10.htm">
              <w:r>
                <w:rPr>
                  <w:rStyle w:val="InternetLink"/>
                  <w:rFonts w:ascii="Times New Roman;Times;serif" w:hAnsi="Times New Roman;Times;serif"/>
                  <w:b w:val="false"/>
                  <w:i w:val="false"/>
                  <w:caps w:val="false"/>
                  <w:smallCaps w:val="false"/>
                  <w:sz w:val="20"/>
                </w:rPr>
                <w:t>Form of 2025 Plan Time-Based Restricted Stock Unit Award Agreement for Executive Employees</w:t>
              </w:r>
            </w:hyperlink>
          </w:p>
        </w:tc>
      </w:tr>
      <w:tr>
        <w:trPr/>
        <w:tc>
          <w:tcPr>
            <w:tcW w:w="855" w:type="dxa"/>
            <w:tcBorders/>
            <w:vAlign w:val="center"/>
          </w:tcPr>
          <w:p>
            <w:pPr>
              <w:pStyle w:val="TableContents"/>
              <w:pBdr/>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10.11</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10d11.htm">
              <w:r>
                <w:rPr>
                  <w:rStyle w:val="InternetLink"/>
                  <w:rFonts w:ascii="Times New Roman;Times;serif" w:hAnsi="Times New Roman;Times;serif"/>
                  <w:b w:val="false"/>
                  <w:i w:val="false"/>
                  <w:caps w:val="false"/>
                  <w:smallCaps w:val="false"/>
                  <w:sz w:val="20"/>
                </w:rPr>
                <w:t>Form of 2025 Plan Time-Based Restricted Stock Unit Award Agreement for Non-Executive Employees</w:t>
              </w:r>
            </w:hyperlink>
          </w:p>
        </w:tc>
      </w:tr>
      <w:tr>
        <w:trPr/>
        <w:tc>
          <w:tcPr>
            <w:tcW w:w="855" w:type="dxa"/>
            <w:tcBorders/>
            <w:vAlign w:val="center"/>
          </w:tcPr>
          <w:p>
            <w:pPr>
              <w:pStyle w:val="TableContents"/>
              <w:pBdr/>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10.12</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10d12.htm">
              <w:r>
                <w:rPr>
                  <w:rStyle w:val="InternetLink"/>
                  <w:rFonts w:ascii="Times New Roman;Times;serif" w:hAnsi="Times New Roman;Times;serif"/>
                  <w:b w:val="false"/>
                  <w:i w:val="false"/>
                  <w:caps w:val="false"/>
                  <w:smallCaps w:val="false"/>
                  <w:sz w:val="20"/>
                </w:rPr>
                <w:t>Form of 2025 Plan Restricted Stock Unit Award Agreement for Non-Employee Directors (Deferral Election)</w:t>
              </w:r>
            </w:hyperlink>
          </w:p>
        </w:tc>
      </w:tr>
      <w:tr>
        <w:trPr/>
        <w:tc>
          <w:tcPr>
            <w:tcW w:w="855" w:type="dxa"/>
            <w:tcBorders/>
            <w:vAlign w:val="center"/>
          </w:tcPr>
          <w:p>
            <w:pPr>
              <w:pStyle w:val="TableContents"/>
              <w:pBdr/>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10.13</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10d13.htm">
              <w:r>
                <w:rPr>
                  <w:rStyle w:val="InternetLink"/>
                  <w:rFonts w:ascii="Times New Roman;Times;serif" w:hAnsi="Times New Roman;Times;serif"/>
                  <w:b w:val="false"/>
                  <w:i w:val="false"/>
                  <w:caps w:val="false"/>
                  <w:smallCaps w:val="false"/>
                  <w:sz w:val="20"/>
                </w:rPr>
                <w:t>Form of 2025 Plan Restricted Stock Unit Award Agreement for Non-Employee Directors (No Deferral)</w:t>
              </w:r>
            </w:hyperlink>
          </w:p>
        </w:tc>
      </w:tr>
      <w:tr>
        <w:trPr/>
        <w:tc>
          <w:tcPr>
            <w:tcW w:w="855" w:type="dxa"/>
            <w:tcBorders/>
            <w:vAlign w:val="center"/>
          </w:tcPr>
          <w:p>
            <w:pPr>
              <w:pStyle w:val="TableContents"/>
              <w:pBdr/>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31.1</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1934.</w:t>
              </w:r>
            </w:hyperlink>
          </w:p>
        </w:tc>
      </w:tr>
      <w:tr>
        <w:trPr/>
        <w:tc>
          <w:tcPr>
            <w:tcW w:w="855" w:type="dxa"/>
            <w:tcBorders/>
            <w:vAlign w:val="center"/>
          </w:tcPr>
          <w:p>
            <w:pPr>
              <w:pStyle w:val="TableContents"/>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31.2</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31d2.htm">
              <w:r>
                <w:rPr>
                  <w:rStyle w:val="InternetLink"/>
                  <w:rFonts w:ascii="Times New Roman;Times;serif" w:hAnsi="Times New Roman;Times;serif"/>
                  <w:b w:val="false"/>
                  <w:i w:val="false"/>
                  <w:caps w:val="false"/>
                  <w:smallCaps w:val="false"/>
                  <w:sz w:val="20"/>
                </w:rPr>
                <w:t>Certification of Chief Financial Officer pursuant to Rule 13a-14(a) or 15d-14(a) of the Securities Exchange Act of 1934.</w:t>
              </w:r>
            </w:hyperlink>
          </w:p>
        </w:tc>
      </w:tr>
      <w:tr>
        <w:trPr/>
        <w:tc>
          <w:tcPr>
            <w:tcW w:w="855" w:type="dxa"/>
            <w:tcBorders/>
            <w:vAlign w:val="center"/>
          </w:tcPr>
          <w:p>
            <w:pPr>
              <w:pStyle w:val="TableContents"/>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32</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pPr>
            <w:hyperlink w:anchor="matx-20250630xex3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w:t>
              </w:r>
            </w:hyperlink>
          </w:p>
        </w:tc>
      </w:tr>
      <w:tr>
        <w:trPr/>
        <w:tc>
          <w:tcPr>
            <w:tcW w:w="855" w:type="dxa"/>
            <w:tcBorders/>
            <w:vAlign w:val="center"/>
          </w:tcPr>
          <w:p>
            <w:pPr>
              <w:pStyle w:val="TableContents"/>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101.INS</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55" w:type="dxa"/>
            <w:tcBorders/>
            <w:vAlign w:val="center"/>
          </w:tcPr>
          <w:p>
            <w:pPr>
              <w:pStyle w:val="TableContents"/>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101.SCH</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55" w:type="dxa"/>
            <w:tcBorders/>
            <w:vAlign w:val="center"/>
          </w:tcPr>
          <w:p>
            <w:pPr>
              <w:pStyle w:val="TableContents"/>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101.CAL</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55" w:type="dxa"/>
            <w:tcBorders/>
            <w:vAlign w:val="center"/>
          </w:tcPr>
          <w:p>
            <w:pPr>
              <w:pStyle w:val="TableContents"/>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101.DEF</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55" w:type="dxa"/>
            <w:tcBorders/>
            <w:vAlign w:val="center"/>
          </w:tcPr>
          <w:p>
            <w:pPr>
              <w:pStyle w:val="TableContents"/>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r>
        <w:trPr/>
        <w:tc>
          <w:tcPr>
            <w:tcW w:w="855"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101.LAB</w:t>
            </w:r>
            <w:r>
              <w:rPr>
                <w:rFonts w:ascii="Times New Roman;Times;serif" w:hAnsi="Times New Roman;Times;serif"/>
                <w:sz w:val="15"/>
              </w:rPr>
              <w:t>**</w:t>
            </w:r>
          </w:p>
        </w:tc>
        <w:tc>
          <w:tcPr>
            <w:tcW w:w="935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55" w:type="dxa"/>
            <w:tcBorders/>
            <w:vAlign w:val="center"/>
          </w:tcPr>
          <w:p>
            <w:pPr>
              <w:pStyle w:val="TableContents"/>
              <w:bidi w:val="0"/>
              <w:spacing w:lineRule="auto" w:line="328" w:before="0" w:after="0"/>
              <w:ind w:left="0" w:right="0" w:hanging="0"/>
              <w:jc w:val="left"/>
              <w:rPr/>
            </w:pPr>
            <w:r>
              <w:rPr/>
              <w:t>​</w:t>
            </w:r>
          </w:p>
        </w:tc>
        <w:tc>
          <w:tcPr>
            <w:tcW w:w="9350" w:type="dxa"/>
            <w:tcBorders/>
            <w:vAlign w:val="center"/>
          </w:tcPr>
          <w:p>
            <w:pPr>
              <w:pStyle w:val="TableContents"/>
              <w:bidi w:val="0"/>
              <w:spacing w:lineRule="auto" w:line="328"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402" w:type="dxa"/>
        <w:jc w:val="left"/>
        <w:tblInd w:w="0" w:type="dxa"/>
        <w:tblLayout w:type="fixed"/>
        <w:tblCellMar>
          <w:top w:w="0" w:type="dxa"/>
          <w:left w:w="0" w:type="dxa"/>
          <w:bottom w:w="0" w:type="dxa"/>
          <w:right w:w="0" w:type="dxa"/>
        </w:tblCellMar>
      </w:tblPr>
      <w:tblGrid>
        <w:gridCol w:w="991"/>
        <w:gridCol w:w="7411"/>
      </w:tblGrid>
      <w:tr>
        <w:trPr/>
        <w:tc>
          <w:tcPr>
            <w:tcW w:w="99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101.PRE</w:t>
            </w:r>
            <w:r>
              <w:rPr>
                <w:rFonts w:ascii="Times New Roman;Times;serif" w:hAnsi="Times New Roman;Times;serif"/>
                <w:sz w:val="15"/>
              </w:rPr>
              <w:t>**</w:t>
            </w:r>
          </w:p>
        </w:tc>
        <w:tc>
          <w:tcPr>
            <w:tcW w:w="74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91" w:type="dxa"/>
            <w:tcBorders/>
            <w:vAlign w:val="center"/>
          </w:tcPr>
          <w:p>
            <w:pPr>
              <w:pStyle w:val="TableContents"/>
              <w:pBdr/>
              <w:bidi w:val="0"/>
              <w:spacing w:lineRule="auto" w:line="328" w:before="0" w:after="0"/>
              <w:ind w:left="0" w:right="0" w:hanging="0"/>
              <w:jc w:val="left"/>
              <w:rPr/>
            </w:pPr>
            <w:r>
              <w:rPr/>
              <w:t>​</w:t>
            </w:r>
          </w:p>
        </w:tc>
        <w:tc>
          <w:tcPr>
            <w:tcW w:w="7411" w:type="dxa"/>
            <w:tcBorders/>
            <w:vAlign w:val="center"/>
          </w:tcPr>
          <w:p>
            <w:pPr>
              <w:pStyle w:val="TableContents"/>
              <w:bidi w:val="0"/>
              <w:spacing w:lineRule="auto" w:line="328" w:before="0" w:after="0"/>
              <w:ind w:left="0" w:right="0" w:hanging="0"/>
              <w:jc w:val="left"/>
              <w:rPr/>
            </w:pPr>
            <w:r>
              <w:rPr/>
              <w:t>​</w:t>
            </w:r>
          </w:p>
        </w:tc>
      </w:tr>
      <w:tr>
        <w:trPr/>
        <w:tc>
          <w:tcPr>
            <w:tcW w:w="99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104</w:t>
            </w:r>
            <w:r>
              <w:rPr>
                <w:rFonts w:ascii="Times New Roman;Times;serif" w:hAnsi="Times New Roman;Times;serif"/>
                <w:sz w:val="15"/>
              </w:rPr>
              <w:t>**</w:t>
            </w:r>
          </w:p>
        </w:tc>
        <w:tc>
          <w:tcPr>
            <w:tcW w:w="74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included as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Indicates management contract or compensatory plan or arrangement.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70" w:name="SIGNATURES_841218"/>
      <w:bookmarkStart w:id="1471" w:name="_11b41a49_c034_4d68_acde_c81856f7f21a"/>
      <w:bookmarkEnd w:id="1470"/>
      <w:bookmarkEnd w:id="1471"/>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4397" w:type="dxa"/>
        <w:jc w:val="left"/>
        <w:tblInd w:w="0" w:type="dxa"/>
        <w:tblLayout w:type="fixed"/>
        <w:tblCellMar>
          <w:top w:w="0" w:type="dxa"/>
          <w:left w:w="0" w:type="dxa"/>
          <w:bottom w:w="0" w:type="dxa"/>
          <w:right w:w="0" w:type="dxa"/>
        </w:tblCellMar>
      </w:tblPr>
      <w:tblGrid>
        <w:gridCol w:w="1846"/>
        <w:gridCol w:w="2551"/>
      </w:tblGrid>
      <w:tr>
        <w:trPr/>
        <w:tc>
          <w:tcPr>
            <w:tcW w:w="184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MATSON, INC.</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84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1, 2025</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 Joel M. Wine</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Joel M. Wine</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Executive Vice President and</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84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1, 2025</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 Kevin L. Stuck</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Kevin L. Stuck</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Vice President and Controller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302" w:before="0" w:after="160"/>
        <w:ind w:left="0" w:right="0" w:hanging="0"/>
        <w:jc w:val="right"/>
        <w:rPr>
          <w:rFonts w:ascii="Times New Roman;Times;serif" w:hAnsi="Times New Roman;Times;serif"/>
          <w:b/>
          <w:sz w:val="20"/>
        </w:rPr>
      </w:pPr>
      <w:bookmarkStart w:id="1472" w:name="matx-20250630xex10d1.htm"/>
      <w:bookmarkStart w:id="1473" w:name="ksmatx20250630xex10d1"/>
      <w:bookmarkEnd w:id="1472"/>
      <w:bookmarkEnd w:id="1473"/>
      <w:r>
        <w:rPr>
          <w:rFonts w:ascii="Times New Roman;Times;serif" w:hAnsi="Times New Roman;Times;serif"/>
          <w:b/>
          <w:sz w:val="20"/>
        </w:rPr>
        <w:t>Exhibit 10.1</w:t>
      </w:r>
      <w:r>
        <w:br w:type="page"/>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Letter Agreement Counter Parties</w:t>
      </w:r>
    </w:p>
    <w:p>
      <w:pPr>
        <w:pStyle w:val="TextBody"/>
        <w:bidi w:val="0"/>
        <w:spacing w:lineRule="auto" w:line="285" w:before="0" w:after="0"/>
        <w:ind w:left="0" w:right="0" w:hanging="0"/>
        <w:jc w:val="center"/>
        <w:rPr/>
      </w:pPr>
      <w:r>
        <w:rPr/>
        <w:t> </w:t>
      </w:r>
    </w:p>
    <w:tbl>
      <w:tblPr>
        <w:tblW w:w="5590" w:type="dxa"/>
        <w:jc w:val="left"/>
        <w:tblInd w:w="0" w:type="dxa"/>
        <w:tblLayout w:type="fixed"/>
        <w:tblCellMar>
          <w:top w:w="0" w:type="dxa"/>
          <w:left w:w="0" w:type="dxa"/>
          <w:bottom w:w="0" w:type="dxa"/>
          <w:right w:w="0" w:type="dxa"/>
        </w:tblCellMar>
      </w:tblPr>
      <w:tblGrid>
        <w:gridCol w:w="1156"/>
        <w:gridCol w:w="146"/>
        <w:gridCol w:w="2506"/>
        <w:gridCol w:w="146"/>
        <w:gridCol w:w="1636"/>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734060" cy="29210"/>
                      <wp:effectExtent l="0" t="0" r="0" b="0"/>
                      <wp:wrapNone/>
                      <wp:docPr id="491" name="Frame491"/>
                      <a:graphic xmlns:a="http://schemas.openxmlformats.org/drawingml/2006/main">
                        <a:graphicData uri="http://schemas.microsoft.com/office/word/2010/wordprocessingShape">
                          <wps:wsp>
                            <wps:cNvSpPr txBox="1"/>
                            <wps:spPr>
                              <a:xfrm>
                                <a:off x="0" y="0"/>
                                <a:ext cx="734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92710" cy="29210"/>
                      <wp:effectExtent l="0" t="0" r="0" b="0"/>
                      <wp:wrapNone/>
                      <wp:docPr id="492" name="Frame49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591310" cy="29210"/>
                      <wp:effectExtent l="0" t="0" r="0" b="0"/>
                      <wp:wrapNone/>
                      <wp:docPr id="493" name="Frame493"/>
                      <a:graphic xmlns:a="http://schemas.openxmlformats.org/drawingml/2006/main">
                        <a:graphicData uri="http://schemas.microsoft.com/office/word/2010/wordprocessingShape">
                          <wps:wsp>
                            <wps:cNvSpPr txBox="1"/>
                            <wps:spPr>
                              <a:xfrm>
                                <a:off x="0" y="0"/>
                                <a:ext cx="1591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92710" cy="29210"/>
                      <wp:effectExtent l="0" t="0" r="0" b="0"/>
                      <wp:wrapNone/>
                      <wp:docPr id="494" name="Frame494"/>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038860" cy="29210"/>
                      <wp:effectExtent l="0" t="0" r="0" b="0"/>
                      <wp:wrapNone/>
                      <wp:docPr id="495" name="Frame495"/>
                      <a:graphic xmlns:a="http://schemas.openxmlformats.org/drawingml/2006/main">
                        <a:graphicData uri="http://schemas.microsoft.com/office/word/2010/wordprocessingShape">
                          <wps:wsp>
                            <wps:cNvSpPr txBox="1"/>
                            <wps:spPr>
                              <a:xfrm>
                                <a:off x="0" y="0"/>
                                <a:ext cx="1038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156"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146"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pPr>
            <w:r>
              <w:rPr/>
              <w:t> </w:t>
            </w:r>
          </w:p>
        </w:tc>
        <w:tc>
          <w:tcPr>
            <w:tcW w:w="2506"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146"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pPr>
            <w:r>
              <w:rPr/>
              <w:t> </w:t>
            </w:r>
          </w:p>
        </w:tc>
        <w:tc>
          <w:tcPr>
            <w:tcW w:w="1636"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Date Signed</w:t>
            </w:r>
          </w:p>
        </w:tc>
      </w:tr>
      <w:tr>
        <w:trPr/>
        <w:tc>
          <w:tcPr>
            <w:tcW w:w="1156" w:type="dxa"/>
            <w:tcBorders/>
            <w:shd w:fill="CCEE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Heilmann, P.</w:t>
            </w:r>
          </w:p>
        </w:tc>
        <w:tc>
          <w:tcPr>
            <w:tcW w:w="146" w:type="dxa"/>
            <w:tcBorders/>
            <w:shd w:fill="CCEEFF" w:val="clear"/>
            <w:vAlign w:val="center"/>
          </w:tcPr>
          <w:p>
            <w:pPr>
              <w:pStyle w:val="TableContents"/>
              <w:bidi w:val="0"/>
              <w:spacing w:lineRule="auto" w:line="331" w:before="0" w:after="160"/>
              <w:ind w:left="0" w:right="0" w:hanging="0"/>
              <w:jc w:val="left"/>
              <w:rPr/>
            </w:pPr>
            <w:r>
              <w:rPr/>
              <w:t>​</w:t>
            </w:r>
          </w:p>
        </w:tc>
        <w:tc>
          <w:tcPr>
            <w:tcW w:w="2506" w:type="dxa"/>
            <w:tcBorders/>
            <w:shd w:fill="CCEE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SVP, Chief Legal Officer</w:t>
            </w:r>
          </w:p>
        </w:tc>
        <w:tc>
          <w:tcPr>
            <w:tcW w:w="146" w:type="dxa"/>
            <w:tcBorders/>
            <w:shd w:fill="CCEEFF" w:val="clear"/>
            <w:vAlign w:val="center"/>
          </w:tcPr>
          <w:p>
            <w:pPr>
              <w:pStyle w:val="TableContents"/>
              <w:bidi w:val="0"/>
              <w:spacing w:lineRule="auto" w:line="331" w:before="0" w:after="160"/>
              <w:ind w:left="0" w:right="0" w:hanging="0"/>
              <w:jc w:val="left"/>
              <w:rPr/>
            </w:pPr>
            <w:r>
              <w:rPr/>
              <w:t>​</w:t>
            </w:r>
          </w:p>
        </w:tc>
        <w:tc>
          <w:tcPr>
            <w:tcW w:w="1636" w:type="dxa"/>
            <w:tcBorders/>
            <w:shd w:fill="CCEE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October 23, 2014</w:t>
            </w:r>
          </w:p>
        </w:tc>
      </w:tr>
      <w:tr>
        <w:trPr/>
        <w:tc>
          <w:tcPr>
            <w:tcW w:w="115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Lauer, J.</w:t>
            </w:r>
          </w:p>
        </w:tc>
        <w:tc>
          <w:tcPr>
            <w:tcW w:w="146" w:type="dxa"/>
            <w:tcBorders/>
            <w:vAlign w:val="center"/>
          </w:tcPr>
          <w:p>
            <w:pPr>
              <w:pStyle w:val="TableContents"/>
              <w:bidi w:val="0"/>
              <w:spacing w:lineRule="auto" w:line="331" w:before="0" w:after="160"/>
              <w:ind w:left="0" w:right="0" w:hanging="0"/>
              <w:jc w:val="left"/>
              <w:rPr/>
            </w:pPr>
            <w:r>
              <w:rPr/>
              <w:t>​</w:t>
            </w:r>
          </w:p>
        </w:tc>
        <w:tc>
          <w:tcPr>
            <w:tcW w:w="250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SVP, Ocean Services</w:t>
            </w:r>
          </w:p>
        </w:tc>
        <w:tc>
          <w:tcPr>
            <w:tcW w:w="146" w:type="dxa"/>
            <w:tcBorders/>
            <w:vAlign w:val="center"/>
          </w:tcPr>
          <w:p>
            <w:pPr>
              <w:pStyle w:val="TableContents"/>
              <w:bidi w:val="0"/>
              <w:spacing w:lineRule="auto" w:line="331" w:before="0" w:after="160"/>
              <w:ind w:left="0" w:right="0" w:hanging="0"/>
              <w:jc w:val="left"/>
              <w:rPr/>
            </w:pPr>
            <w:r>
              <w:rPr/>
              <w:t>​</w:t>
            </w:r>
          </w:p>
        </w:tc>
        <w:tc>
          <w:tcPr>
            <w:tcW w:w="163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April 6, 2015</w:t>
            </w:r>
          </w:p>
        </w:tc>
      </w:tr>
      <w:tr>
        <w:trPr/>
        <w:tc>
          <w:tcPr>
            <w:tcW w:w="1156" w:type="dxa"/>
            <w:tcBorders/>
            <w:shd w:fill="CAEEFB"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Holland, J.</w:t>
            </w:r>
          </w:p>
        </w:tc>
        <w:tc>
          <w:tcPr>
            <w:tcW w:w="146" w:type="dxa"/>
            <w:tcBorders/>
            <w:shd w:fill="CAEEFB" w:val="clear"/>
            <w:vAlign w:val="center"/>
          </w:tcPr>
          <w:p>
            <w:pPr>
              <w:pStyle w:val="TableContents"/>
              <w:bidi w:val="0"/>
              <w:spacing w:lineRule="auto" w:line="331" w:before="0" w:after="160"/>
              <w:ind w:left="0" w:right="0" w:hanging="0"/>
              <w:jc w:val="left"/>
              <w:rPr/>
            </w:pPr>
            <w:r>
              <w:rPr/>
              <w:t>​</w:t>
            </w:r>
          </w:p>
        </w:tc>
        <w:tc>
          <w:tcPr>
            <w:tcW w:w="2506" w:type="dxa"/>
            <w:tcBorders/>
            <w:shd w:fill="CAEEFB"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w:t>
            </w:r>
          </w:p>
        </w:tc>
        <w:tc>
          <w:tcPr>
            <w:tcW w:w="146" w:type="dxa"/>
            <w:tcBorders/>
            <w:shd w:fill="CAEEFB" w:val="clear"/>
            <w:vAlign w:val="center"/>
          </w:tcPr>
          <w:p>
            <w:pPr>
              <w:pStyle w:val="TableContents"/>
              <w:bidi w:val="0"/>
              <w:spacing w:lineRule="auto" w:line="331" w:before="0" w:after="160"/>
              <w:ind w:left="0" w:right="0" w:hanging="0"/>
              <w:jc w:val="left"/>
              <w:rPr/>
            </w:pPr>
            <w:r>
              <w:rPr/>
              <w:t>​</w:t>
            </w:r>
          </w:p>
        </w:tc>
        <w:tc>
          <w:tcPr>
            <w:tcW w:w="1636" w:type="dxa"/>
            <w:tcBorders/>
            <w:shd w:fill="CAEEFB"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July 1, 2025</w:t>
            </w:r>
          </w:p>
        </w:tc>
      </w:tr>
      <w:tr>
        <w:trPr/>
        <w:tc>
          <w:tcPr>
            <w:tcW w:w="115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Cerocke, G.</w:t>
            </w:r>
          </w:p>
        </w:tc>
        <w:tc>
          <w:tcPr>
            <w:tcW w:w="146" w:type="dxa"/>
            <w:tcBorders/>
            <w:vAlign w:val="center"/>
          </w:tcPr>
          <w:p>
            <w:pPr>
              <w:pStyle w:val="TableContents"/>
              <w:bidi w:val="0"/>
              <w:spacing w:lineRule="auto" w:line="331" w:before="0" w:after="160"/>
              <w:ind w:left="0" w:right="0" w:hanging="0"/>
              <w:jc w:val="left"/>
              <w:rPr/>
            </w:pPr>
            <w:r>
              <w:rPr/>
              <w:t>​</w:t>
            </w:r>
          </w:p>
        </w:tc>
        <w:tc>
          <w:tcPr>
            <w:tcW w:w="250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c>
          <w:tcPr>
            <w:tcW w:w="146" w:type="dxa"/>
            <w:tcBorders/>
            <w:vAlign w:val="center"/>
          </w:tcPr>
          <w:p>
            <w:pPr>
              <w:pStyle w:val="TableContents"/>
              <w:bidi w:val="0"/>
              <w:spacing w:lineRule="auto" w:line="331" w:before="0" w:after="160"/>
              <w:ind w:left="0" w:right="0" w:hanging="0"/>
              <w:jc w:val="left"/>
              <w:rPr/>
            </w:pPr>
            <w:r>
              <w:rPr/>
              <w:t>​</w:t>
            </w:r>
          </w:p>
        </w:tc>
        <w:tc>
          <w:tcPr>
            <w:tcW w:w="163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February 25, 2021</w:t>
            </w:r>
          </w:p>
        </w:tc>
      </w:tr>
      <w:tr>
        <w:trPr/>
        <w:tc>
          <w:tcPr>
            <w:tcW w:w="115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Gao, Q.</w:t>
            </w:r>
          </w:p>
        </w:tc>
        <w:tc>
          <w:tcPr>
            <w:tcW w:w="146" w:type="dxa"/>
            <w:tcBorders/>
            <w:shd w:fill="CCECFF" w:val="clear"/>
            <w:vAlign w:val="center"/>
          </w:tcPr>
          <w:p>
            <w:pPr>
              <w:pStyle w:val="TableContents"/>
              <w:bidi w:val="0"/>
              <w:spacing w:lineRule="auto" w:line="331" w:before="0" w:after="160"/>
              <w:ind w:left="0" w:right="0" w:hanging="0"/>
              <w:jc w:val="left"/>
              <w:rPr/>
            </w:pPr>
            <w:r>
              <w:rPr/>
              <w:t>​</w:t>
            </w:r>
          </w:p>
        </w:tc>
        <w:tc>
          <w:tcPr>
            <w:tcW w:w="250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c>
          <w:tcPr>
            <w:tcW w:w="146" w:type="dxa"/>
            <w:tcBorders/>
            <w:shd w:fill="CCECFF" w:val="clear"/>
            <w:vAlign w:val="center"/>
          </w:tcPr>
          <w:p>
            <w:pPr>
              <w:pStyle w:val="TableContents"/>
              <w:bidi w:val="0"/>
              <w:spacing w:lineRule="auto" w:line="331" w:before="0" w:after="160"/>
              <w:ind w:left="0" w:right="0" w:hanging="0"/>
              <w:jc w:val="left"/>
              <w:rPr/>
            </w:pPr>
            <w:r>
              <w:rPr/>
              <w:t>​</w:t>
            </w:r>
          </w:p>
        </w:tc>
        <w:tc>
          <w:tcPr>
            <w:tcW w:w="163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February 25, 2021</w:t>
            </w:r>
          </w:p>
        </w:tc>
      </w:tr>
      <w:tr>
        <w:trPr/>
        <w:tc>
          <w:tcPr>
            <w:tcW w:w="115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Isotoff, L.</w:t>
            </w:r>
          </w:p>
        </w:tc>
        <w:tc>
          <w:tcPr>
            <w:tcW w:w="146" w:type="dxa"/>
            <w:tcBorders/>
            <w:vAlign w:val="center"/>
          </w:tcPr>
          <w:p>
            <w:pPr>
              <w:pStyle w:val="TableContents"/>
              <w:bidi w:val="0"/>
              <w:spacing w:lineRule="auto" w:line="331" w:before="0" w:after="160"/>
              <w:ind w:left="0" w:right="0" w:hanging="0"/>
              <w:jc w:val="left"/>
              <w:rPr/>
            </w:pPr>
            <w:r>
              <w:rPr/>
              <w:t>​</w:t>
            </w:r>
          </w:p>
        </w:tc>
        <w:tc>
          <w:tcPr>
            <w:tcW w:w="250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c>
          <w:tcPr>
            <w:tcW w:w="146" w:type="dxa"/>
            <w:tcBorders/>
            <w:vAlign w:val="center"/>
          </w:tcPr>
          <w:p>
            <w:pPr>
              <w:pStyle w:val="TableContents"/>
              <w:bidi w:val="0"/>
              <w:spacing w:lineRule="auto" w:line="331" w:before="0" w:after="160"/>
              <w:ind w:left="0" w:right="0" w:hanging="0"/>
              <w:jc w:val="left"/>
              <w:rPr/>
            </w:pPr>
            <w:r>
              <w:rPr/>
              <w:t>​</w:t>
            </w:r>
          </w:p>
        </w:tc>
        <w:tc>
          <w:tcPr>
            <w:tcW w:w="163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February 24, 2022</w:t>
            </w:r>
          </w:p>
        </w:tc>
      </w:tr>
      <w:tr>
        <w:trPr/>
        <w:tc>
          <w:tcPr>
            <w:tcW w:w="115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Kinney, R.</w:t>
            </w:r>
          </w:p>
        </w:tc>
        <w:tc>
          <w:tcPr>
            <w:tcW w:w="146" w:type="dxa"/>
            <w:tcBorders/>
            <w:shd w:fill="CCECFF" w:val="clear"/>
            <w:vAlign w:val="center"/>
          </w:tcPr>
          <w:p>
            <w:pPr>
              <w:pStyle w:val="TableContents"/>
              <w:bidi w:val="0"/>
              <w:spacing w:lineRule="auto" w:line="331" w:before="0" w:after="160"/>
              <w:ind w:left="0" w:right="0" w:hanging="0"/>
              <w:jc w:val="left"/>
              <w:rPr/>
            </w:pPr>
            <w:r>
              <w:rPr/>
              <w:t>​</w:t>
            </w:r>
          </w:p>
        </w:tc>
        <w:tc>
          <w:tcPr>
            <w:tcW w:w="250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c>
          <w:tcPr>
            <w:tcW w:w="146" w:type="dxa"/>
            <w:tcBorders/>
            <w:shd w:fill="CCECFF" w:val="clear"/>
            <w:vAlign w:val="center"/>
          </w:tcPr>
          <w:p>
            <w:pPr>
              <w:pStyle w:val="TableContents"/>
              <w:bidi w:val="0"/>
              <w:spacing w:lineRule="auto" w:line="331" w:before="0" w:after="160"/>
              <w:ind w:left="0" w:right="0" w:hanging="0"/>
              <w:jc w:val="left"/>
              <w:rPr/>
            </w:pPr>
            <w:r>
              <w:rPr/>
              <w:t>​</w:t>
            </w:r>
          </w:p>
        </w:tc>
        <w:tc>
          <w:tcPr>
            <w:tcW w:w="163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February 27, 2020</w:t>
            </w:r>
          </w:p>
        </w:tc>
      </w:tr>
      <w:tr>
        <w:trPr/>
        <w:tc>
          <w:tcPr>
            <w:tcW w:w="115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Park, K.</w:t>
            </w:r>
          </w:p>
        </w:tc>
        <w:tc>
          <w:tcPr>
            <w:tcW w:w="146" w:type="dxa"/>
            <w:tcBorders/>
            <w:vAlign w:val="center"/>
          </w:tcPr>
          <w:p>
            <w:pPr>
              <w:pStyle w:val="TableContents"/>
              <w:bidi w:val="0"/>
              <w:spacing w:lineRule="auto" w:line="331" w:before="0" w:after="160"/>
              <w:ind w:left="0" w:right="0" w:hanging="0"/>
              <w:jc w:val="left"/>
              <w:rPr/>
            </w:pPr>
            <w:r>
              <w:rPr/>
              <w:t>​</w:t>
            </w:r>
          </w:p>
        </w:tc>
        <w:tc>
          <w:tcPr>
            <w:tcW w:w="250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c>
          <w:tcPr>
            <w:tcW w:w="146" w:type="dxa"/>
            <w:tcBorders/>
            <w:vAlign w:val="center"/>
          </w:tcPr>
          <w:p>
            <w:pPr>
              <w:pStyle w:val="TableContents"/>
              <w:bidi w:val="0"/>
              <w:spacing w:lineRule="auto" w:line="331" w:before="0" w:after="160"/>
              <w:ind w:left="0" w:right="0" w:hanging="0"/>
              <w:jc w:val="left"/>
              <w:rPr/>
            </w:pPr>
            <w:r>
              <w:rPr/>
              <w:t>​</w:t>
            </w:r>
          </w:p>
        </w:tc>
        <w:tc>
          <w:tcPr>
            <w:tcW w:w="163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February 24, 2022</w:t>
            </w:r>
          </w:p>
        </w:tc>
      </w:tr>
      <w:tr>
        <w:trPr/>
        <w:tc>
          <w:tcPr>
            <w:tcW w:w="115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Rascon, L.</w:t>
            </w:r>
          </w:p>
        </w:tc>
        <w:tc>
          <w:tcPr>
            <w:tcW w:w="146" w:type="dxa"/>
            <w:tcBorders/>
            <w:shd w:fill="CCECFF" w:val="clear"/>
            <w:vAlign w:val="center"/>
          </w:tcPr>
          <w:p>
            <w:pPr>
              <w:pStyle w:val="TableContents"/>
              <w:bidi w:val="0"/>
              <w:spacing w:lineRule="auto" w:line="331" w:before="0" w:after="160"/>
              <w:ind w:left="0" w:right="0" w:hanging="0"/>
              <w:jc w:val="left"/>
              <w:rPr/>
            </w:pPr>
            <w:r>
              <w:rPr/>
              <w:t>​</w:t>
            </w:r>
          </w:p>
        </w:tc>
        <w:tc>
          <w:tcPr>
            <w:tcW w:w="250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c>
          <w:tcPr>
            <w:tcW w:w="146" w:type="dxa"/>
            <w:tcBorders/>
            <w:shd w:fill="CCECFF" w:val="clear"/>
            <w:vAlign w:val="center"/>
          </w:tcPr>
          <w:p>
            <w:pPr>
              <w:pStyle w:val="TableContents"/>
              <w:bidi w:val="0"/>
              <w:spacing w:lineRule="auto" w:line="331" w:before="0" w:after="160"/>
              <w:ind w:left="0" w:right="0" w:hanging="0"/>
              <w:jc w:val="left"/>
              <w:rPr/>
            </w:pPr>
            <w:r>
              <w:rPr/>
              <w:t>​</w:t>
            </w:r>
          </w:p>
        </w:tc>
        <w:tc>
          <w:tcPr>
            <w:tcW w:w="163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February 25, 2021</w:t>
            </w:r>
          </w:p>
        </w:tc>
      </w:tr>
      <w:tr>
        <w:trPr/>
        <w:tc>
          <w:tcPr>
            <w:tcW w:w="115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Scott, C.</w:t>
            </w:r>
          </w:p>
        </w:tc>
        <w:tc>
          <w:tcPr>
            <w:tcW w:w="146" w:type="dxa"/>
            <w:tcBorders/>
            <w:vAlign w:val="center"/>
          </w:tcPr>
          <w:p>
            <w:pPr>
              <w:pStyle w:val="TableContents"/>
              <w:bidi w:val="0"/>
              <w:spacing w:lineRule="auto" w:line="331" w:before="0" w:after="160"/>
              <w:ind w:left="0" w:right="0" w:hanging="0"/>
              <w:jc w:val="left"/>
              <w:rPr/>
            </w:pPr>
            <w:r>
              <w:rPr/>
              <w:t>​</w:t>
            </w:r>
          </w:p>
        </w:tc>
        <w:tc>
          <w:tcPr>
            <w:tcW w:w="250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c>
          <w:tcPr>
            <w:tcW w:w="146" w:type="dxa"/>
            <w:tcBorders/>
            <w:vAlign w:val="center"/>
          </w:tcPr>
          <w:p>
            <w:pPr>
              <w:pStyle w:val="TableContents"/>
              <w:bidi w:val="0"/>
              <w:spacing w:lineRule="auto" w:line="331" w:before="0" w:after="160"/>
              <w:ind w:left="0" w:right="0" w:hanging="0"/>
              <w:jc w:val="left"/>
              <w:rPr/>
            </w:pPr>
            <w:r>
              <w:rPr/>
              <w:t>​</w:t>
            </w:r>
          </w:p>
        </w:tc>
        <w:tc>
          <w:tcPr>
            <w:tcW w:w="163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February 25, 2021</w:t>
            </w:r>
          </w:p>
        </w:tc>
      </w:tr>
      <w:tr>
        <w:trPr/>
        <w:tc>
          <w:tcPr>
            <w:tcW w:w="115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Sullivan, J.</w:t>
            </w:r>
          </w:p>
        </w:tc>
        <w:tc>
          <w:tcPr>
            <w:tcW w:w="146" w:type="dxa"/>
            <w:tcBorders/>
            <w:shd w:fill="CCECFF" w:val="clear"/>
            <w:vAlign w:val="center"/>
          </w:tcPr>
          <w:p>
            <w:pPr>
              <w:pStyle w:val="TableContents"/>
              <w:bidi w:val="0"/>
              <w:spacing w:lineRule="auto" w:line="331" w:before="0" w:after="160"/>
              <w:ind w:left="0" w:right="0" w:hanging="0"/>
              <w:jc w:val="left"/>
              <w:rPr/>
            </w:pPr>
            <w:r>
              <w:rPr/>
              <w:t>​</w:t>
            </w:r>
          </w:p>
        </w:tc>
        <w:tc>
          <w:tcPr>
            <w:tcW w:w="250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Senior Vice President</w:t>
            </w:r>
          </w:p>
        </w:tc>
        <w:tc>
          <w:tcPr>
            <w:tcW w:w="146" w:type="dxa"/>
            <w:tcBorders/>
            <w:shd w:fill="CCECFF" w:val="clear"/>
            <w:vAlign w:val="center"/>
          </w:tcPr>
          <w:p>
            <w:pPr>
              <w:pStyle w:val="TableContents"/>
              <w:bidi w:val="0"/>
              <w:spacing w:lineRule="auto" w:line="331" w:before="0" w:after="160"/>
              <w:ind w:left="0" w:right="0" w:hanging="0"/>
              <w:jc w:val="left"/>
              <w:rPr/>
            </w:pPr>
            <w:r>
              <w:rPr/>
              <w:t>​</w:t>
            </w:r>
          </w:p>
        </w:tc>
        <w:tc>
          <w:tcPr>
            <w:tcW w:w="163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February 27, 2020</w:t>
            </w:r>
          </w:p>
        </w:tc>
      </w:tr>
      <w:tr>
        <w:trPr/>
        <w:tc>
          <w:tcPr>
            <w:tcW w:w="115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Stuck, K.</w:t>
            </w:r>
          </w:p>
        </w:tc>
        <w:tc>
          <w:tcPr>
            <w:tcW w:w="146" w:type="dxa"/>
            <w:tcBorders/>
            <w:vAlign w:val="center"/>
          </w:tcPr>
          <w:p>
            <w:pPr>
              <w:pStyle w:val="TableContents"/>
              <w:bidi w:val="0"/>
              <w:spacing w:lineRule="auto" w:line="331" w:before="0" w:after="160"/>
              <w:ind w:left="0" w:right="0" w:hanging="0"/>
              <w:jc w:val="left"/>
              <w:rPr/>
            </w:pPr>
            <w:r>
              <w:rPr/>
              <w:t>​</w:t>
            </w:r>
          </w:p>
        </w:tc>
        <w:tc>
          <w:tcPr>
            <w:tcW w:w="250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Vice President and Controller</w:t>
            </w:r>
          </w:p>
        </w:tc>
        <w:tc>
          <w:tcPr>
            <w:tcW w:w="146" w:type="dxa"/>
            <w:tcBorders/>
            <w:vAlign w:val="center"/>
          </w:tcPr>
          <w:p>
            <w:pPr>
              <w:pStyle w:val="TableContents"/>
              <w:bidi w:val="0"/>
              <w:spacing w:lineRule="auto" w:line="331" w:before="0" w:after="160"/>
              <w:ind w:left="0" w:right="0" w:hanging="0"/>
              <w:jc w:val="left"/>
              <w:rPr/>
            </w:pPr>
            <w:r>
              <w:rPr/>
              <w:t>​</w:t>
            </w:r>
          </w:p>
        </w:tc>
        <w:tc>
          <w:tcPr>
            <w:tcW w:w="1636" w:type="dxa"/>
            <w:tcBorders/>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May 11, 2018</w:t>
            </w:r>
          </w:p>
        </w:tc>
      </w:tr>
      <w:tr>
        <w:trPr/>
        <w:tc>
          <w:tcPr>
            <w:tcW w:w="115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Taylor, J.</w:t>
            </w:r>
          </w:p>
        </w:tc>
        <w:tc>
          <w:tcPr>
            <w:tcW w:w="146" w:type="dxa"/>
            <w:tcBorders/>
            <w:shd w:fill="CCECFF" w:val="clear"/>
            <w:vAlign w:val="center"/>
          </w:tcPr>
          <w:p>
            <w:pPr>
              <w:pStyle w:val="TableContents"/>
              <w:bidi w:val="0"/>
              <w:spacing w:lineRule="auto" w:line="331" w:before="0" w:after="160"/>
              <w:ind w:left="0" w:right="0" w:hanging="0"/>
              <w:jc w:val="left"/>
              <w:rPr/>
            </w:pPr>
            <w:r>
              <w:rPr/>
              <w:t>​</w:t>
            </w:r>
          </w:p>
        </w:tc>
        <w:tc>
          <w:tcPr>
            <w:tcW w:w="250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Vice President</w:t>
            </w:r>
          </w:p>
        </w:tc>
        <w:tc>
          <w:tcPr>
            <w:tcW w:w="146" w:type="dxa"/>
            <w:tcBorders/>
            <w:shd w:fill="CCECFF" w:val="clear"/>
            <w:vAlign w:val="center"/>
          </w:tcPr>
          <w:p>
            <w:pPr>
              <w:pStyle w:val="TableContents"/>
              <w:bidi w:val="0"/>
              <w:spacing w:lineRule="auto" w:line="331" w:before="0" w:after="160"/>
              <w:ind w:left="0" w:right="0" w:hanging="0"/>
              <w:jc w:val="left"/>
              <w:rPr/>
            </w:pPr>
            <w:r>
              <w:rPr/>
              <w:t>​</w:t>
            </w:r>
          </w:p>
        </w:tc>
        <w:tc>
          <w:tcPr>
            <w:tcW w:w="1636" w:type="dxa"/>
            <w:tcBorders/>
            <w:shd w:fill="CCECFF" w:val="clear"/>
            <w:vAlign w:val="center"/>
          </w:tcPr>
          <w:p>
            <w:pPr>
              <w:pStyle w:val="TableContents"/>
              <w:bidi w:val="0"/>
              <w:spacing w:lineRule="auto" w:line="331" w:before="0" w:after="0"/>
              <w:ind w:left="0" w:right="0" w:hanging="0"/>
              <w:jc w:val="left"/>
              <w:rPr>
                <w:rFonts w:ascii="Times New Roman;Times;serif" w:hAnsi="Times New Roman;Times;serif"/>
                <w:sz w:val="20"/>
              </w:rPr>
            </w:pPr>
            <w:r>
              <w:rPr>
                <w:rFonts w:ascii="Times New Roman;Times;serif" w:hAnsi="Times New Roman;Times;serif"/>
                <w:sz w:val="20"/>
              </w:rPr>
              <w:t>May 16, 2018</w:t>
            </w:r>
          </w:p>
        </w:tc>
      </w:tr>
    </w:tbl>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74" w:name="matx-20250630xex10d2.htm"/>
      <w:bookmarkStart w:id="1475" w:name="ksmatx20250630xex10d2"/>
      <w:bookmarkEnd w:id="1474"/>
      <w:bookmarkEnd w:id="1475"/>
      <w:r>
        <w:rPr>
          <w:rFonts w:ascii="Times New Roman;Times;serif" w:hAnsi="Times New Roman;Times;serif"/>
          <w:b/>
          <w:sz w:val="20"/>
        </w:rPr>
        <w:t>Exhibit 10.2</w:t>
      </w:r>
      <w:r>
        <w:br w:type="page"/>
      </w:r>
    </w:p>
    <w:p>
      <w:pPr>
        <w:pStyle w:val="TextBody"/>
        <w:bidi w:val="0"/>
        <w:spacing w:before="0" w:after="0"/>
        <w:ind w:left="0" w:right="0" w:hanging="0"/>
        <w:jc w:val="center"/>
        <w:rPr>
          <w:rFonts w:ascii="Book Antiqua" w:hAnsi="Book Antiqua"/>
          <w:b/>
          <w:sz w:val="24"/>
        </w:rPr>
      </w:pPr>
      <w:r>
        <w:rPr>
          <w:rFonts w:ascii="Book Antiqua" w:hAnsi="Book Antiqua"/>
          <w:b/>
          <w:sz w:val="24"/>
        </w:rPr>
        <w:t>MATSON LOGISTICS, INC.</w:t>
      </w:r>
    </w:p>
    <w:p>
      <w:pPr>
        <w:pStyle w:val="TextBody"/>
        <w:bidi w:val="0"/>
        <w:spacing w:lineRule="auto" w:line="331" w:before="0" w:after="160"/>
        <w:ind w:left="0" w:right="0" w:hanging="0"/>
        <w:jc w:val="left"/>
        <w:rPr/>
      </w:pPr>
      <w:r>
        <w:rPr/>
        <w:t>​</w:t>
      </w:r>
    </w:p>
    <w:p>
      <w:pPr>
        <w:pStyle w:val="TextBody"/>
        <w:bidi w:val="0"/>
        <w:spacing w:before="0" w:after="0"/>
        <w:ind w:left="0" w:right="0" w:hanging="0"/>
        <w:jc w:val="center"/>
        <w:rPr>
          <w:rFonts w:ascii="Book Antiqua" w:hAnsi="Book Antiqua"/>
          <w:b/>
          <w:sz w:val="24"/>
        </w:rPr>
      </w:pPr>
      <w:r>
        <w:rPr>
          <w:rFonts w:ascii="Book Antiqua" w:hAnsi="Book Antiqua"/>
          <w:b/>
          <w:sz w:val="24"/>
        </w:rPr>
        <w:t>CONSULTING AGREEMENT</w:t>
      </w:r>
    </w:p>
    <w:p>
      <w:pPr>
        <w:pStyle w:val="TextBody"/>
        <w:bidi w:val="0"/>
        <w:spacing w:lineRule="auto" w:line="331" w:before="0" w:after="160"/>
        <w:ind w:left="0" w:right="0" w:hanging="0"/>
        <w:jc w:val="left"/>
        <w:rPr/>
      </w:pPr>
      <w:r>
        <w:rPr/>
        <w:t>​</w:t>
      </w:r>
    </w:p>
    <w:p>
      <w:pPr>
        <w:pStyle w:val="TextBody"/>
        <w:bidi w:val="0"/>
        <w:spacing w:before="0" w:after="0"/>
        <w:ind w:left="0" w:right="0" w:hanging="0"/>
        <w:jc w:val="left"/>
        <w:rPr>
          <w:rFonts w:ascii="Book Antiqua" w:hAnsi="Book Antiqua"/>
          <w:sz w:val="24"/>
        </w:rPr>
      </w:pPr>
      <w:r>
        <w:rPr>
          <w:rFonts w:ascii="Book Antiqua" w:hAnsi="Book Antiqua"/>
          <w:sz w:val="24"/>
        </w:rPr>
        <w:t>This Agreement is entered into as of July 1, 2025 (the “Effective Date”), by and between MATSON LOGISTICS, INC., (“Matson”) and Rusty Rolfe, (“Consultant”), with reference to the following:</w:t>
      </w:r>
    </w:p>
    <w:p>
      <w:pPr>
        <w:pStyle w:val="TextBody"/>
        <w:bidi w:val="0"/>
        <w:spacing w:lineRule="auto" w:line="331" w:before="0" w:after="160"/>
        <w:ind w:left="0" w:right="0" w:hanging="0"/>
        <w:jc w:val="left"/>
        <w:rPr/>
      </w:pPr>
      <w:r>
        <w:rPr/>
        <w:t>​</w:t>
      </w:r>
    </w:p>
    <w:p>
      <w:pPr>
        <w:pStyle w:val="TextBody"/>
        <w:pBdr/>
        <w:bidi w:val="0"/>
        <w:spacing w:before="0" w:after="0"/>
        <w:ind w:left="0" w:right="0" w:hanging="0"/>
        <w:jc w:val="left"/>
        <w:rPr>
          <w:rFonts w:ascii="Book Antiqua" w:hAnsi="Book Antiqua"/>
          <w:sz w:val="24"/>
        </w:rPr>
      </w:pPr>
      <w:r>
        <w:rPr>
          <w:rFonts w:ascii="Book Antiqua" w:hAnsi="Book Antiqua"/>
          <w:sz w:val="24"/>
        </w:rPr>
        <w:t>A.Consultant is retiring from Matson and his last day of employment with Matson will be July 1, 2025 (the “Employment Termination Date”).</w:t>
      </w:r>
    </w:p>
    <w:p>
      <w:pPr>
        <w:pStyle w:val="TextBody"/>
        <w:pBdr/>
        <w:bidi w:val="0"/>
        <w:spacing w:lineRule="auto" w:line="331" w:before="0" w:after="160"/>
        <w:ind w:left="0" w:right="0" w:hanging="1296"/>
        <w:jc w:val="left"/>
        <w:rPr/>
      </w:pPr>
      <w:r>
        <w:rPr/>
        <w:t>​</w:t>
      </w:r>
    </w:p>
    <w:p>
      <w:pPr>
        <w:pStyle w:val="TextBody"/>
        <w:pBdr/>
        <w:bidi w:val="0"/>
        <w:spacing w:before="0" w:after="0"/>
        <w:ind w:left="0" w:right="0" w:hanging="0"/>
        <w:jc w:val="left"/>
        <w:rPr>
          <w:rFonts w:ascii="Book Antiqua" w:hAnsi="Book Antiqua"/>
          <w:sz w:val="24"/>
        </w:rPr>
      </w:pPr>
      <w:r>
        <w:rPr>
          <w:rFonts w:ascii="Book Antiqua" w:hAnsi="Book Antiqua"/>
          <w:sz w:val="24"/>
        </w:rPr>
        <w:t>B.Consultant, after the Employment Termination Date, is willing to act as an independent consultant to Matson, bringing Consultant’s experience with Matson Logistics, Inc., and Consultant’s unique historical knowledge of certain projects, policies and practices. Consultant agrees to assist in the transition of Consultant’s current duties and responsibilities to others and to support the Matson Logistics’ President’s role (the “Services”).</w:t>
      </w:r>
    </w:p>
    <w:p>
      <w:pPr>
        <w:pStyle w:val="TextBody"/>
        <w:pBdr/>
        <w:bidi w:val="0"/>
        <w:spacing w:lineRule="auto" w:line="331" w:before="0" w:after="160"/>
        <w:ind w:left="0" w:right="0" w:hanging="1296"/>
        <w:jc w:val="left"/>
        <w:rPr/>
      </w:pPr>
      <w:r>
        <w:rPr/>
        <w:t>​</w:t>
      </w:r>
    </w:p>
    <w:p>
      <w:pPr>
        <w:pStyle w:val="TextBody"/>
        <w:pBdr/>
        <w:bidi w:val="0"/>
        <w:spacing w:before="0" w:after="0"/>
        <w:ind w:left="0" w:right="0" w:hanging="0"/>
        <w:jc w:val="left"/>
        <w:rPr>
          <w:rFonts w:ascii="Book Antiqua" w:hAnsi="Book Antiqua"/>
          <w:sz w:val="24"/>
        </w:rPr>
      </w:pPr>
      <w:r>
        <w:rPr>
          <w:rFonts w:ascii="Book Antiqua" w:hAnsi="Book Antiqua"/>
          <w:sz w:val="24"/>
        </w:rPr>
        <w:t>C.Matson wishes to retain Consultant to provide those Services.</w:t>
      </w:r>
    </w:p>
    <w:p>
      <w:pPr>
        <w:pStyle w:val="TextBody"/>
        <w:pBdr/>
        <w:bidi w:val="0"/>
        <w:spacing w:lineRule="auto" w:line="331" w:before="0" w:after="160"/>
        <w:ind w:left="0" w:right="0" w:hanging="1296"/>
        <w:jc w:val="left"/>
        <w:rPr/>
      </w:pPr>
      <w:r>
        <w:rPr/>
        <w:t>​</w:t>
      </w:r>
    </w:p>
    <w:p>
      <w:pPr>
        <w:pStyle w:val="TextBody"/>
        <w:bidi w:val="0"/>
        <w:spacing w:before="0" w:after="0"/>
        <w:ind w:left="0" w:right="0" w:hanging="0"/>
        <w:jc w:val="left"/>
        <w:rPr>
          <w:rFonts w:ascii="Book Antiqua" w:hAnsi="Book Antiqua"/>
          <w:sz w:val="24"/>
        </w:rPr>
      </w:pPr>
      <w:r>
        <w:rPr>
          <w:rFonts w:ascii="Book Antiqua" w:hAnsi="Book Antiqua"/>
          <w:sz w:val="24"/>
        </w:rPr>
        <w:t>Matson and Consultant agree:</w:t>
      </w:r>
    </w:p>
    <w:p>
      <w:pPr>
        <w:pStyle w:val="TextBody"/>
        <w:bidi w:val="0"/>
        <w:spacing w:lineRule="auto" w:line="331" w:before="0" w:after="160"/>
        <w:ind w:left="0" w:right="0" w:hanging="0"/>
        <w:jc w:val="left"/>
        <w:rPr/>
      </w:pPr>
      <w:r>
        <w:rPr/>
        <w:t>​</w:t>
      </w:r>
    </w:p>
    <w:p>
      <w:pPr>
        <w:pStyle w:val="TextBody"/>
        <w:bidi w:val="0"/>
        <w:spacing w:before="0" w:after="0"/>
        <w:ind w:left="0" w:right="0" w:hanging="0"/>
        <w:jc w:val="left"/>
        <w:rPr>
          <w:rFonts w:ascii="Aptos" w:hAnsi="Aptos"/>
          <w:sz w:val="24"/>
        </w:rPr>
      </w:pPr>
      <w:r>
        <w:rPr>
          <w:rFonts w:ascii="Book Antiqua" w:hAnsi="Book Antiqua"/>
          <w:sz w:val="24"/>
        </w:rPr>
        <w:t>1.</w:t>
      </w:r>
      <w:r>
        <w:rPr>
          <w:rFonts w:ascii="Aptos" w:hAnsi="Aptos"/>
          <w:sz w:val="24"/>
        </w:rPr>
        <w:t xml:space="preserve"> </w:t>
      </w:r>
      <w:r>
        <w:rPr>
          <w:rFonts w:ascii="Book Antiqua" w:hAnsi="Book Antiqua"/>
          <w:sz w:val="24"/>
          <w:u w:val="single"/>
        </w:rPr>
        <w:t>Term</w:t>
      </w:r>
      <w:r>
        <w:rPr>
          <w:rFonts w:ascii="Book Antiqua" w:hAnsi="Book Antiqua"/>
          <w:sz w:val="24"/>
        </w:rPr>
        <w:t>. The term of the Services to be provided by Consultant under this Agreement will begin on July 2, 2025, and may be terminated at any time for any reason by either party. The term of this Agreement ends on December 31, 2025, unless both parties agree in writing to an extension.</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4"/>
        </w:rPr>
      </w:pPr>
      <w:r>
        <w:rPr>
          <w:rFonts w:ascii="Book Antiqua" w:hAnsi="Book Antiqua"/>
          <w:b w:val="false"/>
          <w:i w:val="false"/>
          <w:caps w:val="false"/>
          <w:smallCaps w:val="false"/>
          <w:sz w:val="24"/>
        </w:rPr>
        <w:t>2.</w:t>
      </w:r>
      <w:r>
        <w:rPr>
          <w:rFonts w:ascii="Book Antiqua" w:hAnsi="Book Antiqua"/>
          <w:sz w:val="24"/>
          <w:u w:val="single"/>
        </w:rPr>
        <w:t>Limitations on Other Consulting Work or Employment</w:t>
      </w:r>
      <w:r>
        <w:rPr>
          <w:rFonts w:ascii="Book Antiqua" w:hAnsi="Book Antiqua"/>
          <w:sz w:val="24"/>
        </w:rPr>
        <w:t>. During the term of this Agreement, Consultant understands that Consultant is prohibited from providing consulting services, advice, or any other assistance to, or become employed by, any individual or company that offers services in competition with Matson or any of its subsidiaries or affiliated entities.</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4"/>
        </w:rPr>
      </w:pPr>
      <w:r>
        <w:rPr>
          <w:rFonts w:ascii="Book Antiqua" w:hAnsi="Book Antiqua"/>
          <w:b w:val="false"/>
          <w:i w:val="false"/>
          <w:caps w:val="false"/>
          <w:smallCaps w:val="false"/>
          <w:sz w:val="24"/>
        </w:rPr>
        <w:t>3.</w:t>
      </w:r>
      <w:r>
        <w:rPr>
          <w:rFonts w:ascii="Book Antiqua" w:hAnsi="Book Antiqua"/>
          <w:sz w:val="24"/>
          <w:u w:val="single"/>
        </w:rPr>
        <w:t>Fees and Invoice</w:t>
      </w:r>
      <w:r>
        <w:rPr>
          <w:rFonts w:ascii="Book Antiqua" w:hAnsi="Book Antiqua"/>
          <w:sz w:val="24"/>
        </w:rPr>
        <w:t xml:space="preserve">. For the Services performed by Consultant during the term of this Agreement, Matson will pay Consultant the fees set forth in the Confidential Addendum. </w:t>
      </w:r>
    </w:p>
    <w:p>
      <w:pPr>
        <w:pStyle w:val="TextBody"/>
        <w:bidi w:val="0"/>
        <w:spacing w:lineRule="auto" w:line="331" w:before="0" w:after="160"/>
        <w:ind w:left="0" w:right="0" w:firstLine="576"/>
        <w:jc w:val="left"/>
        <w:rPr/>
      </w:pPr>
      <w:r>
        <w:rPr/>
        <w:t>​</w:t>
      </w:r>
    </w:p>
    <w:p>
      <w:pPr>
        <w:pStyle w:val="TextBody"/>
        <w:bidi w:val="0"/>
        <w:spacing w:lineRule="auto" w:line="331" w:before="0" w:after="160"/>
        <w:ind w:left="0" w:right="0" w:hanging="0"/>
        <w:jc w:val="left"/>
        <w:rPr/>
      </w:pPr>
      <w:r>
        <w:rPr/>
        <w:t>​</w:t>
      </w:r>
    </w:p>
    <w:p>
      <w:pPr>
        <w:pStyle w:val="TextBody"/>
        <w:bidi w:val="0"/>
        <w:spacing w:before="0" w:after="0"/>
        <w:ind w:left="0" w:right="0" w:hanging="0"/>
        <w:jc w:val="left"/>
        <w:rPr>
          <w:rFonts w:ascii="Aptos" w:hAnsi="Aptos"/>
          <w:sz w:val="24"/>
        </w:rPr>
      </w:pPr>
      <w:r>
        <w:rPr>
          <w:rFonts w:ascii="Book Antiqua" w:hAnsi="Book Antiqua"/>
          <w:sz w:val="24"/>
        </w:rPr>
        <w:t>4.</w:t>
      </w:r>
      <w:r>
        <w:rPr>
          <w:rFonts w:ascii="Book Antiqua" w:hAnsi="Book Antiqua"/>
          <w:sz w:val="24"/>
          <w:u w:val="single"/>
        </w:rPr>
        <w:t>Reimbursement of Expenses</w:t>
      </w:r>
      <w:r>
        <w:rPr>
          <w:rFonts w:ascii="Book Antiqua" w:hAnsi="Book Antiqua"/>
          <w:sz w:val="24"/>
        </w:rPr>
        <w:t>. Matson will reimburse Consultant for the following out-of-pocket expenses incurred in connection with the performance of the Services:</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pBdr/>
        <w:bidi w:val="0"/>
        <w:spacing w:before="0" w:after="0"/>
        <w:ind w:left="0" w:right="0" w:hanging="0"/>
        <w:jc w:val="left"/>
        <w:rPr>
          <w:rFonts w:ascii="Book Antiqua" w:hAnsi="Book Antiqua"/>
          <w:sz w:val="24"/>
        </w:rPr>
      </w:pPr>
      <w:r>
        <w:rPr>
          <w:rFonts w:ascii="Book Antiqua" w:hAnsi="Book Antiqua"/>
          <w:sz w:val="24"/>
        </w:rPr>
        <w:t>All expenses incidental to performing the Services</w:t>
      </w:r>
    </w:p>
    <w:p>
      <w:pPr>
        <w:pStyle w:val="TextBody"/>
        <w:pBdr/>
        <w:bidi w:val="0"/>
        <w:spacing w:before="120" w:after="0"/>
        <w:ind w:left="0" w:right="0" w:hanging="0"/>
        <w:jc w:val="left"/>
        <w:rPr>
          <w:rFonts w:ascii="Book Antiqua" w:hAnsi="Book Antiqua"/>
          <w:sz w:val="24"/>
        </w:rPr>
      </w:pPr>
      <w:r>
        <w:rPr>
          <w:rFonts w:ascii="Book Antiqua" w:hAnsi="Book Antiqua"/>
          <w:sz w:val="24"/>
        </w:rPr>
        <w:t>Other expenses, including travel, approved in advance by Matson</w:t>
      </w:r>
    </w:p>
    <w:p>
      <w:pPr>
        <w:pStyle w:val="TextBody"/>
        <w:pBdr/>
        <w:bidi w:val="0"/>
        <w:spacing w:lineRule="auto" w:line="331" w:before="0" w:after="160"/>
        <w:ind w:left="0" w:right="0" w:hanging="1296"/>
        <w:jc w:val="left"/>
        <w:rPr/>
      </w:pPr>
      <w:r>
        <w:rPr/>
        <w:t>​</w:t>
      </w:r>
    </w:p>
    <w:p>
      <w:pPr>
        <w:pStyle w:val="TextBody"/>
        <w:bidi w:val="0"/>
        <w:spacing w:before="0" w:after="0"/>
        <w:ind w:left="0" w:right="0" w:hanging="0"/>
        <w:jc w:val="left"/>
        <w:rPr>
          <w:rFonts w:ascii="Book Antiqua" w:hAnsi="Book Antiqua"/>
          <w:sz w:val="24"/>
        </w:rPr>
      </w:pPr>
      <w:r>
        <w:rPr>
          <w:rFonts w:ascii="Book Antiqua" w:hAnsi="Book Antiqua"/>
          <w:sz w:val="24"/>
        </w:rPr>
        <w:t xml:space="preserve">In order to obtain reimbursement for the foregoing expenses, Consultant must detail the reimbursable expenses in the monthly invoice for the month in which the expense is incurred and provide supporting documentation that is reasonably acceptable to Matson. Reimbursements provided for in this paragraph are the only reimbursements payable to Consultant under this Agreement. </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4"/>
        </w:rPr>
      </w:pPr>
      <w:r>
        <w:rPr>
          <w:rFonts w:ascii="Book Antiqua" w:hAnsi="Book Antiqua"/>
          <w:b w:val="false"/>
          <w:i w:val="false"/>
          <w:caps w:val="false"/>
          <w:smallCaps w:val="false"/>
          <w:sz w:val="24"/>
        </w:rPr>
        <w:t>5.</w:t>
      </w:r>
      <w:r>
        <w:rPr>
          <w:rFonts w:ascii="Book Antiqua" w:hAnsi="Book Antiqua"/>
          <w:sz w:val="24"/>
          <w:u w:val="single"/>
        </w:rPr>
        <w:t>Independent Contractor Status</w:t>
      </w:r>
      <w:r>
        <w:rPr>
          <w:rFonts w:ascii="Book Antiqua" w:hAnsi="Book Antiqua"/>
          <w:sz w:val="24"/>
        </w:rPr>
        <w:t>. The parties intend that Consultant will be an independent contractor and not an employee of Matson. To that end, the parties agree that Consultant will control how the Services are performed, but that Matson may provide job specifications. The parties agree that the work is on-call and irregular, when work is available. Consultant acknowledges that, as a Consultant under this Agreement, Consultant is not eligible for fringe benefits provided by Matson to its active employees and hereby waives claim to any such benefits. Except to the extent that Consultant was vested in such benefits on or prior to Consultant’s retirement date, Consultant acknowledges that Consultant is not entitled to pension, profit sharing, medical or dental benefits, workers’ compensation benefits or unemployment insurance, vacation or holiday pay, or new or additional grants of restricted stock units, stock options or other equity.</w:t>
      </w:r>
    </w:p>
    <w:p>
      <w:pPr>
        <w:pStyle w:val="TextBody"/>
        <w:bidi w:val="0"/>
        <w:spacing w:lineRule="auto" w:line="331" w:before="0" w:after="160"/>
        <w:ind w:left="0" w:right="0" w:hanging="0"/>
        <w:jc w:val="left"/>
        <w:rPr/>
      </w:pPr>
      <w:r>
        <w:rPr/>
        <w:t>​</w:t>
      </w:r>
    </w:p>
    <w:p>
      <w:pPr>
        <w:pStyle w:val="TextBody"/>
        <w:bidi w:val="0"/>
        <w:spacing w:before="0" w:after="0"/>
        <w:ind w:left="0" w:right="0" w:hanging="0"/>
        <w:jc w:val="left"/>
        <w:rPr>
          <w:rFonts w:ascii="Aptos" w:hAnsi="Aptos"/>
          <w:sz w:val="24"/>
        </w:rPr>
      </w:pPr>
      <w:r>
        <w:rPr>
          <w:rFonts w:ascii="Book Antiqua" w:hAnsi="Book Antiqua"/>
          <w:sz w:val="24"/>
        </w:rPr>
        <w:t>6.</w:t>
      </w:r>
      <w:r>
        <w:rPr>
          <w:rFonts w:ascii="Book Antiqua" w:hAnsi="Book Antiqua"/>
          <w:sz w:val="24"/>
          <w:u w:val="single"/>
        </w:rPr>
        <w:t>Taxes</w:t>
      </w:r>
      <w:r>
        <w:rPr>
          <w:rFonts w:ascii="Book Antiqua" w:hAnsi="Book Antiqua"/>
          <w:sz w:val="24"/>
        </w:rPr>
        <w:t xml:space="preserve">. Consultant agrees that any tax obligations which arise from the payments from this Agreement shall be the sole obligation of Consultant and that Consultant holds harmless and indemnifies Matson and Matson’s affiliates against any and all costs, penalties, taxes, or other payments made or required by any taxing authority on account of the failure or alleged failure to meet such tax obligations. </w:t>
      </w:r>
    </w:p>
    <w:p>
      <w:pPr>
        <w:pStyle w:val="TextBody"/>
        <w:bidi w:val="0"/>
        <w:spacing w:lineRule="auto" w:line="331" w:before="0" w:after="160"/>
        <w:ind w:left="0" w:right="0" w:hanging="0"/>
        <w:jc w:val="left"/>
        <w:rPr/>
      </w:pPr>
      <w:r>
        <w:rPr/>
        <w:t>​</w:t>
      </w:r>
    </w:p>
    <w:p>
      <w:pPr>
        <w:pStyle w:val="TextBody"/>
        <w:bidi w:val="0"/>
        <w:spacing w:before="0" w:after="0"/>
        <w:ind w:left="0" w:right="0" w:hanging="0"/>
        <w:jc w:val="left"/>
        <w:rPr>
          <w:rFonts w:ascii="Aptos" w:hAnsi="Aptos"/>
          <w:sz w:val="24"/>
        </w:rPr>
      </w:pPr>
      <w:r>
        <w:rPr>
          <w:rFonts w:ascii="Book Antiqua" w:hAnsi="Book Antiqua"/>
          <w:sz w:val="24"/>
        </w:rPr>
        <w:t>7.</w:t>
      </w:r>
      <w:r>
        <w:rPr>
          <w:rFonts w:ascii="Book Antiqua" w:hAnsi="Book Antiqua"/>
          <w:sz w:val="24"/>
          <w:u w:val="single"/>
        </w:rPr>
        <w:t>Confidential Information</w:t>
      </w:r>
      <w:r>
        <w:rPr>
          <w:rFonts w:ascii="Book Antiqua" w:hAnsi="Book Antiqua"/>
          <w:sz w:val="24"/>
        </w:rPr>
        <w:t xml:space="preserve">. Unless consented to in writing by Matson, Consultant will not disclose to anyone during or after the term of this Agreement confidential information received from Matson or developed by Consultant in performing the Services. Reports or other documents prepared by Consultant under this Agreement and any such information furnished by Matson to Consultant under this Agreement will all be, and will remain the property of Matson and be returned to Matson upon request or when they are no longer necessary for performance of the Services. Consultant will not take any such materials nor use any such material or information or copies thereof for work Consultant performs for others nor disclose such material or information to any other party without the prior written consent of Matson. </w:t>
      </w:r>
    </w:p>
    <w:p>
      <w:pPr>
        <w:pStyle w:val="TextBody"/>
        <w:bidi w:val="0"/>
        <w:spacing w:lineRule="auto" w:line="331" w:before="0" w:after="160"/>
        <w:ind w:left="0" w:right="0" w:hanging="0"/>
        <w:jc w:val="left"/>
        <w:rPr/>
      </w:pPr>
      <w:r>
        <w:rPr/>
        <w:t>​</w:t>
      </w:r>
    </w:p>
    <w:p>
      <w:pPr>
        <w:pStyle w:val="TextBody"/>
        <w:bidi w:val="0"/>
        <w:spacing w:before="0" w:after="0"/>
        <w:ind w:left="0" w:right="0" w:hanging="0"/>
        <w:jc w:val="left"/>
        <w:rPr>
          <w:rFonts w:ascii="Aptos" w:hAnsi="Aptos"/>
          <w:sz w:val="24"/>
        </w:rPr>
      </w:pPr>
      <w:r>
        <w:rPr>
          <w:rFonts w:ascii="Book Antiqua" w:hAnsi="Book Antiqua"/>
          <w:sz w:val="24"/>
        </w:rPr>
        <w:t>8.</w:t>
      </w:r>
      <w:r>
        <w:rPr>
          <w:rFonts w:ascii="Book Antiqua" w:hAnsi="Book Antiqua"/>
          <w:sz w:val="24"/>
          <w:u w:val="single"/>
        </w:rPr>
        <w:t>Policies and Procedures</w:t>
      </w:r>
      <w:r>
        <w:rPr>
          <w:rFonts w:ascii="Book Antiqua" w:hAnsi="Book Antiqua"/>
          <w:sz w:val="24"/>
        </w:rPr>
        <w:t xml:space="preserve">. Consultant shall comply with all of Matson’s </w:t>
      </w:r>
    </w:p>
    <w:p>
      <w:pPr>
        <w:pStyle w:val="TextBody"/>
        <w:bidi w:val="0"/>
        <w:spacing w:lineRule="auto" w:line="285" w:before="0" w:after="0"/>
        <w:ind w:left="0" w:right="0" w:hanging="0"/>
        <w:jc w:val="right"/>
        <w:rPr>
          <w:rFonts w:ascii="Aptos" w:hAnsi="Aptos"/>
          <w:sz w:val="20"/>
        </w:rPr>
      </w:pPr>
      <w:r>
        <w:rPr>
          <w:rFonts w:ascii="Times New Roman;Times;serif" w:hAnsi="Times New Roman;Times;serif"/>
          <w:sz w:val="20"/>
        </w:rPr>
        <w:t>2</w:t>
      </w:r>
      <w:r>
        <w:rPr>
          <w:rFonts w:ascii="Aptos" w:hAnsi="Aptos"/>
          <w:sz w:val="20"/>
        </w:rPr>
        <w:t xml:space="preserve"> </w:t>
      </w:r>
      <w:r>
        <w:rPr>
          <w:rFonts w:ascii="Times New Roman;Times;serif" w:hAnsi="Times New Roman;Times;serif"/>
          <w:sz w:val="20"/>
        </w:rPr>
        <w:t>of 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before="0" w:after="0"/>
        <w:ind w:left="0" w:right="0" w:hanging="0"/>
        <w:jc w:val="left"/>
        <w:rPr>
          <w:rFonts w:ascii="Book Antiqua" w:hAnsi="Book Antiqua"/>
          <w:sz w:val="24"/>
        </w:rPr>
      </w:pPr>
      <w:r>
        <w:rPr>
          <w:rFonts w:ascii="Book Antiqua" w:hAnsi="Book Antiqua"/>
          <w:sz w:val="24"/>
        </w:rPr>
        <w:t>policies, standards and procedures, including the Code of Conduct, when performing the Services under this Agreement.</w:t>
      </w:r>
    </w:p>
    <w:p>
      <w:pPr>
        <w:pStyle w:val="TextBody"/>
        <w:bidi w:val="0"/>
        <w:spacing w:lineRule="auto" w:line="331" w:before="0" w:after="160"/>
        <w:ind w:left="0" w:right="0" w:hanging="0"/>
        <w:jc w:val="left"/>
        <w:rPr/>
      </w:pPr>
      <w:r>
        <w:rPr/>
        <w:t>​</w:t>
      </w:r>
    </w:p>
    <w:p>
      <w:pPr>
        <w:pStyle w:val="TextBody"/>
        <w:bidi w:val="0"/>
        <w:spacing w:before="0" w:after="0"/>
        <w:ind w:left="0" w:right="0" w:hanging="0"/>
        <w:jc w:val="left"/>
        <w:rPr>
          <w:rFonts w:ascii="Aptos" w:hAnsi="Aptos"/>
          <w:sz w:val="24"/>
        </w:rPr>
      </w:pPr>
      <w:r>
        <w:rPr>
          <w:rFonts w:ascii="Book Antiqua" w:hAnsi="Book Antiqua"/>
          <w:sz w:val="24"/>
        </w:rPr>
        <w:t>9.</w:t>
      </w:r>
      <w:r>
        <w:rPr>
          <w:rFonts w:ascii="Book Antiqua" w:hAnsi="Book Antiqua"/>
          <w:sz w:val="24"/>
          <w:u w:val="single"/>
        </w:rPr>
        <w:t>Assignment</w:t>
      </w:r>
      <w:r>
        <w:rPr>
          <w:rFonts w:ascii="Book Antiqua" w:hAnsi="Book Antiqua"/>
          <w:sz w:val="24"/>
        </w:rPr>
        <w:t>. Consultant will not assign or otherwise transfer any interest in this Agreement without the prior written consent of Matson, and any attempted assignment or transfer without consent will be void.</w:t>
      </w:r>
    </w:p>
    <w:p>
      <w:pPr>
        <w:pStyle w:val="TextBody"/>
        <w:bidi w:val="0"/>
        <w:spacing w:lineRule="auto" w:line="331" w:before="0" w:after="160"/>
        <w:ind w:left="0" w:right="0" w:hanging="0"/>
        <w:jc w:val="left"/>
        <w:rPr/>
      </w:pPr>
      <w:r>
        <w:rPr/>
        <w:t>​</w:t>
      </w:r>
    </w:p>
    <w:p>
      <w:pPr>
        <w:pStyle w:val="TextBody"/>
        <w:bidi w:val="0"/>
        <w:spacing w:before="0" w:after="0"/>
        <w:ind w:left="0" w:right="0" w:hanging="0"/>
        <w:jc w:val="left"/>
        <w:rPr>
          <w:rFonts w:ascii="Aptos" w:hAnsi="Aptos"/>
          <w:sz w:val="24"/>
        </w:rPr>
      </w:pPr>
      <w:r>
        <w:rPr>
          <w:rFonts w:ascii="Book Antiqua" w:hAnsi="Book Antiqua"/>
          <w:sz w:val="24"/>
        </w:rPr>
        <w:t>10.</w:t>
      </w:r>
      <w:r>
        <w:rPr>
          <w:rFonts w:ascii="Book Antiqua" w:hAnsi="Book Antiqua"/>
          <w:sz w:val="24"/>
          <w:u w:val="single"/>
        </w:rPr>
        <w:t>Miscellaneous</w:t>
      </w:r>
      <w:r>
        <w:rPr>
          <w:rFonts w:ascii="Book Antiqua" w:hAnsi="Book Antiqua"/>
          <w:sz w:val="24"/>
        </w:rPr>
        <w:t>.</w:t>
      </w:r>
    </w:p>
    <w:p>
      <w:pPr>
        <w:pStyle w:val="TextBody"/>
        <w:bidi w:val="0"/>
        <w:spacing w:lineRule="auto" w:line="331"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Book Antiqua" w:hAnsi="Book Antiqua"/>
                <w:sz w:val="24"/>
              </w:rPr>
            </w:pPr>
            <w:r>
              <w:rPr>
                <w:rFonts w:ascii="Book Antiqua" w:hAnsi="Book Antiqua"/>
                <w:sz w:val="24"/>
              </w:rPr>
              <w:t>a.</w:t>
            </w:r>
          </w:p>
        </w:tc>
        <w:tc>
          <w:tcPr>
            <w:tcW w:w="9937" w:type="dxa"/>
            <w:tcBorders/>
            <w:vAlign w:val="center"/>
          </w:tcPr>
          <w:p>
            <w:pPr>
              <w:pStyle w:val="TableContents"/>
              <w:bidi w:val="0"/>
              <w:spacing w:before="0" w:after="283"/>
              <w:jc w:val="left"/>
              <w:rPr/>
            </w:pPr>
            <w:r>
              <w:rPr>
                <w:rFonts w:ascii="Book Antiqua" w:hAnsi="Book Antiqua"/>
                <w:b w:val="false"/>
                <w:i w:val="false"/>
                <w:caps w:val="false"/>
                <w:smallCaps w:val="false"/>
                <w:sz w:val="24"/>
                <w:u w:val="single"/>
              </w:rPr>
              <w:t>Notices</w:t>
            </w:r>
            <w:r>
              <w:rPr>
                <w:rFonts w:ascii="Book Antiqua" w:hAnsi="Book Antiqua"/>
                <w:b w:val="false"/>
                <w:i w:val="false"/>
                <w:caps w:val="false"/>
                <w:smallCaps w:val="false"/>
                <w:sz w:val="24"/>
              </w:rPr>
              <w:t>. Any notice required by this Agreement shall be given in writing addressed as set forth below and either personally delivered, sent via FedEx, or mailed by first class mail, postage prepaid, and such notice shall be deemed to have been duly given on the date of delivery if delivered personally, on the date set forth in the FedEx shipping document if sent via FedEx, or on the third day after the date of mailing if mailed:</w:t>
            </w:r>
          </w:p>
        </w:tc>
      </w:tr>
    </w:tbl>
    <w:p>
      <w:pPr>
        <w:pStyle w:val="TextBody"/>
        <w:bidi w:val="0"/>
        <w:spacing w:lineRule="auto" w:line="331" w:before="0" w:after="160"/>
        <w:ind w:left="1290" w:right="0" w:hanging="0"/>
        <w:jc w:val="left"/>
        <w:rPr/>
      </w:pPr>
      <w:r>
        <w:rPr/>
        <w:t>​</w:t>
      </w:r>
    </w:p>
    <w:p>
      <w:pPr>
        <w:pStyle w:val="TextBody"/>
        <w:bidi w:val="0"/>
        <w:spacing w:before="0" w:after="0"/>
        <w:ind w:left="1290" w:right="0" w:hanging="0"/>
        <w:jc w:val="left"/>
        <w:rPr>
          <w:rFonts w:ascii="Book Antiqua" w:hAnsi="Book Antiqua"/>
          <w:sz w:val="24"/>
        </w:rPr>
      </w:pPr>
      <w:r>
        <w:rPr>
          <w:rFonts w:ascii="Book Antiqua" w:hAnsi="Book Antiqua"/>
          <w:sz w:val="24"/>
        </w:rPr>
        <w:t>Matson:Matson Logistics, Inc.</w:t>
      </w:r>
    </w:p>
    <w:p>
      <w:pPr>
        <w:pStyle w:val="TextBody"/>
        <w:pBdr/>
        <w:bidi w:val="0"/>
        <w:spacing w:before="0" w:after="0"/>
        <w:ind w:left="0" w:right="0" w:hanging="0"/>
        <w:jc w:val="left"/>
        <w:rPr>
          <w:rFonts w:ascii="Book Antiqua" w:hAnsi="Book Antiqua"/>
          <w:sz w:val="24"/>
        </w:rPr>
      </w:pPr>
      <w:r>
        <w:rPr>
          <w:rFonts w:ascii="Book Antiqua" w:hAnsi="Book Antiqua"/>
          <w:sz w:val="24"/>
        </w:rPr>
        <w:t>Attention: President</w:t>
      </w:r>
    </w:p>
    <w:p>
      <w:pPr>
        <w:pStyle w:val="TextBody"/>
        <w:pBdr/>
        <w:bidi w:val="0"/>
        <w:spacing w:before="0" w:after="0"/>
        <w:ind w:left="0" w:right="0" w:hanging="0"/>
        <w:jc w:val="left"/>
        <w:rPr>
          <w:rFonts w:ascii="Book Antiqua" w:hAnsi="Book Antiqua"/>
          <w:sz w:val="24"/>
        </w:rPr>
      </w:pPr>
      <w:r>
        <w:rPr>
          <w:rFonts w:ascii="Book Antiqua" w:hAnsi="Book Antiqua"/>
          <w:sz w:val="24"/>
        </w:rPr>
        <w:t>2175 North California Boulevard, Suite 250</w:t>
      </w:r>
    </w:p>
    <w:p>
      <w:pPr>
        <w:pStyle w:val="TextBody"/>
        <w:pBdr/>
        <w:bidi w:val="0"/>
        <w:spacing w:before="0" w:after="0"/>
        <w:ind w:left="0" w:right="0" w:hanging="0"/>
        <w:jc w:val="left"/>
        <w:rPr>
          <w:rFonts w:ascii="Book Antiqua" w:hAnsi="Book Antiqua"/>
          <w:sz w:val="24"/>
        </w:rPr>
      </w:pPr>
      <w:r>
        <w:rPr>
          <w:rFonts w:ascii="Book Antiqua" w:hAnsi="Book Antiqua"/>
          <w:sz w:val="24"/>
        </w:rPr>
        <w:t>Walnut Creek, CA 94596</w:t>
      </w:r>
    </w:p>
    <w:p>
      <w:pPr>
        <w:pStyle w:val="TextBody"/>
        <w:pBdr/>
        <w:bidi w:val="0"/>
        <w:spacing w:lineRule="auto" w:line="331" w:before="0" w:after="160"/>
        <w:ind w:left="0" w:right="0" w:hanging="4608"/>
        <w:jc w:val="left"/>
        <w:rPr/>
      </w:pPr>
      <w:r>
        <w:rPr/>
        <w:t>​</w:t>
      </w:r>
    </w:p>
    <w:p>
      <w:pPr>
        <w:pStyle w:val="TextBody"/>
        <w:pBdr/>
        <w:bidi w:val="0"/>
        <w:spacing w:before="0" w:after="0"/>
        <w:ind w:left="0" w:right="0" w:hanging="0"/>
        <w:jc w:val="left"/>
        <w:rPr>
          <w:rFonts w:ascii="Book Antiqua" w:hAnsi="Book Antiqua"/>
          <w:sz w:val="24"/>
        </w:rPr>
      </w:pPr>
      <w:r>
        <w:rPr>
          <w:rFonts w:ascii="Book Antiqua" w:hAnsi="Book Antiqua"/>
          <w:sz w:val="24"/>
        </w:rPr>
        <w:t>Consultant:Rusty Rolfe</w:t>
      </w:r>
    </w:p>
    <w:p>
      <w:pPr>
        <w:pStyle w:val="TextBody"/>
        <w:bidi w:val="0"/>
        <w:spacing w:before="0" w:after="0"/>
        <w:ind w:left="0" w:right="0" w:hanging="0"/>
        <w:jc w:val="left"/>
        <w:rPr>
          <w:rFonts w:ascii="Book Antiqua" w:hAnsi="Book Antiqua"/>
          <w:sz w:val="24"/>
        </w:rPr>
      </w:pPr>
      <w:r>
        <w:rPr>
          <w:rFonts w:ascii="Book Antiqua" w:hAnsi="Book Antiqua"/>
          <w:sz w:val="24"/>
        </w:rPr>
        <w:t>[Address]</w:t>
      </w:r>
    </w:p>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TextBody"/>
        <w:pBdr/>
        <w:bidi w:val="0"/>
        <w:spacing w:before="0" w:after="0"/>
        <w:ind w:left="0" w:right="0" w:hanging="0"/>
        <w:jc w:val="left"/>
        <w:rPr>
          <w:rFonts w:ascii="Aptos" w:hAnsi="Aptos"/>
          <w:sz w:val="24"/>
        </w:rPr>
      </w:pPr>
      <w:r>
        <w:rPr>
          <w:rFonts w:ascii="Book Antiqua" w:hAnsi="Book Antiqua"/>
          <w:sz w:val="24"/>
        </w:rPr>
        <w:t>b.</w:t>
      </w:r>
      <w:r>
        <w:rPr>
          <w:rFonts w:ascii="Book Antiqua" w:hAnsi="Book Antiqua"/>
          <w:sz w:val="24"/>
          <w:u w:val="single"/>
        </w:rPr>
        <w:t>Severability</w:t>
      </w:r>
      <w:r>
        <w:rPr>
          <w:rFonts w:ascii="Book Antiqua" w:hAnsi="Book Antiqua"/>
          <w:sz w:val="24"/>
        </w:rPr>
        <w:t>. If any term, provision, covenant or condition of this Agreement is held by a court of competent jurisdiction to be invalid, void or unenforceable, the rest of this Agreement will remain in full force and effect.</w:t>
      </w:r>
    </w:p>
    <w:p>
      <w:pPr>
        <w:pStyle w:val="TextBody"/>
        <w:bidi w:val="0"/>
        <w:spacing w:lineRule="auto" w:line="331" w:before="0" w:after="160"/>
        <w:ind w:left="0" w:right="0" w:hanging="0"/>
        <w:jc w:val="left"/>
        <w:rPr/>
      </w:pPr>
      <w:r>
        <w:rPr/>
        <w:t>​</w:t>
      </w:r>
    </w:p>
    <w:p>
      <w:pPr>
        <w:pStyle w:val="TextBody"/>
        <w:pBdr/>
        <w:bidi w:val="0"/>
        <w:spacing w:before="0" w:after="0"/>
        <w:ind w:left="0" w:right="0" w:hanging="0"/>
        <w:jc w:val="left"/>
        <w:rPr>
          <w:rFonts w:ascii="Aptos" w:hAnsi="Aptos"/>
          <w:sz w:val="24"/>
        </w:rPr>
      </w:pPr>
      <w:r>
        <w:rPr>
          <w:rFonts w:ascii="Book Antiqua" w:hAnsi="Book Antiqua"/>
          <w:sz w:val="24"/>
        </w:rPr>
        <w:t>c.</w:t>
      </w:r>
      <w:r>
        <w:rPr>
          <w:rFonts w:ascii="Book Antiqua" w:hAnsi="Book Antiqua"/>
          <w:sz w:val="24"/>
          <w:u w:val="single"/>
        </w:rPr>
        <w:t>Entire Agreement</w:t>
      </w:r>
      <w:r>
        <w:rPr>
          <w:rFonts w:ascii="Book Antiqua" w:hAnsi="Book Antiqua"/>
          <w:sz w:val="24"/>
        </w:rPr>
        <w:t>. This Agreement contains the entire agreement of the parties relating to the rights granted and obligations assumed in this Agreement, and no modification or amendment hereof will be effective unless set forth in a written instrument (i) signed by the party against whom its modification or amendment is asserted or (ii) to which such party has otherwise evidenced its acceptance. This agreement shall not affect, diminish or negate any right or benefit Consultant may have as a former employee or retiree of Matson or any affiliate of Matson.</w:t>
      </w:r>
    </w:p>
    <w:p>
      <w:pPr>
        <w:pStyle w:val="TextBody"/>
        <w:bidi w:val="0"/>
        <w:spacing w:lineRule="auto" w:line="331" w:before="0" w:after="160"/>
        <w:ind w:left="0" w:right="0" w:hanging="0"/>
        <w:jc w:val="left"/>
        <w:rPr/>
      </w:pPr>
      <w:r>
        <w:rPr/>
        <w:t>​</w:t>
      </w:r>
    </w:p>
    <w:p>
      <w:pPr>
        <w:pStyle w:val="TextBody"/>
        <w:pBdr/>
        <w:bidi w:val="0"/>
        <w:spacing w:before="0" w:after="0"/>
        <w:ind w:left="0" w:right="0" w:hanging="0"/>
        <w:jc w:val="left"/>
        <w:rPr>
          <w:rFonts w:ascii="Aptos" w:hAnsi="Aptos"/>
          <w:sz w:val="24"/>
        </w:rPr>
      </w:pPr>
      <w:r>
        <w:rPr>
          <w:rFonts w:ascii="Book Antiqua" w:hAnsi="Book Antiqua"/>
          <w:sz w:val="24"/>
        </w:rPr>
        <w:t>d.</w:t>
      </w:r>
      <w:r>
        <w:rPr>
          <w:rFonts w:ascii="Book Antiqua" w:hAnsi="Book Antiqua"/>
          <w:sz w:val="24"/>
          <w:u w:val="single"/>
        </w:rPr>
        <w:t>Choice of Law</w:t>
      </w:r>
      <w:r>
        <w:rPr>
          <w:rFonts w:ascii="Book Antiqua" w:hAnsi="Book Antiqua"/>
          <w:sz w:val="24"/>
        </w:rPr>
        <w:t xml:space="preserve">. The interpretation, construction and enforcement of this </w:t>
      </w:r>
    </w:p>
    <w:p>
      <w:pPr>
        <w:pStyle w:val="TextBody"/>
        <w:bidi w:val="0"/>
        <w:spacing w:lineRule="auto" w:line="285" w:before="0" w:after="0"/>
        <w:ind w:left="0" w:right="0" w:hanging="0"/>
        <w:jc w:val="right"/>
        <w:rPr>
          <w:rFonts w:ascii="Aptos" w:hAnsi="Aptos"/>
          <w:sz w:val="20"/>
        </w:rPr>
      </w:pPr>
      <w:r>
        <w:rPr>
          <w:rFonts w:ascii="Times New Roman;Times;serif" w:hAnsi="Times New Roman;Times;serif"/>
          <w:sz w:val="20"/>
        </w:rPr>
        <w:t>3</w:t>
      </w:r>
      <w:r>
        <w:rPr>
          <w:rFonts w:ascii="Aptos" w:hAnsi="Aptos"/>
          <w:sz w:val="20"/>
        </w:rPr>
        <w:t xml:space="preserve"> </w:t>
      </w:r>
      <w:r>
        <w:rPr>
          <w:rFonts w:ascii="Times New Roman;Times;serif" w:hAnsi="Times New Roman;Times;serif"/>
          <w:sz w:val="20"/>
        </w:rPr>
        <w:t>of 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before="0" w:after="0"/>
        <w:ind w:left="1296" w:right="0" w:hanging="0"/>
        <w:jc w:val="left"/>
        <w:rPr>
          <w:rFonts w:ascii="Book Antiqua" w:hAnsi="Book Antiqua"/>
          <w:sz w:val="24"/>
        </w:rPr>
      </w:pPr>
      <w:r>
        <w:rPr>
          <w:rFonts w:ascii="Book Antiqua" w:hAnsi="Book Antiqua"/>
          <w:sz w:val="24"/>
        </w:rPr>
        <w:t>Agreement will be governed by the laws of the State of California exclusively, without reference to the laws of any other state or country, subject to the laws, rules or regulations of the United States to the extent applicable. Courts in California shall be the sole mandatory and exclusive venue and jurisdiction for the enforcement of this Agreement or any litigation related to or arising from the Agreement.</w:t>
      </w:r>
    </w:p>
    <w:p>
      <w:pPr>
        <w:pStyle w:val="TextBody"/>
        <w:pBdr/>
        <w:bidi w:val="0"/>
        <w:spacing w:lineRule="auto" w:line="331" w:before="0" w:after="160"/>
        <w:ind w:left="0" w:right="0" w:hanging="1296"/>
        <w:jc w:val="left"/>
        <w:rPr/>
      </w:pPr>
      <w:r>
        <w:rPr/>
        <w:t>​</w:t>
      </w:r>
    </w:p>
    <w:p>
      <w:pPr>
        <w:pStyle w:val="TextBody"/>
        <w:pBdr/>
        <w:bidi w:val="0"/>
        <w:spacing w:lineRule="auto" w:line="331" w:before="0" w:after="160"/>
        <w:ind w:left="0" w:right="0" w:hanging="1296"/>
        <w:jc w:val="left"/>
        <w:rPr/>
      </w:pPr>
      <w:r>
        <w:rPr/>
        <w:t>​</w:t>
      </w:r>
    </w:p>
    <w:p>
      <w:pPr>
        <w:pStyle w:val="TextBody"/>
        <w:pBdr/>
        <w:bidi w:val="0"/>
        <w:spacing w:before="0" w:after="0"/>
        <w:ind w:left="0" w:right="0" w:hanging="1296"/>
        <w:jc w:val="left"/>
        <w:rPr>
          <w:rFonts w:ascii="Book Antiqua" w:hAnsi="Book Antiqua"/>
          <w:sz w:val="24"/>
        </w:rPr>
      </w:pPr>
      <w:r>
        <w:rPr>
          <w:rFonts w:ascii="Book Antiqua" w:hAnsi="Book Antiqua"/>
          <w:sz w:val="24"/>
        </w:rPr>
        <w:t>CONSULTANTMATSON LOGISTICS, INC.</w:t>
      </w:r>
    </w:p>
    <w:p>
      <w:pPr>
        <w:pStyle w:val="TextBody"/>
        <w:pBdr/>
        <w:bidi w:val="0"/>
        <w:spacing w:lineRule="auto" w:line="331" w:before="0" w:after="160"/>
        <w:ind w:left="0" w:right="0" w:hanging="1296"/>
        <w:jc w:val="left"/>
        <w:rPr/>
      </w:pPr>
      <w:r>
        <w:rPr/>
        <w:t>​</w:t>
      </w:r>
    </w:p>
    <w:p>
      <w:pPr>
        <w:pStyle w:val="TextBody"/>
        <w:pBdr/>
        <w:bidi w:val="0"/>
        <w:spacing w:lineRule="auto" w:line="331" w:before="0" w:after="160"/>
        <w:ind w:left="0" w:right="0" w:hanging="1296"/>
        <w:jc w:val="left"/>
        <w:rPr/>
      </w:pPr>
      <w:r>
        <w:rPr/>
        <w:t>​</w:t>
      </w:r>
    </w:p>
    <w:p>
      <w:pPr>
        <w:pStyle w:val="TextBody"/>
        <w:pBdr/>
        <w:bidi w:val="0"/>
        <w:spacing w:before="0" w:after="0"/>
        <w:ind w:left="0" w:right="0" w:hanging="1296"/>
        <w:jc w:val="left"/>
        <w:rPr>
          <w:rFonts w:ascii="Aptos" w:hAnsi="Aptos"/>
          <w:sz w:val="24"/>
        </w:rPr>
      </w:pPr>
      <w:r>
        <w:rPr>
          <w:rFonts w:ascii="Book Antiqua" w:hAnsi="Book Antiqua"/>
          <w:sz w:val="24"/>
          <w:u w:val="single"/>
        </w:rPr>
        <w:t>/s/ Rusty Rolfe              </w:t>
      </w:r>
      <w:r>
        <w:rPr>
          <w:rFonts w:ascii="Aptos" w:hAnsi="Aptos"/>
          <w:sz w:val="24"/>
        </w:rPr>
        <w:t xml:space="preserve"> </w:t>
      </w:r>
      <w:r>
        <w:rPr>
          <w:rFonts w:ascii="Book Antiqua" w:hAnsi="Book Antiqua"/>
          <w:sz w:val="24"/>
          <w:u w:val="single"/>
        </w:rPr>
        <w:t>/s/ Matthew J. Cox                 </w:t>
      </w:r>
    </w:p>
    <w:p>
      <w:pPr>
        <w:pStyle w:val="TextBody"/>
        <w:pBdr/>
        <w:bidi w:val="0"/>
        <w:spacing w:before="0" w:after="0"/>
        <w:ind w:left="0" w:right="0" w:hanging="0"/>
        <w:jc w:val="left"/>
        <w:rPr>
          <w:rFonts w:ascii="Aptos" w:hAnsi="Aptos"/>
          <w:sz w:val="24"/>
        </w:rPr>
      </w:pPr>
      <w:r>
        <w:rPr>
          <w:rFonts w:ascii="Book Antiqua" w:hAnsi="Book Antiqua"/>
          <w:b w:val="false"/>
          <w:i w:val="false"/>
          <w:caps w:val="false"/>
          <w:smallCaps w:val="false"/>
          <w:sz w:val="24"/>
        </w:rPr>
        <w:t>Rusty Rolfe</w:t>
      </w:r>
      <w:r>
        <w:rPr>
          <w:rFonts w:ascii="Book Antiqua" w:hAnsi="Book Antiqua"/>
          <w:sz w:val="24"/>
        </w:rPr>
        <w:t>Matthew J. Cox</w:t>
      </w:r>
    </w:p>
    <w:p>
      <w:pPr>
        <w:pStyle w:val="TextBody"/>
        <w:pBdr/>
        <w:bidi w:val="0"/>
        <w:spacing w:before="0" w:after="0"/>
        <w:ind w:left="0" w:right="0" w:hanging="0"/>
        <w:jc w:val="left"/>
        <w:rPr>
          <w:rFonts w:ascii="Book Antiqua" w:hAnsi="Book Antiqua"/>
          <w:sz w:val="24"/>
        </w:rPr>
      </w:pPr>
      <w:r>
        <w:rPr>
          <w:rFonts w:ascii="Book Antiqua" w:hAnsi="Book Antiqua"/>
          <w:sz w:val="24"/>
        </w:rPr>
        <w:t>Chairman of the Board</w:t>
      </w:r>
    </w:p>
    <w:p>
      <w:pPr>
        <w:pStyle w:val="TextBody"/>
        <w:bidi w:val="0"/>
        <w:spacing w:lineRule="auto" w:line="285" w:before="0" w:after="0"/>
        <w:ind w:left="0" w:right="0" w:hanging="0"/>
        <w:jc w:val="right"/>
        <w:rPr>
          <w:rFonts w:ascii="Aptos" w:hAnsi="Aptos"/>
          <w:sz w:val="20"/>
        </w:rPr>
      </w:pPr>
      <w:r>
        <w:rPr>
          <w:rFonts w:ascii="Times New Roman;Times;serif" w:hAnsi="Times New Roman;Times;serif"/>
          <w:sz w:val="20"/>
        </w:rPr>
        <w:t>4</w:t>
      </w:r>
      <w:r>
        <w:rPr>
          <w:rFonts w:ascii="Aptos" w:hAnsi="Aptos"/>
          <w:sz w:val="20"/>
        </w:rPr>
        <w:t xml:space="preserve"> </w:t>
      </w:r>
      <w:r>
        <w:rPr>
          <w:rFonts w:ascii="Times New Roman;Times;serif" w:hAnsi="Times New Roman;Times;serif"/>
          <w:sz w:val="20"/>
        </w:rPr>
        <w:t>of 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2"/>
        </w:rPr>
      </w:pPr>
      <w:bookmarkStart w:id="1476" w:name="matx-20250630xex10d3.htm"/>
      <w:bookmarkStart w:id="1477" w:name="ksmatx20250630xex10d3"/>
      <w:bookmarkEnd w:id="1476"/>
      <w:bookmarkEnd w:id="1477"/>
      <w:r>
        <w:rPr>
          <w:rFonts w:ascii="Times New Roman;Times;serif" w:hAnsi="Times New Roman;Times;serif"/>
          <w:b/>
          <w:sz w:val="22"/>
        </w:rPr>
        <w:t>Exhibit 10.3</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i/>
          <w:sz w:val="22"/>
        </w:rPr>
      </w:pPr>
      <w:r>
        <w:rPr>
          <w:rFonts w:ascii="Times New Roman;Times;serif" w:hAnsi="Times New Roman;Times;serif"/>
          <w:b/>
          <w:i/>
          <w:sz w:val="22"/>
        </w:rPr>
        <w:t>Execution Version</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pBdr>
          <w:top w:val="single" w:sz="8" w:space="1" w:color="000000"/>
        </w:pBdr>
        <w:bidi w:val="0"/>
        <w:spacing w:before="0" w:after="0"/>
        <w:ind w:left="0" w:right="0" w:hanging="0"/>
        <w:jc w:val="right"/>
        <w:rPr>
          <w:bdr w:val="single" w:sz="24" w:space="1" w:color="000000"/>
        </w:rPr>
      </w:pPr>
      <w:r>
        <w:rPr>
          <w:bdr w:val="single" w:sz="24" w:space="1" w:color="000000"/>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Deal CUSIP: 57686PAE5</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Revolver CUSIP: 57686PAF2</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THIRD AMENDED AND RESTATED CREDIT AGREEMENT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dated as of July 23,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among</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MATSON, INC.</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as the Borrower,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BANK OF AMERICA, N.A.</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as Agent,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before="0" w:after="0"/>
        <w:ind w:left="0" w:right="0" w:hanging="0"/>
        <w:jc w:val="center"/>
        <w:rPr/>
      </w:pPr>
      <w:r>
        <w:rPr/>
        <w:t>​</w:t>
      </w:r>
    </w:p>
    <w:p>
      <w:pPr>
        <w:pStyle w:val="TextBody"/>
        <w:bidi w:val="0"/>
        <w:spacing w:before="0" w:after="480"/>
        <w:ind w:left="0" w:right="0" w:hanging="0"/>
        <w:jc w:val="center"/>
        <w:rPr>
          <w:rFonts w:ascii="Times New Roman;Times;serif" w:hAnsi="Times New Roman;Times;serif"/>
          <w:sz w:val="22"/>
        </w:rPr>
      </w:pPr>
      <w:r>
        <w:rPr>
          <w:rFonts w:ascii="Times New Roman;Times;serif" w:hAnsi="Times New Roman;Times;serif"/>
          <w:sz w:val="22"/>
        </w:rPr>
        <w:t>the other Lenders party hereto,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FIRST HAWAIIAN BANK</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JPMORGAN CHASE BANK, N.A.</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PNC BANK, NATIONAL ASSOCIATION</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U.S. BANK NATIONAL ASSOCIATION</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as Co-Documentation Agents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BOFA SECURITIES, INC.</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as Sole Lead Arranger and Sole Bookrunner</w:t>
      </w:r>
    </w:p>
    <w:p>
      <w:pPr>
        <w:pStyle w:val="TextBody"/>
        <w:bidi w:val="0"/>
        <w:spacing w:before="0" w:after="0"/>
        <w:ind w:left="0" w:right="0" w:hanging="0"/>
        <w:jc w:val="center"/>
        <w:rPr/>
      </w:pPr>
      <w:r>
        <w:rPr/>
        <w:t>​</w:t>
      </w:r>
    </w:p>
    <w:p>
      <w:pPr>
        <w:pStyle w:val="TextBody"/>
        <w:pBdr>
          <w:bottom w:val="single" w:sz="24" w:space="1" w:color="000000"/>
        </w:pBdr>
        <w:bidi w:val="0"/>
        <w:spacing w:before="0" w:after="0"/>
        <w:ind w:left="0" w:right="0" w:hanging="0"/>
        <w:jc w:val="center"/>
        <w:rPr>
          <w:bdr w:val="single" w:sz="8" w:space="1" w:color="000000"/>
        </w:rPr>
      </w:pPr>
      <w:r>
        <w:rPr>
          <w:bdr w:val="single" w:sz="8" w:space="1" w:color="000000"/>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TABLE OF CONTENTS</w:t>
      </w:r>
    </w:p>
    <w:p>
      <w:pPr>
        <w:pStyle w:val="TextBody"/>
        <w:bidi w:val="0"/>
        <w:spacing w:before="0" w:after="0"/>
        <w:ind w:left="0" w:right="0" w:hanging="0"/>
        <w:jc w:val="left"/>
        <w:rPr/>
      </w:pPr>
      <w:r>
        <w:rPr/>
        <w:t>​</w:t>
      </w:r>
    </w:p>
    <w:tbl>
      <w:tblPr>
        <w:tblW w:w="8868" w:type="dxa"/>
        <w:jc w:val="left"/>
        <w:tblInd w:w="0" w:type="dxa"/>
        <w:tblLayout w:type="fixed"/>
        <w:tblCellMar>
          <w:top w:w="0" w:type="dxa"/>
          <w:left w:w="0" w:type="dxa"/>
          <w:bottom w:w="0" w:type="dxa"/>
          <w:right w:w="0" w:type="dxa"/>
        </w:tblCellMar>
      </w:tblPr>
      <w:tblGrid>
        <w:gridCol w:w="541"/>
        <w:gridCol w:w="7726"/>
        <w:gridCol w:w="601"/>
      </w:tblGrid>
      <w:tr>
        <w:trPr/>
        <w:tc>
          <w:tcPr>
            <w:tcW w:w="541" w:type="dxa"/>
            <w:tcBorders/>
            <w:vAlign w:val="center"/>
          </w:tcPr>
          <w:p>
            <w:pPr>
              <w:pStyle w:val="TableContents"/>
              <w:bidi w:val="0"/>
              <w:spacing w:before="0" w:after="0"/>
              <w:ind w:left="0" w:right="0" w:hanging="0"/>
              <w:jc w:val="left"/>
              <w:rPr/>
            </w:pPr>
            <w:r>
              <w:rPr/>
              <w:t>​</w:t>
            </w:r>
          </w:p>
        </w:tc>
        <w:tc>
          <w:tcPr>
            <w:tcW w:w="7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906010" cy="175260"/>
                      <wp:effectExtent l="0" t="0" r="0" b="0"/>
                      <wp:wrapNone/>
                      <wp:docPr id="496" name="Frame496"/>
                      <a:graphic xmlns:a="http://schemas.openxmlformats.org/drawingml/2006/main">
                        <a:graphicData uri="http://schemas.microsoft.com/office/word/2010/wordprocessingShape">
                          <wps:wsp>
                            <wps:cNvSpPr txBox="1"/>
                            <wps:spPr>
                              <a:xfrm>
                                <a:off x="0" y="0"/>
                                <a:ext cx="490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381635" cy="175260"/>
                      <wp:effectExtent l="0" t="0" r="0" b="0"/>
                      <wp:wrapNone/>
                      <wp:docPr id="497" name="Frame49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267" w:type="dxa"/>
            <w:gridSpan w:val="2"/>
            <w:tcBorders/>
            <w:vAlign w:val="center"/>
          </w:tcPr>
          <w:p>
            <w:pPr>
              <w:pStyle w:val="TableContents"/>
              <w:bidi w:val="0"/>
              <w:spacing w:before="0" w:after="0"/>
              <w:ind w:left="0" w:right="0" w:hanging="0"/>
              <w:jc w:val="left"/>
              <w:rPr>
                <w:rFonts w:ascii="Times New Roman;Times;serif" w:hAnsi="Times New Roman;Times;serif"/>
                <w:sz w:val="22"/>
                <w:u w:val="single"/>
              </w:rPr>
            </w:pPr>
            <w:r>
              <w:rPr>
                <w:rFonts w:ascii="Times New Roman;Times;serif" w:hAnsi="Times New Roman;Times;serif"/>
                <w:sz w:val="22"/>
                <w:u w:val="single"/>
              </w:rPr>
              <w:t>Section</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u w:val="single"/>
              </w:rPr>
            </w:pPr>
            <w:r>
              <w:rPr>
                <w:rFonts w:ascii="Times New Roman;Times;serif" w:hAnsi="Times New Roman;Times;serif"/>
                <w:sz w:val="22"/>
                <w:u w:val="single"/>
              </w:rPr>
              <w:t>Page</w:t>
            </w:r>
          </w:p>
        </w:tc>
      </w:tr>
      <w:tr>
        <w:trPr/>
        <w:tc>
          <w:tcPr>
            <w:tcW w:w="8267" w:type="dxa"/>
            <w:gridSpan w:val="2"/>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26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ARTICLE I. DEFINITIONS AND ACCOUNTING TERMS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w:t>
            </w:r>
          </w:p>
        </w:tc>
      </w:tr>
      <w:tr>
        <w:trPr/>
        <w:tc>
          <w:tcPr>
            <w:tcW w:w="541" w:type="dxa"/>
            <w:tcBorders/>
            <w:vAlign w:val="center"/>
          </w:tcPr>
          <w:p>
            <w:pPr>
              <w:pStyle w:val="TableContents"/>
              <w:bidi w:val="0"/>
              <w:spacing w:before="0" w:after="0"/>
              <w:ind w:left="0" w:right="0" w:hanging="0"/>
              <w:jc w:val="left"/>
              <w:rPr/>
            </w:pPr>
            <w:r>
              <w:rPr/>
              <w:t>​</w:t>
            </w:r>
          </w:p>
        </w:tc>
        <w:tc>
          <w:tcPr>
            <w:tcW w:w="77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1.01</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Defined Terms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1.02</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Other Interpretive Provisions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1.03</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Accounting Terms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1.04</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Rounding</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1.05</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Times of Day</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1.06</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Letter of Credit Amounts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1.07</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Rates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w:t>
            </w:r>
          </w:p>
        </w:tc>
      </w:tr>
      <w:tr>
        <w:trPr/>
        <w:tc>
          <w:tcPr>
            <w:tcW w:w="8267" w:type="dxa"/>
            <w:gridSpan w:val="2"/>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26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ARTICLE II. THE COMMITMENTS AND CREDIT EXTENSIONS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w:t>
            </w:r>
          </w:p>
        </w:tc>
      </w:tr>
      <w:tr>
        <w:trPr/>
        <w:tc>
          <w:tcPr>
            <w:tcW w:w="541" w:type="dxa"/>
            <w:tcBorders/>
            <w:vAlign w:val="center"/>
          </w:tcPr>
          <w:p>
            <w:pPr>
              <w:pStyle w:val="TableContents"/>
              <w:bidi w:val="0"/>
              <w:spacing w:before="0" w:after="0"/>
              <w:ind w:left="0" w:right="0" w:hanging="0"/>
              <w:jc w:val="left"/>
              <w:rPr/>
            </w:pPr>
            <w:r>
              <w:rPr/>
              <w:t>​</w:t>
            </w:r>
          </w:p>
        </w:tc>
        <w:tc>
          <w:tcPr>
            <w:tcW w:w="77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2.01</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Committed Loans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2.02</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Borrowings, Conversions and Continuations of Committed Loans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2.03</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Letters of Credit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2.04</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Swing Line Loans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2.05</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Prepayments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2.06</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Termination or Reduction of Aggregate Commitments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2.07</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Repayment of Loans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2.08</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Interest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2.09</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Fees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42</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2.10</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Computation of Interest and Fees; Retroactive Adjustment of Applicable Rate</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2.11</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Evidence of Debt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2.12</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Payments Generally; Agent’s Clawback</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44</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2.13</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Sharing of Payments by Lenders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2.14</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Increases of Aggregate Commitments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2.15</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Cash Collateral</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47</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2.16</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Defaulting Lenders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48</w:t>
            </w:r>
          </w:p>
        </w:tc>
      </w:tr>
      <w:tr>
        <w:trPr/>
        <w:tc>
          <w:tcPr>
            <w:tcW w:w="8267" w:type="dxa"/>
            <w:gridSpan w:val="2"/>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26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ARTICLE III. TAXES, YIELD PROTECTION AND ILLEGALITY</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51</w:t>
            </w:r>
          </w:p>
        </w:tc>
      </w:tr>
      <w:tr>
        <w:trPr/>
        <w:tc>
          <w:tcPr>
            <w:tcW w:w="541" w:type="dxa"/>
            <w:tcBorders/>
            <w:vAlign w:val="center"/>
          </w:tcPr>
          <w:p>
            <w:pPr>
              <w:pStyle w:val="TableContents"/>
              <w:bidi w:val="0"/>
              <w:spacing w:before="0" w:after="0"/>
              <w:ind w:left="0" w:right="0" w:hanging="0"/>
              <w:jc w:val="left"/>
              <w:rPr/>
            </w:pPr>
            <w:r>
              <w:rPr/>
              <w:t>​</w:t>
            </w:r>
          </w:p>
        </w:tc>
        <w:tc>
          <w:tcPr>
            <w:tcW w:w="77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3.01</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Taxes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3.02</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Illegality</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3.03</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Inability to Determine Rates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3.04</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Increased Costs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58</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3.05</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Compensation for Losses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60</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3.06</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Mitigation Obligations; Replacement of Lenders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60</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3.07</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Survival</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60</w:t>
            </w:r>
          </w:p>
        </w:tc>
      </w:tr>
      <w:tr>
        <w:trPr/>
        <w:tc>
          <w:tcPr>
            <w:tcW w:w="8267" w:type="dxa"/>
            <w:gridSpan w:val="2"/>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26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ARTICLE IV. CONDITIONS PRECEDENT TO CREDIT EXTENSIONS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61</w:t>
            </w:r>
          </w:p>
        </w:tc>
      </w:tr>
      <w:tr>
        <w:trPr/>
        <w:tc>
          <w:tcPr>
            <w:tcW w:w="541" w:type="dxa"/>
            <w:tcBorders/>
            <w:vAlign w:val="center"/>
          </w:tcPr>
          <w:p>
            <w:pPr>
              <w:pStyle w:val="TableContents"/>
              <w:bidi w:val="0"/>
              <w:spacing w:before="0" w:after="0"/>
              <w:ind w:left="0" w:right="0" w:hanging="0"/>
              <w:jc w:val="left"/>
              <w:rPr/>
            </w:pPr>
            <w:r>
              <w:rPr/>
              <w:t>​</w:t>
            </w:r>
          </w:p>
        </w:tc>
        <w:tc>
          <w:tcPr>
            <w:tcW w:w="77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4.01</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Conditions to Effectiveness and Initial Credit Extensions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4.02</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Conditions to all Credit Extensions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62</w:t>
            </w:r>
          </w:p>
        </w:tc>
      </w:tr>
      <w:tr>
        <w:trPr/>
        <w:tc>
          <w:tcPr>
            <w:tcW w:w="8267" w:type="dxa"/>
            <w:gridSpan w:val="2"/>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26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ARTICLE V. REPRESENTATIONS AND WARRANTIES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63</w:t>
            </w:r>
          </w:p>
        </w:tc>
      </w:tr>
      <w:tr>
        <w:trPr/>
        <w:tc>
          <w:tcPr>
            <w:tcW w:w="541" w:type="dxa"/>
            <w:tcBorders/>
            <w:vAlign w:val="center"/>
          </w:tcPr>
          <w:p>
            <w:pPr>
              <w:pStyle w:val="TableContents"/>
              <w:bidi w:val="0"/>
              <w:spacing w:before="0" w:after="0"/>
              <w:ind w:left="0" w:right="0" w:hanging="0"/>
              <w:jc w:val="left"/>
              <w:rPr/>
            </w:pPr>
            <w:r>
              <w:rPr/>
              <w:t>​</w:t>
            </w:r>
          </w:p>
        </w:tc>
        <w:tc>
          <w:tcPr>
            <w:tcW w:w="77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5.01</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Organization</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5.02</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Financial Statements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5.03</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Actions Pending</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5.04</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Outstanding Debt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5.05</w:t>
            </w:r>
          </w:p>
        </w:tc>
        <w:tc>
          <w:tcPr>
            <w:tcW w:w="772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Title to Properties</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tbl>
      <w:tblPr>
        <w:tblW w:w="6031" w:type="dxa"/>
        <w:jc w:val="left"/>
        <w:tblInd w:w="0" w:type="dxa"/>
        <w:tblLayout w:type="fixed"/>
        <w:tblCellMar>
          <w:top w:w="0" w:type="dxa"/>
          <w:left w:w="0" w:type="dxa"/>
          <w:bottom w:w="0" w:type="dxa"/>
          <w:right w:w="0" w:type="dxa"/>
        </w:tblCellMar>
      </w:tblPr>
      <w:tblGrid>
        <w:gridCol w:w="627"/>
        <w:gridCol w:w="5013"/>
        <w:gridCol w:w="391"/>
      </w:tblGrid>
      <w:tr>
        <w:trPr/>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398145" cy="175260"/>
                      <wp:effectExtent l="0" t="0" r="0" b="0"/>
                      <wp:wrapNone/>
                      <wp:docPr id="498" name="Frame498"/>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3183255" cy="175260"/>
                      <wp:effectExtent l="0" t="0" r="0" b="0"/>
                      <wp:wrapNone/>
                      <wp:docPr id="499" name="Frame499"/>
                      <a:graphic xmlns:a="http://schemas.openxmlformats.org/drawingml/2006/main">
                        <a:graphicData uri="http://schemas.microsoft.com/office/word/2010/wordprocessingShape">
                          <wps:wsp>
                            <wps:cNvSpPr txBox="1"/>
                            <wps:spPr>
                              <a:xfrm>
                                <a:off x="0" y="0"/>
                                <a:ext cx="318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48285" cy="175260"/>
                      <wp:effectExtent l="0" t="0" r="0" b="0"/>
                      <wp:wrapNone/>
                      <wp:docPr id="500" name="Frame50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5.06</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Taxes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5.07</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Conflicting Agreements and Other Matters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5.08</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Subsidiaries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5.09</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ERISA</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5.10</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Government Consent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65</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5.11</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Investment Company Status; Margin Stock</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65</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5.12</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Possession of Franchises, Licenses, Etc</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65</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5.13</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Environmental and Safety Matters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65</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5.14</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Hostile Tender Offers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65</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5.15</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Employee Relations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66</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5.16</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Sanctions and Anti-Corruption Laws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66</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5.17</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Disclosure</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66</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5.18</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 Affected Financial Institution</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66</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5.19</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Outbound Investment Rules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66</w:t>
            </w:r>
          </w:p>
        </w:tc>
      </w:tr>
      <w:tr>
        <w:trPr/>
        <w:tc>
          <w:tcPr>
            <w:tcW w:w="5640" w:type="dxa"/>
            <w:gridSpan w:val="2"/>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564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ARTICLE VI. AFFIRMATIVE COVENANTS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67</w:t>
            </w:r>
          </w:p>
        </w:tc>
      </w:tr>
      <w:tr>
        <w:trPr/>
        <w:tc>
          <w:tcPr>
            <w:tcW w:w="627" w:type="dxa"/>
            <w:tcBorders/>
            <w:vAlign w:val="center"/>
          </w:tcPr>
          <w:p>
            <w:pPr>
              <w:pStyle w:val="TableContents"/>
              <w:bidi w:val="0"/>
              <w:spacing w:before="0" w:after="0"/>
              <w:ind w:left="0" w:right="0" w:hanging="0"/>
              <w:jc w:val="left"/>
              <w:rPr/>
            </w:pPr>
            <w:r>
              <w:rPr/>
              <w:t>​</w:t>
            </w:r>
          </w:p>
        </w:tc>
        <w:tc>
          <w:tcPr>
            <w:tcW w:w="5013"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6.01</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Financial Information</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67</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6.02</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Inspection of Property</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69</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6.03</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Covenant to Secure Obligations Equally</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69</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6.04</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Maintenance of Properties; Insurance</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69</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6.05</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Environmental and Safety Laws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69</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6.06</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Use of Proceeds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70</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6.07</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United States Citizen</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70</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6.08</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Guarantors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70</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6.09</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Collateral</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71</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6.10</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Anti-Corruption Laws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71</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6.11</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Incumbency Certificates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71</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6.12</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KYC Information</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71</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6.13</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Most-Favored Lender</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71</w:t>
            </w:r>
          </w:p>
        </w:tc>
      </w:tr>
      <w:tr>
        <w:trPr/>
        <w:tc>
          <w:tcPr>
            <w:tcW w:w="5640" w:type="dxa"/>
            <w:gridSpan w:val="2"/>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564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ARTICLE VII. NEGATIVE COVENANTS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72</w:t>
            </w:r>
          </w:p>
        </w:tc>
      </w:tr>
      <w:tr>
        <w:trPr/>
        <w:tc>
          <w:tcPr>
            <w:tcW w:w="627" w:type="dxa"/>
            <w:tcBorders/>
            <w:vAlign w:val="center"/>
          </w:tcPr>
          <w:p>
            <w:pPr>
              <w:pStyle w:val="TableContents"/>
              <w:bidi w:val="0"/>
              <w:spacing w:before="0" w:after="0"/>
              <w:ind w:left="0" w:right="0" w:hanging="0"/>
              <w:jc w:val="left"/>
              <w:rPr/>
            </w:pPr>
            <w:r>
              <w:rPr/>
              <w:t>​</w:t>
            </w:r>
          </w:p>
        </w:tc>
        <w:tc>
          <w:tcPr>
            <w:tcW w:w="5013"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7.01</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Financial Covenants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72</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7.02</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Liens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72</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7.03</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Loans, Advances and Investments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73</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7.04</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Merger</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74</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7.05</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Sale of Capital Assets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75</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7.06</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Use of Proceeds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75</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7.07</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Transactions with Affiliates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75</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7.08</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Dividend Limitation</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75</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7.09</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Sanctions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75</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7.10</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Anti-Corruption Laws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76</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7.11</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Outbound Investment Rules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76</w:t>
            </w:r>
          </w:p>
        </w:tc>
      </w:tr>
      <w:tr>
        <w:trPr/>
        <w:tc>
          <w:tcPr>
            <w:tcW w:w="5640" w:type="dxa"/>
            <w:gridSpan w:val="2"/>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564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ARTICLE VIII. EVENTS OF DEFAULT AND REMEDIES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76</w:t>
            </w:r>
          </w:p>
        </w:tc>
      </w:tr>
      <w:tr>
        <w:trPr/>
        <w:tc>
          <w:tcPr>
            <w:tcW w:w="627" w:type="dxa"/>
            <w:tcBorders/>
            <w:vAlign w:val="center"/>
          </w:tcPr>
          <w:p>
            <w:pPr>
              <w:pStyle w:val="TableContents"/>
              <w:bidi w:val="0"/>
              <w:spacing w:before="0" w:after="0"/>
              <w:ind w:left="0" w:right="0" w:hanging="0"/>
              <w:jc w:val="left"/>
              <w:rPr/>
            </w:pPr>
            <w:r>
              <w:rPr/>
              <w:t>​</w:t>
            </w:r>
          </w:p>
        </w:tc>
        <w:tc>
          <w:tcPr>
            <w:tcW w:w="5013"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8.01</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Events of Default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76</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8.02</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Remedies Upon Event of Default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78</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8.03</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Application of Funds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79</w:t>
            </w:r>
          </w:p>
        </w:tc>
      </w:tr>
      <w:tr>
        <w:trPr/>
        <w:tc>
          <w:tcPr>
            <w:tcW w:w="5640" w:type="dxa"/>
            <w:gridSpan w:val="2"/>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564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ARTICLE IX. AGENT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79</w:t>
            </w:r>
          </w:p>
        </w:tc>
      </w:tr>
      <w:tr>
        <w:trPr/>
        <w:tc>
          <w:tcPr>
            <w:tcW w:w="627" w:type="dxa"/>
            <w:tcBorders/>
            <w:vAlign w:val="center"/>
          </w:tcPr>
          <w:p>
            <w:pPr>
              <w:pStyle w:val="TableContents"/>
              <w:bidi w:val="0"/>
              <w:spacing w:before="0" w:after="0"/>
              <w:ind w:left="0" w:right="0" w:hanging="0"/>
              <w:jc w:val="left"/>
              <w:rPr/>
            </w:pPr>
            <w:r>
              <w:rPr/>
              <w:t>​</w:t>
            </w:r>
          </w:p>
        </w:tc>
        <w:tc>
          <w:tcPr>
            <w:tcW w:w="5013"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9.01</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Appointment and Authority</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79</w:t>
            </w:r>
          </w:p>
        </w:tc>
      </w:tr>
      <w:tr>
        <w:trPr/>
        <w:tc>
          <w:tcPr>
            <w:tcW w:w="627"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9.02</w:t>
            </w:r>
          </w:p>
        </w:tc>
        <w:tc>
          <w:tcPr>
            <w:tcW w:w="5013"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Rights as a Lender</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HorizontalLine"/>
        <w:pBdr>
          <w:bottom w:val="double" w:sz="2" w:space="0" w:color="808080"/>
        </w:pBdr>
        <w:bidi w:val="0"/>
        <w:spacing w:before="0" w:after="283"/>
        <w:jc w:val="left"/>
        <w:rPr/>
      </w:pPr>
      <w:r>
        <w:rPr/>
      </w:r>
    </w:p>
    <w:tbl>
      <w:tblPr>
        <w:tblW w:w="8583" w:type="dxa"/>
        <w:jc w:val="left"/>
        <w:tblInd w:w="0" w:type="dxa"/>
        <w:tblLayout w:type="fixed"/>
        <w:tblCellMar>
          <w:top w:w="0" w:type="dxa"/>
          <w:left w:w="0" w:type="dxa"/>
          <w:bottom w:w="0" w:type="dxa"/>
          <w:right w:w="0" w:type="dxa"/>
        </w:tblCellMar>
      </w:tblPr>
      <w:tblGrid>
        <w:gridCol w:w="661"/>
        <w:gridCol w:w="7411"/>
        <w:gridCol w:w="511"/>
      </w:tblGrid>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9.03</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Exculpatory Provisions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80</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9.04</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Reliance by Agent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81</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9.05</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Delegation of Duties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82</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9.06</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Resignation of Agent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82</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9.07</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Non-Reliance on Agent and Other Lenders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83</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9.08</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 Other Duties, Etc</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84</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9.09</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Guaranty Matters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84</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9.10</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Certain ERISA Matters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84</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9.11</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Recovery of Erroneous Payments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85</w:t>
            </w:r>
          </w:p>
        </w:tc>
      </w:tr>
      <w:tr>
        <w:trPr/>
        <w:tc>
          <w:tcPr>
            <w:tcW w:w="8072" w:type="dxa"/>
            <w:gridSpan w:val="2"/>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07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ARTICLE X. MISCELLANEOUS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85</w:t>
            </w:r>
          </w:p>
        </w:tc>
      </w:tr>
      <w:tr>
        <w:trPr/>
        <w:tc>
          <w:tcPr>
            <w:tcW w:w="66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10.01</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Amendments, Etc</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85</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10.02</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Notices; Effectiveness; Electronic Communication</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87</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10.03</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 Waiver; Cumulative Remedies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90</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10.04</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Expenses; Indemnity; Damage Waiver</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90</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10.05</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Payments Set Aside</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92</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10.06</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Successors and Assigns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92</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10.07</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Treatment of Certain Information; Confidentiality</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97</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10.08</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Right of Setoff</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98</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10.09</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Interest Rate Limitation</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98</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10.10</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Integration; Effectiveness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98</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10.11</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Survival of Representations and Warranties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99</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10.12</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Severability</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99</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10.13</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Replacement of Lenders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99</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10.14</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Governing Law; Jurisdiction; Etc</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100</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10.15</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Waiver of Jury Trial</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101</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10.16</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 Advisory or Fiduciary Responsibility</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101</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10.17</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Electronic Execution of Assignments and Certain Other Documents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101</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10.18</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USA PATRIOT Act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102</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10.19</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Acknowledgement and Consent to Bail-In of Affected Financial Institutions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10.20</w:t>
            </w:r>
          </w:p>
        </w:tc>
        <w:tc>
          <w:tcPr>
            <w:tcW w:w="74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Acknowledgement Regarding Any Supported QFCs</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SCHEDULES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1.01</w:t>
      </w:r>
      <w:r>
        <w:rPr>
          <w:rFonts w:ascii="Times New Roman;Times;serif" w:hAnsi="Times New Roman;Times;serif"/>
          <w:sz w:val="22"/>
        </w:rPr>
        <w:t>Existing Letters of Credit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2.01</w:t>
      </w:r>
      <w:r>
        <w:rPr>
          <w:rFonts w:ascii="Times New Roman;Times;serif" w:hAnsi="Times New Roman;Times;serif"/>
          <w:sz w:val="22"/>
        </w:rPr>
        <w:t>Commitments and Applicable Percentages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2.03</w:t>
      </w:r>
      <w:r>
        <w:rPr>
          <w:rFonts w:ascii="Times New Roman;Times;serif" w:hAnsi="Times New Roman;Times;serif"/>
          <w:sz w:val="22"/>
        </w:rPr>
        <w:t>L/C Commitments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5.07</w:t>
      </w:r>
      <w:r>
        <w:rPr>
          <w:rFonts w:ascii="Times New Roman;Times;serif" w:hAnsi="Times New Roman;Times;serif"/>
          <w:sz w:val="22"/>
        </w:rPr>
        <w:t>Conflicting Agreements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5.08</w:t>
      </w:r>
      <w:r>
        <w:rPr>
          <w:rFonts w:ascii="Times New Roman;Times;serif" w:hAnsi="Times New Roman;Times;serif"/>
          <w:sz w:val="22"/>
        </w:rPr>
        <w:t>Material Domestic Subsidiaries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7.02</w:t>
      </w:r>
      <w:r>
        <w:rPr>
          <w:rFonts w:ascii="Times New Roman;Times;serif" w:hAnsi="Times New Roman;Times;serif"/>
          <w:sz w:val="22"/>
        </w:rPr>
        <w:t>Liens Existing on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10.02</w:t>
      </w:r>
      <w:r>
        <w:rPr>
          <w:rFonts w:ascii="Times New Roman;Times;serif" w:hAnsi="Times New Roman;Times;serif"/>
          <w:sz w:val="22"/>
        </w:rPr>
        <w:t>Agent’s Office; Certain Addresses for Notices</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EXHIBITS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Committed Loan Notice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Swing Line Loan Notice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Note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Tax Compliance Certificates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E-1</w:t>
      </w:r>
      <w:r>
        <w:rPr>
          <w:rFonts w:ascii="Times New Roman;Times;serif" w:hAnsi="Times New Roman;Times;serif"/>
          <w:sz w:val="22"/>
        </w:rPr>
        <w:t>Assignment and Assumption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E-2</w:t>
      </w:r>
      <w:r>
        <w:rPr>
          <w:rFonts w:ascii="Times New Roman;Times;serif" w:hAnsi="Times New Roman;Times;serif"/>
          <w:sz w:val="22"/>
        </w:rPr>
        <w:t>Administrative Questionnaire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Compliance Certificate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Notice of Loan Prepayment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Security Agreement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THIRD AMENDED AND RESTATED CREDIT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This THIRD AMENDED AND RESTATED CREDIT AGREEMENT (this “</w:t>
      </w:r>
      <w:r>
        <w:rPr>
          <w:rFonts w:ascii="Times New Roman;Times;serif" w:hAnsi="Times New Roman;Times;serif"/>
          <w:sz w:val="22"/>
          <w:u w:val="single"/>
        </w:rPr>
        <w:t>Agreement</w:t>
      </w:r>
      <w:r>
        <w:rPr>
          <w:rFonts w:ascii="Times New Roman;Times;serif" w:hAnsi="Times New Roman;Times;serif"/>
          <w:sz w:val="20"/>
        </w:rPr>
        <w:t>”</w:t>
      </w:r>
      <w:r>
        <w:rPr>
          <w:rFonts w:ascii="Times New Roman;Times;serif" w:hAnsi="Times New Roman;Times;serif"/>
          <w:sz w:val="22"/>
        </w:rPr>
        <w:t>) is entered into as of July 23, 2025 among MATSON, INC., a Hawaii corporation (the “</w:t>
      </w:r>
      <w:r>
        <w:rPr>
          <w:rFonts w:ascii="Times New Roman;Times;serif" w:hAnsi="Times New Roman;Times;serif"/>
          <w:sz w:val="22"/>
          <w:u w:val="single"/>
        </w:rPr>
        <w:t>Borrower</w:t>
      </w:r>
      <w:r>
        <w:rPr>
          <w:rFonts w:ascii="Times New Roman;Times;serif" w:hAnsi="Times New Roman;Times;serif"/>
          <w:sz w:val="20"/>
        </w:rPr>
        <w:t>”</w:t>
      </w:r>
      <w:r>
        <w:rPr>
          <w:rFonts w:ascii="Times New Roman;Times;serif" w:hAnsi="Times New Roman;Times;serif"/>
          <w:sz w:val="22"/>
        </w:rPr>
        <w:t>), the Lenders (as defined herein), BANK OF AMERICA, N.A., as Agent, Swing Line Lender and L/C Issuer, and FIRST HAWAIIAN BANK, as L/C Issuer.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The Borrower is party to a Second Amended and Restated Credit Agreement dated as of March 31, 2021 (as amended, supplemented or otherwise modified from time to time until (but not including) the date of this Agreement, the “</w:t>
      </w:r>
      <w:r>
        <w:rPr>
          <w:rFonts w:ascii="Times New Roman;Times;serif" w:hAnsi="Times New Roman;Times;serif"/>
          <w:sz w:val="22"/>
          <w:u w:val="single"/>
        </w:rPr>
        <w:t>Existing Credit Agreement</w:t>
      </w:r>
      <w:r>
        <w:rPr>
          <w:rFonts w:ascii="Times New Roman;Times;serif" w:hAnsi="Times New Roman;Times;serif"/>
          <w:sz w:val="20"/>
        </w:rPr>
        <w:t>”</w:t>
      </w:r>
      <w:r>
        <w:rPr>
          <w:rFonts w:ascii="Times New Roman;Times;serif" w:hAnsi="Times New Roman;Times;serif"/>
          <w:sz w:val="22"/>
        </w:rPr>
        <w:t>) with the lenders party thereto and Bank of America, N.A., as agent.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parties to this Agreement desire to amend the Existing Credit Agreement as set forth herein and to restate the Existing Credit Agreement in its entirety to read as follows.  This Agreement is not a novation of the Existing Credit Agreement.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In consideration of the mutual covenants and agreements herein contained, the parties hereto covenant and agree as follows: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DEFINITIONS AND ACCOUNTING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w:t>
      </w:r>
      <w:r>
        <w:rPr>
          <w:rFonts w:ascii="Times New Roman;Times;serif" w:hAnsi="Times New Roman;Times;serif"/>
          <w:b/>
          <w:sz w:val="22"/>
        </w:rPr>
        <w:t>Defined Terms.  </w:t>
      </w:r>
      <w:r>
        <w:rPr>
          <w:rFonts w:ascii="Times New Roman;Times;serif" w:hAnsi="Times New Roman;Times;serif"/>
          <w:sz w:val="22"/>
        </w:rPr>
        <w:t>As used in this Agreement, the following terms shall have the meanings set forth below:</w:t>
      </w:r>
    </w:p>
    <w:p>
      <w:pPr>
        <w:pStyle w:val="TextBody"/>
        <w:bidi w:val="0"/>
        <w:spacing w:before="0" w:after="240"/>
        <w:ind w:left="0" w:right="0" w:firstLine="720"/>
        <w:jc w:val="both"/>
        <w:rPr/>
      </w:pPr>
      <w:r>
        <w:rPr/>
        <w:t>“</w:t>
      </w:r>
      <w:r>
        <w:rPr>
          <w:rFonts w:ascii="Times New Roman;Times;serif" w:hAnsi="Times New Roman;Times;serif"/>
          <w:sz w:val="22"/>
          <w:u w:val="single"/>
        </w:rPr>
        <w:t>Acquisition</w:t>
      </w:r>
      <w:r>
        <w:rPr>
          <w:rFonts w:ascii="Times New Roman;Times;serif" w:hAnsi="Times New Roman;Times;serif"/>
          <w:sz w:val="20"/>
        </w:rPr>
        <w:t>”</w:t>
      </w:r>
      <w:r>
        <w:rPr>
          <w:rFonts w:ascii="Times New Roman;Times;serif" w:hAnsi="Times New Roman;Times;serif"/>
          <w:sz w:val="22"/>
        </w:rPr>
        <w:t>, by any Person, means the acquisition by such Person, in a single transaction or in a series of related transactions, of either (a) all or substantially all of the property of, or a line of business or division of, another Person or (b) at least a majority of the voting capital stock or other equity interests of another Person, in each case whether or not involving a merger or consolidation with such other Person.</w:t>
      </w:r>
    </w:p>
    <w:p>
      <w:pPr>
        <w:pStyle w:val="TextBody"/>
        <w:bidi w:val="0"/>
        <w:spacing w:before="0" w:after="240"/>
        <w:ind w:left="0" w:right="0" w:firstLine="720"/>
        <w:jc w:val="both"/>
        <w:rPr/>
      </w:pPr>
      <w:r>
        <w:rPr/>
        <w:t>“</w:t>
      </w:r>
      <w:r>
        <w:rPr>
          <w:rFonts w:ascii="Times New Roman;Times;serif" w:hAnsi="Times New Roman;Times;serif"/>
          <w:sz w:val="22"/>
          <w:u w:val="single"/>
        </w:rPr>
        <w:t>Administrative Questionnaire</w:t>
      </w:r>
      <w:r>
        <w:rPr>
          <w:rFonts w:ascii="Times New Roman;Times;serif" w:hAnsi="Times New Roman;Times;serif"/>
          <w:sz w:val="20"/>
        </w:rPr>
        <w:t xml:space="preserve">” </w:t>
      </w:r>
      <w:r>
        <w:rPr>
          <w:rFonts w:ascii="Times New Roman;Times;serif" w:hAnsi="Times New Roman;Times;serif"/>
          <w:sz w:val="22"/>
        </w:rPr>
        <w:t xml:space="preserve">means an Administrative Questionnaire in substantially the form of </w:t>
      </w:r>
      <w:r>
        <w:rPr>
          <w:rFonts w:ascii="Times New Roman;Times;serif" w:hAnsi="Times New Roman;Times;serif"/>
          <w:sz w:val="22"/>
          <w:u w:val="single"/>
        </w:rPr>
        <w:t>Exhibit E-2</w:t>
      </w:r>
      <w:r>
        <w:rPr>
          <w:rFonts w:ascii="Times New Roman;Times;serif" w:hAnsi="Times New Roman;Times;serif"/>
          <w:sz w:val="20"/>
        </w:rPr>
        <w:t xml:space="preserve"> </w:t>
      </w:r>
      <w:r>
        <w:rPr>
          <w:rFonts w:ascii="Times New Roman;Times;serif" w:hAnsi="Times New Roman;Times;serif"/>
          <w:sz w:val="22"/>
        </w:rPr>
        <w:t>or any other form approved by the Agent.</w:t>
      </w:r>
    </w:p>
    <w:p>
      <w:pPr>
        <w:pStyle w:val="TextBody"/>
        <w:bidi w:val="0"/>
        <w:spacing w:before="0" w:after="240"/>
        <w:ind w:left="0" w:right="0" w:firstLine="720"/>
        <w:jc w:val="both"/>
        <w:rPr/>
      </w:pPr>
      <w:r>
        <w:rPr/>
        <w:t>“</w:t>
      </w:r>
      <w:r>
        <w:rPr>
          <w:rFonts w:ascii="Times New Roman;Times;serif" w:hAnsi="Times New Roman;Times;serif"/>
          <w:sz w:val="22"/>
          <w:u w:val="single"/>
        </w:rPr>
        <w:t>Affected Financial Institution</w:t>
      </w:r>
      <w:r>
        <w:rPr>
          <w:rFonts w:ascii="Times New Roman;Times;serif" w:hAnsi="Times New Roman;Times;serif"/>
          <w:sz w:val="20"/>
        </w:rPr>
        <w:t xml:space="preserve">” </w:t>
      </w:r>
      <w:r>
        <w:rPr>
          <w:rFonts w:ascii="Times New Roman;Times;serif" w:hAnsi="Times New Roman;Times;serif"/>
          <w:sz w:val="22"/>
        </w:rPr>
        <w:t>means (a) any EEA Financial Institution or (b) any UK Financial Institution.</w:t>
      </w:r>
    </w:p>
    <w:p>
      <w:pPr>
        <w:pStyle w:val="TextBody"/>
        <w:bidi w:val="0"/>
        <w:spacing w:before="0" w:after="240"/>
        <w:ind w:left="0" w:right="0" w:firstLine="720"/>
        <w:jc w:val="both"/>
        <w:rPr/>
      </w:pPr>
      <w:r>
        <w:rPr/>
        <w:t>“</w:t>
      </w:r>
      <w:r>
        <w:rPr>
          <w:rFonts w:ascii="Times New Roman;Times;serif" w:hAnsi="Times New Roman;Times;serif"/>
          <w:sz w:val="22"/>
          <w:u w:val="single"/>
        </w:rPr>
        <w:t>Affiliate</w:t>
      </w:r>
      <w:r>
        <w:rPr>
          <w:rFonts w:ascii="Times New Roman;Times;serif" w:hAnsi="Times New Roman;Times;serif"/>
          <w:sz w:val="20"/>
        </w:rPr>
        <w:t xml:space="preserve">” </w:t>
      </w:r>
      <w:r>
        <w:rPr>
          <w:rFonts w:ascii="Times New Roman;Times;serif" w:hAnsi="Times New Roman;Times;serif"/>
          <w:sz w:val="22"/>
        </w:rPr>
        <w:t>means, without duplication, any Person directly or indirectly controlling, controlled by, or under direct or indirect common control with, another Person.  A Person shall be deemed to control another Person if such first Person possesses, directly or indirectly, the power to direct or cause the direction of the management and policies of such other Person, whether through the ownership of voting securities, by contract or otherwise.</w:t>
      </w:r>
    </w:p>
    <w:p>
      <w:pPr>
        <w:pStyle w:val="TextBody"/>
        <w:bidi w:val="0"/>
        <w:spacing w:before="0" w:after="240"/>
        <w:ind w:left="0" w:right="0" w:firstLine="720"/>
        <w:jc w:val="both"/>
        <w:rPr/>
      </w:pPr>
      <w:r>
        <w:rPr/>
        <w:t>“</w:t>
      </w:r>
      <w:r>
        <w:rPr>
          <w:rFonts w:ascii="Times New Roman;Times;serif" w:hAnsi="Times New Roman;Times;serif"/>
          <w:sz w:val="22"/>
          <w:u w:val="single"/>
        </w:rPr>
        <w:t>Agent</w:t>
      </w:r>
      <w:r>
        <w:rPr>
          <w:rFonts w:ascii="Times New Roman;Times;serif" w:hAnsi="Times New Roman;Times;serif"/>
          <w:sz w:val="20"/>
        </w:rPr>
        <w:t xml:space="preserve">” </w:t>
      </w:r>
      <w:r>
        <w:rPr>
          <w:rFonts w:ascii="Times New Roman;Times;serif" w:hAnsi="Times New Roman;Times;serif"/>
          <w:sz w:val="22"/>
        </w:rPr>
        <w:t>means Bank of America in its capacity as administrative agent under any of the Loan Documents, or any successor administrative agent.</w:t>
      </w:r>
    </w:p>
    <w:p>
      <w:pPr>
        <w:pStyle w:val="TextBody"/>
        <w:bidi w:val="0"/>
        <w:spacing w:before="0" w:after="240"/>
        <w:ind w:left="0" w:right="0" w:firstLine="720"/>
        <w:jc w:val="both"/>
        <w:rPr/>
      </w:pPr>
      <w:r>
        <w:rPr/>
        <w:t>“</w:t>
      </w:r>
      <w:r>
        <w:rPr>
          <w:rFonts w:ascii="Times New Roman;Times;serif" w:hAnsi="Times New Roman;Times;serif"/>
          <w:sz w:val="22"/>
          <w:u w:val="single"/>
        </w:rPr>
        <w:t>Agent’s Office</w:t>
      </w:r>
      <w:r>
        <w:rPr>
          <w:rFonts w:ascii="Times New Roman;Times;serif" w:hAnsi="Times New Roman;Times;serif"/>
          <w:sz w:val="20"/>
        </w:rPr>
        <w:t xml:space="preserve">” </w:t>
      </w:r>
      <w:r>
        <w:rPr>
          <w:rFonts w:ascii="Times New Roman;Times;serif" w:hAnsi="Times New Roman;Times;serif"/>
          <w:sz w:val="22"/>
        </w:rPr>
        <w:t xml:space="preserve">means the Agent’s address and, as appropriate, account as set forth on </w:t>
      </w:r>
      <w:r>
        <w:rPr>
          <w:rFonts w:ascii="Times New Roman;Times;serif" w:hAnsi="Times New Roman;Times;serif"/>
          <w:sz w:val="22"/>
          <w:u w:val="single"/>
        </w:rPr>
        <w:t>Schedule 10.02</w:t>
      </w:r>
      <w:r>
        <w:rPr>
          <w:rFonts w:ascii="Times New Roman;Times;serif" w:hAnsi="Times New Roman;Times;serif"/>
          <w:sz w:val="22"/>
        </w:rPr>
        <w:t>, or such other address or account as the Agent may from time to time notify the Borrower and the Lenders in writing.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Aggregate Commitments</w:t>
      </w:r>
      <w:r>
        <w:rPr>
          <w:rFonts w:ascii="Times New Roman;Times;serif" w:hAnsi="Times New Roman;Times;serif"/>
          <w:sz w:val="20"/>
        </w:rPr>
        <w:t xml:space="preserve">” </w:t>
      </w:r>
      <w:r>
        <w:rPr>
          <w:rFonts w:ascii="Times New Roman;Times;serif" w:hAnsi="Times New Roman;Times;serif"/>
          <w:sz w:val="22"/>
        </w:rPr>
        <w:t>means, as of any date of determination, the Commitments of all the Lenders.  The initial amount of the Aggregate Commitments in effect on the Closing Date is $550,000,000.  The Aggregate Commitments may be increased or decreased from time to time as provided herein.</w:t>
      </w:r>
    </w:p>
    <w:p>
      <w:pPr>
        <w:pStyle w:val="TextBody"/>
        <w:bidi w:val="0"/>
        <w:spacing w:before="0" w:after="240"/>
        <w:ind w:left="0" w:right="0" w:firstLine="720"/>
        <w:jc w:val="both"/>
        <w:rPr/>
      </w:pPr>
      <w:r>
        <w:rPr/>
        <w:t>“</w:t>
      </w:r>
      <w:r>
        <w:rPr>
          <w:rFonts w:ascii="Times New Roman;Times;serif" w:hAnsi="Times New Roman;Times;serif"/>
          <w:sz w:val="22"/>
          <w:u w:val="single"/>
        </w:rPr>
        <w:t>Agreement</w:t>
      </w:r>
      <w:r>
        <w:rPr>
          <w:rFonts w:ascii="Times New Roman;Times;serif" w:hAnsi="Times New Roman;Times;serif"/>
          <w:sz w:val="20"/>
        </w:rPr>
        <w:t xml:space="preserve">” </w:t>
      </w:r>
      <w:r>
        <w:rPr>
          <w:rFonts w:ascii="Times New Roman;Times;serif" w:hAnsi="Times New Roman;Times;serif"/>
          <w:sz w:val="22"/>
        </w:rPr>
        <w:t>means this Credit Agreement.</w:t>
      </w:r>
    </w:p>
    <w:p>
      <w:pPr>
        <w:pStyle w:val="TextBody"/>
        <w:bidi w:val="0"/>
        <w:spacing w:before="0" w:after="240"/>
        <w:ind w:left="0" w:right="0" w:firstLine="720"/>
        <w:jc w:val="both"/>
        <w:rPr/>
      </w:pPr>
      <w:r>
        <w:rPr/>
        <w:t>“</w:t>
      </w:r>
      <w:r>
        <w:rPr>
          <w:rFonts w:ascii="Times New Roman;Times;serif" w:hAnsi="Times New Roman;Times;serif"/>
          <w:sz w:val="22"/>
          <w:u w:val="single"/>
        </w:rPr>
        <w:t>Anti-Corruption Laws</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5.16(b)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Applicable Percentage</w:t>
      </w:r>
      <w:r>
        <w:rPr>
          <w:rFonts w:ascii="Times New Roman;Times;serif" w:hAnsi="Times New Roman;Times;serif"/>
          <w:sz w:val="20"/>
        </w:rPr>
        <w:t xml:space="preserve">” </w:t>
      </w:r>
      <w:r>
        <w:rPr>
          <w:rFonts w:ascii="Times New Roman;Times;serif" w:hAnsi="Times New Roman;Times;serif"/>
          <w:sz w:val="22"/>
        </w:rPr>
        <w:t xml:space="preserve">means, with respect to any Lender at any time, the percentage (carried out to the ninth decimal place) of the Aggregate Commitments represented by such Lender’s Commitment at such time.  If the commitment of each Lender to make Loans and the obligation of the L/C Issuer to make L/C Credit Extensions have been terminated pursuant to </w:t>
      </w:r>
      <w:r>
        <w:rPr>
          <w:rFonts w:ascii="Times New Roman;Times;serif" w:hAnsi="Times New Roman;Times;serif"/>
          <w:sz w:val="22"/>
          <w:u w:val="single"/>
        </w:rPr>
        <w:t>Section 8.02</w:t>
      </w:r>
      <w:r>
        <w:rPr>
          <w:rFonts w:ascii="Times New Roman;Times;serif" w:hAnsi="Times New Roman;Times;serif"/>
          <w:sz w:val="20"/>
        </w:rPr>
        <w:t xml:space="preserve"> </w:t>
      </w:r>
      <w:r>
        <w:rPr>
          <w:rFonts w:ascii="Times New Roman;Times;serif" w:hAnsi="Times New Roman;Times;serif"/>
          <w:sz w:val="22"/>
        </w:rPr>
        <w:t xml:space="preserve">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Times;serif" w:hAnsi="Times New Roman;Times;serif"/>
          <w:sz w:val="22"/>
          <w:u w:val="single"/>
        </w:rPr>
        <w:t>Schedule 2.01</w:t>
      </w:r>
      <w:r>
        <w:rPr>
          <w:rFonts w:ascii="Times New Roman;Times;serif" w:hAnsi="Times New Roman;Times;serif"/>
          <w:sz w:val="20"/>
        </w:rPr>
        <w:t xml:space="preserve"> </w:t>
      </w:r>
      <w:r>
        <w:rPr>
          <w:rFonts w:ascii="Times New Roman;Times;serif" w:hAnsi="Times New Roman;Times;serif"/>
          <w:sz w:val="22"/>
        </w:rPr>
        <w:t xml:space="preserve">or in the Assignment and Assumption or other documentation pursuant to which such Lender becomes a party hereto, as applicable.  The Applicable Percentages shall be subject to adjustment as provided in </w:t>
      </w:r>
      <w:r>
        <w:rPr>
          <w:rFonts w:ascii="Times New Roman;Times;serif" w:hAnsi="Times New Roman;Times;serif"/>
          <w:sz w:val="22"/>
          <w:u w:val="single"/>
        </w:rPr>
        <w:t>Section 2.16</w:t>
      </w:r>
      <w:r>
        <w:rPr>
          <w:rFonts w:ascii="Times New Roman;Times;serif" w:hAnsi="Times New Roman;Times;serif"/>
          <w:sz w:val="22"/>
        </w:rPr>
        <w:t>.</w:t>
      </w:r>
    </w:p>
    <w:p>
      <w:pPr>
        <w:pStyle w:val="TextBody"/>
        <w:bidi w:val="0"/>
        <w:spacing w:before="0" w:after="0"/>
        <w:ind w:left="0" w:right="0" w:firstLine="720"/>
        <w:jc w:val="both"/>
        <w:rPr/>
      </w:pPr>
      <w:r>
        <w:rPr/>
        <w:t>“</w:t>
      </w:r>
      <w:r>
        <w:rPr>
          <w:rFonts w:ascii="Times New Roman;Times;serif" w:hAnsi="Times New Roman;Times;serif"/>
          <w:sz w:val="22"/>
          <w:u w:val="single"/>
        </w:rPr>
        <w:t>Applicable Rate</w:t>
      </w:r>
      <w:r>
        <w:rPr>
          <w:rFonts w:ascii="Times New Roman;Times;serif" w:hAnsi="Times New Roman;Times;serif"/>
          <w:sz w:val="20"/>
        </w:rPr>
        <w:t xml:space="preserve">” </w:t>
      </w:r>
      <w:r>
        <w:rPr>
          <w:rFonts w:ascii="Times New Roman;Times;serif" w:hAnsi="Times New Roman;Times;serif"/>
          <w:sz w:val="22"/>
        </w:rPr>
        <w:t xml:space="preserve">means with respect to the commitment fee payable pursuant to </w:t>
      </w:r>
      <w:r>
        <w:rPr>
          <w:rFonts w:ascii="Times New Roman;Times;serif" w:hAnsi="Times New Roman;Times;serif"/>
          <w:sz w:val="22"/>
          <w:u w:val="single"/>
        </w:rPr>
        <w:t>Section 2.09(a)</w:t>
      </w:r>
      <w:r>
        <w:rPr>
          <w:rFonts w:ascii="Times New Roman;Times;serif" w:hAnsi="Times New Roman;Times;serif"/>
          <w:sz w:val="22"/>
        </w:rPr>
        <w:t>, Term SOFR Loans, Term SOFR Daily Floating Rate Loans, Base Rate Loans and the Letter of Credit Fee, from time to time, the following percentages per annum, based upon the Consolidated Net Leverage Ratio as set forth below:</w:t>
      </w:r>
    </w:p>
    <w:p>
      <w:pPr>
        <w:pStyle w:val="TextBody"/>
        <w:bidi w:val="0"/>
        <w:spacing w:before="0" w:after="0"/>
        <w:ind w:left="0" w:right="0" w:hanging="0"/>
        <w:jc w:val="left"/>
        <w:rPr/>
      </w:pPr>
      <w:r>
        <w:rPr/>
        <w:t>​</w:t>
      </w:r>
    </w:p>
    <w:tbl>
      <w:tblPr>
        <w:tblW w:w="8286" w:type="dxa"/>
        <w:jc w:val="center"/>
        <w:tblInd w:w="0" w:type="dxa"/>
        <w:tblLayout w:type="fixed"/>
        <w:tblCellMar>
          <w:top w:w="0" w:type="dxa"/>
          <w:left w:w="0" w:type="dxa"/>
          <w:bottom w:w="0" w:type="dxa"/>
          <w:right w:w="0" w:type="dxa"/>
        </w:tblCellMar>
      </w:tblPr>
      <w:tblGrid>
        <w:gridCol w:w="1426"/>
        <w:gridCol w:w="1726"/>
        <w:gridCol w:w="1426"/>
        <w:gridCol w:w="1366"/>
        <w:gridCol w:w="1156"/>
        <w:gridCol w:w="1186"/>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905510" cy="175260"/>
                      <wp:effectExtent l="0" t="0" r="0" b="0"/>
                      <wp:wrapNone/>
                      <wp:docPr id="501" name="Frame501"/>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096010" cy="175260"/>
                      <wp:effectExtent l="0" t="0" r="0" b="0"/>
                      <wp:wrapNone/>
                      <wp:docPr id="502" name="Frame502"/>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905510" cy="175260"/>
                      <wp:effectExtent l="0" t="0" r="0" b="0"/>
                      <wp:wrapNone/>
                      <wp:docPr id="503" name="Frame503"/>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867410" cy="175260"/>
                      <wp:effectExtent l="0" t="0" r="0" b="0"/>
                      <wp:wrapNone/>
                      <wp:docPr id="504" name="Frame504"/>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734060" cy="175260"/>
                      <wp:effectExtent l="0" t="0" r="0" b="0"/>
                      <wp:wrapNone/>
                      <wp:docPr id="505" name="Frame50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753745" cy="175260"/>
                      <wp:effectExtent l="0" t="0" r="0" b="0"/>
                      <wp:wrapNone/>
                      <wp:docPr id="506" name="Frame506"/>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Pricing Level</w:t>
            </w:r>
          </w:p>
        </w:tc>
        <w:tc>
          <w:tcPr>
            <w:tcW w:w="17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Consolidated </w:t>
              <w:br/>
              <w:t xml:space="preserve">Net Leverage </w:t>
              <w:br/>
              <w:t>Ratio</w:t>
            </w:r>
          </w:p>
        </w:tc>
        <w:tc>
          <w:tcPr>
            <w:tcW w:w="1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Commitment </w:t>
              <w:br/>
              <w:t>Fee</w:t>
            </w:r>
          </w:p>
        </w:tc>
        <w:tc>
          <w:tcPr>
            <w:tcW w:w="13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Term SOFR </w:t>
              <w:br/>
              <w:t xml:space="preserve">Loans and </w:t>
              <w:br/>
              <w:t xml:space="preserve">Term SOFR </w:t>
              <w:br/>
              <w:t xml:space="preserve">Daily </w:t>
              <w:br/>
              <w:t xml:space="preserve">Floating </w:t>
              <w:br/>
              <w:t>Rate Loans</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Base Rate </w:t>
              <w:br/>
              <w:t>Loans</w:t>
            </w:r>
          </w:p>
        </w:tc>
        <w:tc>
          <w:tcPr>
            <w:tcW w:w="11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Letter of </w:t>
              <w:br/>
              <w:t>Credit Fee</w:t>
            </w:r>
          </w:p>
        </w:tc>
      </w:tr>
      <w:tr>
        <w:trPr/>
        <w:tc>
          <w:tcPr>
            <w:tcW w:w="1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tc>
        <w:tc>
          <w:tcPr>
            <w:tcW w:w="17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2"/>
                <w:u w:val="single"/>
              </w:rPr>
              <w:t>&lt;</w:t>
            </w:r>
            <w:r>
              <w:rPr>
                <w:rFonts w:ascii="Times New Roman;Times;serif" w:hAnsi="Times New Roman;Times;serif"/>
                <w:sz w:val="20"/>
              </w:rPr>
              <w:t xml:space="preserve"> </w:t>
            </w:r>
            <w:r>
              <w:rPr>
                <w:rFonts w:ascii="Times New Roman;Times;serif" w:hAnsi="Times New Roman;Times;serif"/>
                <w:sz w:val="22"/>
              </w:rPr>
              <w:t>1.50 to 1.0</w:t>
            </w:r>
          </w:p>
        </w:tc>
        <w:tc>
          <w:tcPr>
            <w:tcW w:w="1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0.15%</w:t>
            </w:r>
          </w:p>
        </w:tc>
        <w:tc>
          <w:tcPr>
            <w:tcW w:w="13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1.125%</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0.125%</w:t>
            </w:r>
          </w:p>
        </w:tc>
        <w:tc>
          <w:tcPr>
            <w:tcW w:w="11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1.125%</w:t>
            </w:r>
          </w:p>
        </w:tc>
      </w:tr>
      <w:tr>
        <w:trPr/>
        <w:tc>
          <w:tcPr>
            <w:tcW w:w="1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tc>
        <w:tc>
          <w:tcPr>
            <w:tcW w:w="17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2"/>
              </w:rPr>
              <w:t xml:space="preserve">&gt; 1.50 to 1.0 but </w:t>
              <w:br/>
            </w:r>
            <w:r>
              <w:rPr>
                <w:rFonts w:ascii="Times New Roman;Times;serif" w:hAnsi="Times New Roman;Times;serif"/>
                <w:sz w:val="22"/>
                <w:u w:val="single"/>
              </w:rPr>
              <w:t>&lt;</w:t>
            </w:r>
            <w:r>
              <w:rPr>
                <w:rFonts w:ascii="Times New Roman;Times;serif" w:hAnsi="Times New Roman;Times;serif"/>
                <w:sz w:val="20"/>
              </w:rPr>
              <w:t xml:space="preserve"> </w:t>
            </w:r>
            <w:r>
              <w:rPr>
                <w:rFonts w:ascii="Times New Roman;Times;serif" w:hAnsi="Times New Roman;Times;serif"/>
                <w:sz w:val="22"/>
              </w:rPr>
              <w:t>2.25 to 1.0</w:t>
            </w:r>
          </w:p>
        </w:tc>
        <w:tc>
          <w:tcPr>
            <w:tcW w:w="1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0.20%</w:t>
            </w:r>
          </w:p>
        </w:tc>
        <w:tc>
          <w:tcPr>
            <w:tcW w:w="13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1.25%</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0.25%</w:t>
            </w:r>
          </w:p>
        </w:tc>
        <w:tc>
          <w:tcPr>
            <w:tcW w:w="11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1.25%</w:t>
            </w:r>
          </w:p>
        </w:tc>
      </w:tr>
      <w:tr>
        <w:trPr/>
        <w:tc>
          <w:tcPr>
            <w:tcW w:w="1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tc>
        <w:tc>
          <w:tcPr>
            <w:tcW w:w="17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2"/>
              </w:rPr>
              <w:t xml:space="preserve">&gt; 2.25 to 1.0 but </w:t>
              <w:br/>
            </w:r>
            <w:r>
              <w:rPr>
                <w:rFonts w:ascii="Times New Roman;Times;serif" w:hAnsi="Times New Roman;Times;serif"/>
                <w:sz w:val="22"/>
                <w:u w:val="single"/>
              </w:rPr>
              <w:t>&lt;</w:t>
            </w:r>
            <w:r>
              <w:rPr>
                <w:rFonts w:ascii="Times New Roman;Times;serif" w:hAnsi="Times New Roman;Times;serif"/>
                <w:sz w:val="20"/>
              </w:rPr>
              <w:t xml:space="preserve"> </w:t>
            </w:r>
            <w:r>
              <w:rPr>
                <w:rFonts w:ascii="Times New Roman;Times;serif" w:hAnsi="Times New Roman;Times;serif"/>
                <w:sz w:val="22"/>
              </w:rPr>
              <w:t>3.00 to 1.0</w:t>
            </w:r>
          </w:p>
        </w:tc>
        <w:tc>
          <w:tcPr>
            <w:tcW w:w="1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0.25%</w:t>
            </w:r>
          </w:p>
        </w:tc>
        <w:tc>
          <w:tcPr>
            <w:tcW w:w="13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1.50%</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0.50%</w:t>
            </w:r>
          </w:p>
        </w:tc>
        <w:tc>
          <w:tcPr>
            <w:tcW w:w="11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1.50%</w:t>
            </w:r>
          </w:p>
        </w:tc>
      </w:tr>
      <w:tr>
        <w:trPr/>
        <w:tc>
          <w:tcPr>
            <w:tcW w:w="1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tc>
        <w:tc>
          <w:tcPr>
            <w:tcW w:w="17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&gt; 3.00 to 1.0</w:t>
            </w:r>
          </w:p>
        </w:tc>
        <w:tc>
          <w:tcPr>
            <w:tcW w:w="14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0.30%</w:t>
            </w:r>
          </w:p>
        </w:tc>
        <w:tc>
          <w:tcPr>
            <w:tcW w:w="13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1.75%</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0.75%</w:t>
            </w:r>
          </w:p>
        </w:tc>
        <w:tc>
          <w:tcPr>
            <w:tcW w:w="11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1.75%</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The Applicable Rate in effect on the Closing Date to the first Business Day immediately following the date a Compliance Certificate is delivered pursuant to </w:t>
      </w:r>
      <w:r>
        <w:rPr>
          <w:rFonts w:ascii="Times New Roman;Times;serif" w:hAnsi="Times New Roman;Times;serif"/>
          <w:sz w:val="22"/>
          <w:u w:val="single"/>
        </w:rPr>
        <w:t>Section 6.01(c)</w:t>
      </w:r>
      <w:r>
        <w:rPr>
          <w:rFonts w:ascii="Times New Roman;Times;serif" w:hAnsi="Times New Roman;Times;serif"/>
          <w:sz w:val="20"/>
        </w:rPr>
        <w:t xml:space="preserve"> </w:t>
      </w:r>
      <w:r>
        <w:rPr>
          <w:rFonts w:ascii="Times New Roman;Times;serif" w:hAnsi="Times New Roman;Times;serif"/>
          <w:sz w:val="22"/>
        </w:rPr>
        <w:t xml:space="preserve">for the fiscal quarter ending June 30, 2025 shall initially be Pricing Level 1.  Thereafter, the Applicable Rate shall be determined by reference to the Consolidated Net Leverage Ratio as set forth in the most recent Compliance Certificate received by the Agent pursuant to </w:t>
      </w:r>
      <w:r>
        <w:rPr>
          <w:rFonts w:ascii="Times New Roman;Times;serif" w:hAnsi="Times New Roman;Times;serif"/>
          <w:sz w:val="22"/>
          <w:u w:val="single"/>
        </w:rPr>
        <w:t>Section 6.01(c)</w:t>
      </w:r>
      <w:r>
        <w:rPr>
          <w:rFonts w:ascii="Times New Roman;Times;serif" w:hAnsi="Times New Roman;Times;serif"/>
          <w:sz w:val="22"/>
        </w:rPr>
        <w:t xml:space="preserve">.  Any increase or decrease in the Applicable Rate resulting from a change in the Consolidated Net Leverage Ratio shall become effective as of the first Business Day immediately following the date a Compliance Certificate is delivered pursuant to </w:t>
      </w:r>
      <w:r>
        <w:rPr>
          <w:rFonts w:ascii="Times New Roman;Times;serif" w:hAnsi="Times New Roman;Times;serif"/>
          <w:sz w:val="22"/>
          <w:u w:val="single"/>
        </w:rPr>
        <w:t>Section 6.01(c)</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if such Compliance Certificate is not delivered when due in accordance with such Section, then, upon the request of the Required Lenders, Pricing Level 4 shall apply as of the first Business Day after the date on which such Compliance Certificate was required to have been delivered and shall remain in effect until the date on which such Compliance Certificate is delivered in accordance with </w:t>
      </w:r>
      <w:r>
        <w:rPr>
          <w:rFonts w:ascii="Times New Roman;Times;serif" w:hAnsi="Times New Roman;Times;serif"/>
          <w:sz w:val="22"/>
          <w:u w:val="single"/>
        </w:rPr>
        <w:t>Section 6.01(c)</w:t>
      </w:r>
      <w:r>
        <w:rPr>
          <w:rFonts w:ascii="Times New Roman;Times;serif" w:hAnsi="Times New Roman;Times;serif"/>
          <w:sz w:val="22"/>
        </w:rPr>
        <w:t>, whereupon the Applicable Rate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shall be adjusted based upon the calculation of the Consolidated Net Leverage Ratio contained in such Compliance Certificate.</w:t>
      </w:r>
    </w:p>
    <w:p>
      <w:pPr>
        <w:pStyle w:val="TextBody"/>
        <w:bidi w:val="0"/>
        <w:spacing w:before="0" w:after="240"/>
        <w:ind w:left="0" w:right="0" w:firstLine="720"/>
        <w:jc w:val="both"/>
        <w:rPr/>
      </w:pPr>
      <w:r>
        <w:rPr/>
        <w:t>“</w:t>
      </w:r>
      <w:r>
        <w:rPr>
          <w:rFonts w:ascii="Times New Roman;Times;serif" w:hAnsi="Times New Roman;Times;serif"/>
          <w:sz w:val="22"/>
          <w:u w:val="single"/>
        </w:rPr>
        <w:t>Approved Fund</w:t>
      </w:r>
      <w:r>
        <w:rPr>
          <w:rFonts w:ascii="Times New Roman;Times;serif" w:hAnsi="Times New Roman;Times;serif"/>
          <w:sz w:val="20"/>
        </w:rPr>
        <w:t xml:space="preserve">” </w:t>
      </w:r>
      <w:r>
        <w:rPr>
          <w:rFonts w:ascii="Times New Roman;Times;serif" w:hAnsi="Times New Roman;Times;serif"/>
          <w:sz w:val="22"/>
        </w:rPr>
        <w:t>means any Fund that is administered or managed by (a) a Lender, (b) an Affiliate of a Lender or (c) an entity or an Affiliate of an entity that administers or manages a Lender.</w:t>
      </w:r>
    </w:p>
    <w:p>
      <w:pPr>
        <w:pStyle w:val="TextBody"/>
        <w:bidi w:val="0"/>
        <w:spacing w:before="0" w:after="240"/>
        <w:ind w:left="0" w:right="0" w:firstLine="720"/>
        <w:jc w:val="both"/>
        <w:rPr/>
      </w:pPr>
      <w:r>
        <w:rPr/>
        <w:t>“</w:t>
      </w:r>
      <w:r>
        <w:rPr>
          <w:rFonts w:ascii="Times New Roman;Times;serif" w:hAnsi="Times New Roman;Times;serif"/>
          <w:sz w:val="22"/>
          <w:u w:val="single"/>
        </w:rPr>
        <w:t>Arranger</w:t>
      </w:r>
      <w:r>
        <w:rPr>
          <w:rFonts w:ascii="Times New Roman;Times;serif" w:hAnsi="Times New Roman;Times;serif"/>
          <w:sz w:val="20"/>
        </w:rPr>
        <w:t xml:space="preserve">” </w:t>
      </w:r>
      <w:r>
        <w:rPr>
          <w:rFonts w:ascii="Times New Roman;Times;serif" w:hAnsi="Times New Roman;Times;serif"/>
          <w:sz w:val="22"/>
        </w:rPr>
        <w:t>means BofA Securities, Inc., in its capacity as a joint lead arranger and joint bookrunner.</w:t>
      </w:r>
    </w:p>
    <w:p>
      <w:pPr>
        <w:pStyle w:val="TextBody"/>
        <w:bidi w:val="0"/>
        <w:spacing w:before="0" w:after="240"/>
        <w:ind w:left="0" w:right="0" w:firstLine="720"/>
        <w:jc w:val="both"/>
        <w:rPr/>
      </w:pPr>
      <w:r>
        <w:rPr/>
        <w:t>“</w:t>
      </w:r>
      <w:r>
        <w:rPr>
          <w:rFonts w:ascii="Times New Roman;Times;serif" w:hAnsi="Times New Roman;Times;serif"/>
          <w:sz w:val="22"/>
          <w:u w:val="single"/>
        </w:rPr>
        <w:t>Assignment and Assumption</w:t>
      </w:r>
      <w:r>
        <w:rPr>
          <w:rFonts w:ascii="Times New Roman;Times;serif" w:hAnsi="Times New Roman;Times;serif"/>
          <w:sz w:val="20"/>
        </w:rPr>
        <w:t xml:space="preserve">” </w:t>
      </w:r>
      <w:r>
        <w:rPr>
          <w:rFonts w:ascii="Times New Roman;Times;serif" w:hAnsi="Times New Roman;Times;serif"/>
          <w:sz w:val="22"/>
        </w:rPr>
        <w:t xml:space="preserve">means an assignment and assumption entered into by a Lender and an Eligible Assignee (with the consent of any party whose consent is required by </w:t>
      </w:r>
      <w:r>
        <w:rPr>
          <w:rFonts w:ascii="Times New Roman;Times;serif" w:hAnsi="Times New Roman;Times;serif"/>
          <w:sz w:val="22"/>
          <w:u w:val="single"/>
        </w:rPr>
        <w:t>Section 10.06(b)</w:t>
      </w:r>
      <w:r>
        <w:rPr>
          <w:rFonts w:ascii="Times New Roman;Times;serif" w:hAnsi="Times New Roman;Times;serif"/>
          <w:sz w:val="22"/>
        </w:rPr>
        <w:t xml:space="preserve">), and accepted by the Agent, in substantially the form of </w:t>
      </w:r>
      <w:r>
        <w:rPr>
          <w:rFonts w:ascii="Times New Roman;Times;serif" w:hAnsi="Times New Roman;Times;serif"/>
          <w:sz w:val="22"/>
          <w:u w:val="single"/>
        </w:rPr>
        <w:t>Exhibit E-1</w:t>
      </w:r>
      <w:r>
        <w:rPr>
          <w:rFonts w:ascii="Times New Roman;Times;serif" w:hAnsi="Times New Roman;Times;serif"/>
          <w:sz w:val="20"/>
        </w:rPr>
        <w:t xml:space="preserve"> </w:t>
      </w:r>
      <w:r>
        <w:rPr>
          <w:rFonts w:ascii="Times New Roman;Times;serif" w:hAnsi="Times New Roman;Times;serif"/>
          <w:sz w:val="22"/>
        </w:rPr>
        <w:t>or any other form (including an electronic documentation form generated by use of an electronic platform) approved by the Agent.</w:t>
      </w:r>
    </w:p>
    <w:p>
      <w:pPr>
        <w:pStyle w:val="TextBody"/>
        <w:bidi w:val="0"/>
        <w:spacing w:before="0" w:after="240"/>
        <w:ind w:left="0" w:right="0" w:firstLine="720"/>
        <w:jc w:val="both"/>
        <w:rPr/>
      </w:pPr>
      <w:r>
        <w:rPr/>
        <w:t>“</w:t>
      </w:r>
      <w:r>
        <w:rPr>
          <w:rFonts w:ascii="Times New Roman;Times;serif" w:hAnsi="Times New Roman;Times;serif"/>
          <w:sz w:val="22"/>
          <w:u w:val="single"/>
        </w:rPr>
        <w:t>Audited Financial Statements</w:t>
      </w:r>
      <w:r>
        <w:rPr>
          <w:rFonts w:ascii="Times New Roman;Times;serif" w:hAnsi="Times New Roman;Times;serif"/>
          <w:sz w:val="20"/>
        </w:rPr>
        <w:t xml:space="preserve">” </w:t>
      </w:r>
      <w:r>
        <w:rPr>
          <w:rFonts w:ascii="Times New Roman;Times;serif" w:hAnsi="Times New Roman;Times;serif"/>
          <w:sz w:val="22"/>
        </w:rPr>
        <w:t>means the audited consolidated balance sheet of the Borrower and its Subsidiaries for the fiscal year ended December 31, 2024, and the related consolidated statements of income or operations, shareholders’ equity and cash flows for such fiscal year of the Borrower and its Subsidiaries, including the notes thereto.</w:t>
      </w:r>
    </w:p>
    <w:p>
      <w:pPr>
        <w:pStyle w:val="TextBody"/>
        <w:bidi w:val="0"/>
        <w:spacing w:before="0" w:after="240"/>
        <w:ind w:left="0" w:right="0" w:firstLine="720"/>
        <w:jc w:val="both"/>
        <w:rPr/>
      </w:pPr>
      <w:r>
        <w:rPr/>
        <w:t>“</w:t>
      </w:r>
      <w:r>
        <w:rPr>
          <w:rFonts w:ascii="Times New Roman;Times;serif" w:hAnsi="Times New Roman;Times;serif"/>
          <w:sz w:val="22"/>
          <w:u w:val="single"/>
        </w:rPr>
        <w:t>Authorized Officer</w:t>
      </w:r>
      <w:r>
        <w:rPr>
          <w:rFonts w:ascii="Times New Roman;Times;serif" w:hAnsi="Times New Roman;Times;serif"/>
          <w:sz w:val="20"/>
        </w:rPr>
        <w:t xml:space="preserve">” </w:t>
      </w:r>
      <w:r>
        <w:rPr>
          <w:rFonts w:ascii="Times New Roman;Times;serif" w:hAnsi="Times New Roman;Times;serif"/>
          <w:sz w:val="22"/>
        </w:rPr>
        <w:t>means, with respect to any Loan Party, any officer of such Loan Party designated as an “Authorized Officer” for the purpose of this Agreement in a certificate executed by one of such Loan Party’s then existing Authorized Officers (as previously identified to the Agent) and any other officer or employee of the applicable Loan Party designated in or pursuant to an agreement between the applicable Loan Party and the Agent.  Any action taken under this Agreement or any other Loan Document on behalf of a Loan Party by any individual who on or after the Closing Date shall have been an Authorized Officer of such Loan Party and whom the Agent or any of the Lenders in good faith believes to be an Authorized Officer of such Loan Party at the time of such action shall be binding on such Loan Party even though such individual shall have ceased to be an Authorized Officer of such Loan Party, unless the Borrower or such Loan Party shall have provided the Agent with a certificate executed by one of such Loan Party’s then existing Authorized Officers (as previously identified to the Agent) indicating that such individual is no longer an “Authorized Officer.”</w:t>
      </w:r>
    </w:p>
    <w:p>
      <w:pPr>
        <w:pStyle w:val="TextBody"/>
        <w:bidi w:val="0"/>
        <w:spacing w:before="0" w:after="240"/>
        <w:ind w:left="0" w:right="0" w:firstLine="720"/>
        <w:jc w:val="both"/>
        <w:rPr/>
      </w:pPr>
      <w:r>
        <w:rPr/>
        <w:t>“</w:t>
      </w:r>
      <w:r>
        <w:rPr>
          <w:rFonts w:ascii="Times New Roman;Times;serif" w:hAnsi="Times New Roman;Times;serif"/>
          <w:sz w:val="22"/>
          <w:u w:val="single"/>
        </w:rPr>
        <w:t>Autoborrow Agreement</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2.04(b)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Availability Period</w:t>
      </w:r>
      <w:r>
        <w:rPr>
          <w:rFonts w:ascii="Times New Roman;Times;serif" w:hAnsi="Times New Roman;Times;serif"/>
          <w:sz w:val="20"/>
        </w:rPr>
        <w:t xml:space="preserve">” </w:t>
      </w:r>
      <w:r>
        <w:rPr>
          <w:rFonts w:ascii="Times New Roman;Times;serif" w:hAnsi="Times New Roman;Times;serif"/>
          <w:sz w:val="22"/>
        </w:rPr>
        <w:t xml:space="preserve">means the period from and including the Closing Date to the earliest of (a) the Maturity Date, (b) the date of termination of the Aggregate Commitments pursuant to </w:t>
      </w:r>
      <w:r>
        <w:rPr>
          <w:rFonts w:ascii="Times New Roman;Times;serif" w:hAnsi="Times New Roman;Times;serif"/>
          <w:sz w:val="22"/>
          <w:u w:val="single"/>
        </w:rPr>
        <w:t>Section 2.06</w:t>
      </w:r>
      <w:r>
        <w:rPr>
          <w:rFonts w:ascii="Times New Roman;Times;serif" w:hAnsi="Times New Roman;Times;serif"/>
          <w:sz w:val="22"/>
        </w:rPr>
        <w:t xml:space="preserve">, and (c) the date of termination of the commitment of each Lender to make Loans and of the obligation of the L/C Issuer to make L/C Credit Extensions pursuant to </w:t>
      </w:r>
      <w:r>
        <w:rPr>
          <w:rFonts w:ascii="Times New Roman;Times;serif" w:hAnsi="Times New Roman;Times;serif"/>
          <w:sz w:val="22"/>
          <w:u w:val="single"/>
        </w:rPr>
        <w:t>Section 8.02</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Bail-In Action</w:t>
      </w:r>
      <w:r>
        <w:rPr>
          <w:rFonts w:ascii="Times New Roman;Times;serif" w:hAnsi="Times New Roman;Times;serif"/>
          <w:sz w:val="20"/>
        </w:rPr>
        <w:t xml:space="preserve">” </w:t>
      </w:r>
      <w:r>
        <w:rPr>
          <w:rFonts w:ascii="Times New Roman;Times;serif" w:hAnsi="Times New Roman;Times;serif"/>
          <w:sz w:val="22"/>
        </w:rPr>
        <w:t>means the exercise of any Write-Down and Conversion Powers by the applicable Resolution Authority in respect of any liability of an Affected Financial Institution.</w:t>
      </w:r>
    </w:p>
    <w:p>
      <w:pPr>
        <w:pStyle w:val="TextBody"/>
        <w:bidi w:val="0"/>
        <w:spacing w:before="0" w:after="240"/>
        <w:ind w:left="0" w:right="0" w:firstLine="720"/>
        <w:jc w:val="both"/>
        <w:rPr/>
      </w:pPr>
      <w:r>
        <w:rPr/>
        <w:t>“</w:t>
      </w:r>
      <w:r>
        <w:rPr>
          <w:rFonts w:ascii="Times New Roman;Times;serif" w:hAnsi="Times New Roman;Times;serif"/>
          <w:sz w:val="22"/>
          <w:u w:val="single"/>
        </w:rPr>
        <w:t>Bail-In Legislation</w:t>
      </w:r>
      <w:r>
        <w:rPr>
          <w:rFonts w:ascii="Times New Roman;Times;serif" w:hAnsi="Times New Roman;Times;serif"/>
          <w:sz w:val="20"/>
        </w:rPr>
        <w:t xml:space="preserve">” </w:t>
      </w:r>
      <w:r>
        <w:rPr>
          <w:rFonts w:ascii="Times New Roman;Times;serif" w:hAnsi="Times New Roman;Times;serif"/>
          <w:sz w:val="22"/>
        </w:rPr>
        <w:t>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Bank of America</w:t>
      </w:r>
      <w:r>
        <w:rPr>
          <w:rFonts w:ascii="Times New Roman;Times;serif" w:hAnsi="Times New Roman;Times;serif"/>
          <w:sz w:val="20"/>
        </w:rPr>
        <w:t xml:space="preserve">” </w:t>
      </w:r>
      <w:r>
        <w:rPr>
          <w:rFonts w:ascii="Times New Roman;Times;serif" w:hAnsi="Times New Roman;Times;serif"/>
          <w:sz w:val="22"/>
        </w:rPr>
        <w:t>means Bank of America, N.A. and its successors.</w:t>
      </w:r>
    </w:p>
    <w:p>
      <w:pPr>
        <w:pStyle w:val="TextBody"/>
        <w:bidi w:val="0"/>
        <w:spacing w:before="0" w:after="240"/>
        <w:ind w:left="0" w:right="0" w:firstLine="720"/>
        <w:jc w:val="both"/>
        <w:rPr/>
      </w:pPr>
      <w:r>
        <w:rPr/>
        <w:t>“</w:t>
      </w:r>
      <w:r>
        <w:rPr>
          <w:rFonts w:ascii="Times New Roman;Times;serif" w:hAnsi="Times New Roman;Times;serif"/>
          <w:sz w:val="22"/>
          <w:u w:val="single"/>
        </w:rPr>
        <w:t>Base Rate</w:t>
      </w:r>
      <w:r>
        <w:rPr>
          <w:rFonts w:ascii="Times New Roman;Times;serif" w:hAnsi="Times New Roman;Times;serif"/>
          <w:sz w:val="20"/>
        </w:rPr>
        <w:t>”  </w:t>
      </w:r>
      <w:r>
        <w:rPr>
          <w:rFonts w:ascii="Times New Roman;Times;serif" w:hAnsi="Times New Roman;Times;serif"/>
          <w:sz w:val="22"/>
        </w:rPr>
        <w:t xml:space="preserve">means for any day a fluctuating rate of interest per annum equal to the highest of (a) the Federal Funds Rate plus 1/2 of 1%, (b) the rate of interest in effect for such day as publicly announced from time to time by Bank of America as its “prime rate,” and (c) Term SOFR plus 1.00%, subject to the interest rate floors set forth therein, and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Times;serif" w:hAnsi="Times New Roman;Times;serif"/>
          <w:sz w:val="22"/>
          <w:u w:val="single"/>
        </w:rPr>
        <w:t>Section 3.03</w:t>
      </w:r>
      <w:r>
        <w:rPr>
          <w:rFonts w:ascii="Times New Roman;Times;serif" w:hAnsi="Times New Roman;Times;serif"/>
          <w:sz w:val="20"/>
        </w:rPr>
        <w:t xml:space="preserve"> </w:t>
      </w:r>
      <w:r>
        <w:rPr>
          <w:rFonts w:ascii="Times New Roman;Times;serif" w:hAnsi="Times New Roman;Times;serif"/>
          <w:sz w:val="22"/>
        </w:rPr>
        <w:t xml:space="preserve">hereof, then the Base Rate shall be the greater of </w:t>
      </w:r>
      <w:r>
        <w:rPr>
          <w:rFonts w:ascii="Times New Roman;Times;serif" w:hAnsi="Times New Roman;Times;serif"/>
          <w:sz w:val="22"/>
          <w:u w:val="single"/>
        </w:rPr>
        <w:t>clauses (a</w:t>
      </w:r>
      <w:r>
        <w:rPr>
          <w:rFonts w:ascii="Times New Roman;Times;serif" w:hAnsi="Times New Roman;Times;serif"/>
          <w:sz w:val="22"/>
        </w:rPr>
        <w:t>) and (</w:t>
      </w:r>
      <w:r>
        <w:rPr>
          <w:rFonts w:ascii="Times New Roman;Times;serif" w:hAnsi="Times New Roman;Times;serif"/>
          <w:sz w:val="22"/>
          <w:u w:val="single"/>
        </w:rPr>
        <w:t>b</w:t>
      </w:r>
      <w:r>
        <w:rPr>
          <w:rFonts w:ascii="Times New Roman;Times;serif" w:hAnsi="Times New Roman;Times;serif"/>
          <w:sz w:val="22"/>
        </w:rPr>
        <w:t xml:space="preserve">) above and shall be determined without reference to </w:t>
      </w:r>
      <w:r>
        <w:rPr>
          <w:rFonts w:ascii="Times New Roman;Times;serif" w:hAnsi="Times New Roman;Times;serif"/>
          <w:sz w:val="22"/>
          <w:u w:val="single"/>
        </w:rPr>
        <w:t>clause (c</w:t>
      </w:r>
      <w:r>
        <w:rPr>
          <w:rFonts w:ascii="Times New Roman;Times;serif" w:hAnsi="Times New Roman;Times;serif"/>
          <w:sz w:val="22"/>
        </w:rPr>
        <w:t>) above.</w:t>
      </w:r>
    </w:p>
    <w:p>
      <w:pPr>
        <w:pStyle w:val="TextBody"/>
        <w:bidi w:val="0"/>
        <w:spacing w:before="0" w:after="240"/>
        <w:ind w:left="0" w:right="0" w:firstLine="720"/>
        <w:jc w:val="both"/>
        <w:rPr/>
      </w:pPr>
      <w:r>
        <w:rPr/>
        <w:t>“</w:t>
      </w:r>
      <w:r>
        <w:rPr>
          <w:rFonts w:ascii="Times New Roman;Times;serif" w:hAnsi="Times New Roman;Times;serif"/>
          <w:sz w:val="22"/>
          <w:u w:val="single"/>
        </w:rPr>
        <w:t>Base Rate Loan</w:t>
      </w:r>
      <w:r>
        <w:rPr>
          <w:rFonts w:ascii="Times New Roman;Times;serif" w:hAnsi="Times New Roman;Times;serif"/>
          <w:sz w:val="20"/>
        </w:rPr>
        <w:t xml:space="preserve">” </w:t>
      </w:r>
      <w:r>
        <w:rPr>
          <w:rFonts w:ascii="Times New Roman;Times;serif" w:hAnsi="Times New Roman;Times;serif"/>
          <w:sz w:val="22"/>
        </w:rPr>
        <w:t>means a Committed Loan that bears interest based on the Base Rate.</w:t>
      </w:r>
    </w:p>
    <w:p>
      <w:pPr>
        <w:pStyle w:val="TextBody"/>
        <w:bidi w:val="0"/>
        <w:spacing w:before="0" w:after="240"/>
        <w:ind w:left="0" w:right="0" w:firstLine="720"/>
        <w:jc w:val="both"/>
        <w:rPr/>
      </w:pPr>
      <w:r>
        <w:rPr/>
        <w:t>“</w:t>
      </w:r>
      <w:r>
        <w:rPr>
          <w:rFonts w:ascii="Times New Roman;Times;serif" w:hAnsi="Times New Roman;Times;serif"/>
          <w:sz w:val="22"/>
          <w:u w:val="single"/>
        </w:rPr>
        <w:t>Beneficial Ownership Certification</w:t>
      </w:r>
      <w:r>
        <w:rPr>
          <w:rFonts w:ascii="Times New Roman;Times;serif" w:hAnsi="Times New Roman;Times;serif"/>
          <w:sz w:val="20"/>
        </w:rPr>
        <w:t xml:space="preserve">” </w:t>
      </w:r>
      <w:r>
        <w:rPr>
          <w:rFonts w:ascii="Times New Roman;Times;serif" w:hAnsi="Times New Roman;Times;serif"/>
          <w:sz w:val="22"/>
        </w:rPr>
        <w:t>means a certification regarding beneficial ownership required by the Beneficial Ownership Regulation.</w:t>
      </w:r>
    </w:p>
    <w:p>
      <w:pPr>
        <w:pStyle w:val="TextBody"/>
        <w:bidi w:val="0"/>
        <w:spacing w:before="0" w:after="240"/>
        <w:ind w:left="0" w:right="0" w:firstLine="720"/>
        <w:jc w:val="both"/>
        <w:rPr/>
      </w:pPr>
      <w:r>
        <w:rPr/>
        <w:t>“</w:t>
      </w:r>
      <w:r>
        <w:rPr>
          <w:rFonts w:ascii="Times New Roman;Times;serif" w:hAnsi="Times New Roman;Times;serif"/>
          <w:sz w:val="22"/>
          <w:u w:val="single"/>
        </w:rPr>
        <w:t>Beneficial Ownership Regulation</w:t>
      </w:r>
      <w:r>
        <w:rPr>
          <w:rFonts w:ascii="Times New Roman;Times;serif" w:hAnsi="Times New Roman;Times;serif"/>
          <w:sz w:val="20"/>
        </w:rPr>
        <w:t xml:space="preserve">” </w:t>
      </w:r>
      <w:r>
        <w:rPr>
          <w:rFonts w:ascii="Times New Roman;Times;serif" w:hAnsi="Times New Roman;Times;serif"/>
          <w:sz w:val="22"/>
        </w:rPr>
        <w:t>means 31 C.F.R. § 1010.230.</w:t>
      </w:r>
    </w:p>
    <w:p>
      <w:pPr>
        <w:pStyle w:val="TextBody"/>
        <w:bidi w:val="0"/>
        <w:spacing w:before="0" w:after="240"/>
        <w:ind w:left="0" w:right="0" w:firstLine="720"/>
        <w:jc w:val="both"/>
        <w:rPr/>
      </w:pPr>
      <w:r>
        <w:rPr/>
        <w:t>“</w:t>
      </w:r>
      <w:r>
        <w:rPr>
          <w:rFonts w:ascii="Times New Roman;Times;serif" w:hAnsi="Times New Roman;Times;serif"/>
          <w:sz w:val="22"/>
          <w:u w:val="single"/>
        </w:rPr>
        <w:t>Benefit Plan</w:t>
      </w:r>
      <w:r>
        <w:rPr>
          <w:rFonts w:ascii="Times New Roman;Times;serif" w:hAnsi="Times New Roman;Times;serif"/>
          <w:sz w:val="20"/>
        </w:rPr>
        <w:t xml:space="preserve">” </w:t>
      </w:r>
      <w:r>
        <w:rPr>
          <w:rFonts w:ascii="Times New Roman;Times;serif" w:hAnsi="Times New Roman;Times;serif"/>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ind w:left="0" w:right="0" w:firstLine="720"/>
        <w:jc w:val="both"/>
        <w:rPr/>
      </w:pPr>
      <w:r>
        <w:rPr/>
        <w:t>“</w:t>
      </w:r>
      <w:r>
        <w:rPr>
          <w:rFonts w:ascii="Times New Roman;Times;serif" w:hAnsi="Times New Roman;Times;serif"/>
          <w:sz w:val="22"/>
          <w:u w:val="single"/>
        </w:rPr>
        <w:t>Borrower</w:t>
      </w:r>
      <w:r>
        <w:rPr>
          <w:rFonts w:ascii="Times New Roman;Times;serif" w:hAnsi="Times New Roman;Times;serif"/>
          <w:sz w:val="20"/>
        </w:rPr>
        <w:t xml:space="preserve">” </w:t>
      </w:r>
      <w:r>
        <w:rPr>
          <w:rFonts w:ascii="Times New Roman;Times;serif" w:hAnsi="Times New Roman;Times;serif"/>
          <w:sz w:val="22"/>
        </w:rPr>
        <w:t>has the meaning specified in the introductory paragraph hereto.</w:t>
      </w:r>
    </w:p>
    <w:p>
      <w:pPr>
        <w:pStyle w:val="TextBody"/>
        <w:bidi w:val="0"/>
        <w:spacing w:before="0" w:after="240"/>
        <w:ind w:left="0" w:right="0" w:firstLine="720"/>
        <w:jc w:val="both"/>
        <w:rPr/>
      </w:pPr>
      <w:r>
        <w:rPr/>
        <w:t>“</w:t>
      </w:r>
      <w:r>
        <w:rPr>
          <w:rFonts w:ascii="Times New Roman;Times;serif" w:hAnsi="Times New Roman;Times;serif"/>
          <w:sz w:val="22"/>
          <w:u w:val="single"/>
        </w:rPr>
        <w:t>Borrower Materials</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6.01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Borrowing</w:t>
      </w:r>
      <w:r>
        <w:rPr>
          <w:rFonts w:ascii="Times New Roman;Times;serif" w:hAnsi="Times New Roman;Times;serif"/>
          <w:sz w:val="20"/>
        </w:rPr>
        <w:t xml:space="preserve">” </w:t>
      </w:r>
      <w:r>
        <w:rPr>
          <w:rFonts w:ascii="Times New Roman;Times;serif" w:hAnsi="Times New Roman;Times;serif"/>
          <w:sz w:val="22"/>
        </w:rPr>
        <w:t>means a Committed Borrowing or a Swing Line Borrowing, as the context may require.</w:t>
      </w:r>
    </w:p>
    <w:p>
      <w:pPr>
        <w:pStyle w:val="TextBody"/>
        <w:bidi w:val="0"/>
        <w:spacing w:before="0" w:after="240"/>
        <w:ind w:left="0" w:right="0" w:firstLine="720"/>
        <w:jc w:val="both"/>
        <w:rPr/>
      </w:pPr>
      <w:r>
        <w:rPr/>
        <w:t>“</w:t>
      </w:r>
      <w:r>
        <w:rPr>
          <w:rFonts w:ascii="Times New Roman;Times;serif" w:hAnsi="Times New Roman;Times;serif"/>
          <w:sz w:val="22"/>
          <w:u w:val="single"/>
        </w:rPr>
        <w:t>Business Day</w:t>
      </w:r>
      <w:r>
        <w:rPr>
          <w:rFonts w:ascii="Times New Roman;Times;serif" w:hAnsi="Times New Roman;Times;serif"/>
          <w:sz w:val="20"/>
        </w:rPr>
        <w:t xml:space="preserve">” </w:t>
      </w:r>
      <w:r>
        <w:rPr>
          <w:rFonts w:ascii="Times New Roman;Times;serif" w:hAnsi="Times New Roman;Times;serif"/>
          <w:sz w:val="22"/>
        </w:rPr>
        <w:t>means any day other than a Saturday, Sunday or other day on which commercial banks are authorized to close under the laws of, or are in fact closed in, the state where the Agent’s Office is located.</w:t>
      </w:r>
    </w:p>
    <w:p>
      <w:pPr>
        <w:pStyle w:val="TextBody"/>
        <w:bidi w:val="0"/>
        <w:spacing w:before="0" w:after="240"/>
        <w:ind w:left="0" w:right="0" w:firstLine="720"/>
        <w:jc w:val="both"/>
        <w:rPr/>
      </w:pPr>
      <w:r>
        <w:rPr/>
        <w:t>“</w:t>
      </w:r>
      <w:r>
        <w:rPr>
          <w:rFonts w:ascii="Times New Roman;Times;serif" w:hAnsi="Times New Roman;Times;serif"/>
          <w:sz w:val="22"/>
          <w:u w:val="single"/>
        </w:rPr>
        <w:t>Capital Assets</w:t>
      </w:r>
      <w:r>
        <w:rPr>
          <w:rFonts w:ascii="Times New Roman;Times;serif" w:hAnsi="Times New Roman;Times;serif"/>
          <w:sz w:val="20"/>
        </w:rPr>
        <w:t xml:space="preserve">” </w:t>
      </w:r>
      <w:r>
        <w:rPr>
          <w:rFonts w:ascii="Times New Roman;Times;serif" w:hAnsi="Times New Roman;Times;serif"/>
          <w:sz w:val="22"/>
        </w:rPr>
        <w:t>means all assets other than current assets, and shall not include any amounts in the CCF.</w:t>
      </w:r>
    </w:p>
    <w:p>
      <w:pPr>
        <w:pStyle w:val="TextBody"/>
        <w:bidi w:val="0"/>
        <w:spacing w:before="0" w:after="240"/>
        <w:ind w:left="0" w:right="0" w:firstLine="720"/>
        <w:jc w:val="both"/>
        <w:rPr/>
      </w:pPr>
      <w:r>
        <w:rPr/>
        <w:t>“</w:t>
      </w:r>
      <w:r>
        <w:rPr>
          <w:rFonts w:ascii="Times New Roman;Times;serif" w:hAnsi="Times New Roman;Times;serif"/>
          <w:sz w:val="22"/>
          <w:u w:val="single"/>
        </w:rPr>
        <w:t>Capitalized Lease Obligation</w:t>
      </w:r>
      <w:r>
        <w:rPr>
          <w:rFonts w:ascii="Times New Roman;Times;serif" w:hAnsi="Times New Roman;Times;serif"/>
          <w:sz w:val="20"/>
        </w:rPr>
        <w:t xml:space="preserve">” </w:t>
      </w:r>
      <w:r>
        <w:rPr>
          <w:rFonts w:ascii="Times New Roman;Times;serif" w:hAnsi="Times New Roman;Times;serif"/>
          <w:sz w:val="22"/>
        </w:rPr>
        <w:t>means, with respect to any Person, any rental obligation of such Person which, under GAAP in effect as of the Closing Date, is or will be required to be capitalized on the books of such Person, taken at the amount thereof accounted for as indebtedness (net of interest expense) in accordance with such principles.</w:t>
      </w:r>
    </w:p>
    <w:p>
      <w:pPr>
        <w:pStyle w:val="TextBody"/>
        <w:bidi w:val="0"/>
        <w:spacing w:before="0" w:after="240"/>
        <w:ind w:left="0" w:right="0" w:firstLine="720"/>
        <w:jc w:val="both"/>
        <w:rPr/>
      </w:pPr>
      <w:r>
        <w:rPr/>
        <w:t>“</w:t>
      </w:r>
      <w:r>
        <w:rPr>
          <w:rFonts w:ascii="Times New Roman;Times;serif" w:hAnsi="Times New Roman;Times;serif"/>
          <w:sz w:val="22"/>
          <w:u w:val="single"/>
        </w:rPr>
        <w:t>Cash Collateralize</w:t>
      </w:r>
      <w:r>
        <w:rPr>
          <w:rFonts w:ascii="Times New Roman;Times;serif" w:hAnsi="Times New Roman;Times;serif"/>
          <w:sz w:val="20"/>
        </w:rPr>
        <w:t xml:space="preserve">” </w:t>
      </w:r>
      <w:r>
        <w:rPr>
          <w:rFonts w:ascii="Times New Roman;Times;serif" w:hAnsi="Times New Roman;Times;serif"/>
          <w:sz w:val="22"/>
        </w:rPr>
        <w:t>means to pledge and deposit with or deliver to the Agent, for the benefit of one or more of the L/C Issuer or the Lenders, as collateral for L/C Obligations or obligations of the Lenders to fund participations in respect of L/C Obligations, cash or deposit account balances or, if the Agent and the L/C Issuer shall agree in their sole discretion, other credit support, in each case pursuant to documentation in form and substance reasonably satisfactory to the Agent and the L/C Issuer. “</w:t>
      </w:r>
      <w:r>
        <w:rPr>
          <w:rFonts w:ascii="Times New Roman;Times;serif" w:hAnsi="Times New Roman;Times;serif"/>
          <w:sz w:val="22"/>
          <w:u w:val="single"/>
        </w:rPr>
        <w:t>Cash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Collateral</w:t>
      </w:r>
      <w:r>
        <w:rPr>
          <w:rFonts w:ascii="Times New Roman;Times;serif" w:hAnsi="Times New Roman;Times;serif"/>
          <w:sz w:val="20"/>
        </w:rPr>
        <w:t xml:space="preserve">” </w:t>
      </w:r>
      <w:r>
        <w:rPr>
          <w:rFonts w:ascii="Times New Roman;Times;serif" w:hAnsi="Times New Roman;Times;serif"/>
          <w:sz w:val="22"/>
        </w:rPr>
        <w:t>shall have a meaning correlative to the foregoing and shall include the proceeds of such Cash Collateral and other credit support.</w:t>
      </w:r>
    </w:p>
    <w:p>
      <w:pPr>
        <w:pStyle w:val="TextBody"/>
        <w:bidi w:val="0"/>
        <w:spacing w:before="0" w:after="240"/>
        <w:ind w:left="0" w:right="0" w:firstLine="720"/>
        <w:jc w:val="both"/>
        <w:rPr/>
      </w:pPr>
      <w:r>
        <w:rPr/>
        <w:t>“</w:t>
      </w:r>
      <w:r>
        <w:rPr>
          <w:rFonts w:ascii="Times New Roman;Times;serif" w:hAnsi="Times New Roman;Times;serif"/>
          <w:sz w:val="22"/>
          <w:u w:val="single"/>
        </w:rPr>
        <w:t>CCF</w:t>
      </w:r>
      <w:r>
        <w:rPr>
          <w:rFonts w:ascii="Times New Roman;Times;serif" w:hAnsi="Times New Roman;Times;serif"/>
          <w:sz w:val="20"/>
        </w:rPr>
        <w:t xml:space="preserve">” </w:t>
      </w:r>
      <w:r>
        <w:rPr>
          <w:rFonts w:ascii="Times New Roman;Times;serif" w:hAnsi="Times New Roman;Times;serif"/>
          <w:sz w:val="22"/>
        </w:rPr>
        <w:t>means the capital construction fund created under Matson Navigation’s Capital Construction Fund Agreement with the United States through the Maritime Administrator.</w:t>
      </w:r>
    </w:p>
    <w:p>
      <w:pPr>
        <w:pStyle w:val="TextBody"/>
        <w:bidi w:val="0"/>
        <w:spacing w:before="0" w:after="240"/>
        <w:ind w:left="0" w:right="0" w:firstLine="720"/>
        <w:jc w:val="both"/>
        <w:rPr/>
      </w:pPr>
      <w:r>
        <w:rPr/>
        <w:t>“</w:t>
      </w:r>
      <w:r>
        <w:rPr>
          <w:rFonts w:ascii="Times New Roman;Times;serif" w:hAnsi="Times New Roman;Times;serif"/>
          <w:sz w:val="22"/>
          <w:u w:val="single"/>
        </w:rPr>
        <w:t>CERCLA</w:t>
      </w:r>
      <w:r>
        <w:rPr>
          <w:rFonts w:ascii="Times New Roman;Times;serif" w:hAnsi="Times New Roman;Times;serif"/>
          <w:sz w:val="20"/>
        </w:rPr>
        <w:t xml:space="preserve">” </w:t>
      </w:r>
      <w:r>
        <w:rPr>
          <w:rFonts w:ascii="Times New Roman;Times;serif" w:hAnsi="Times New Roman;Times;serif"/>
          <w:sz w:val="22"/>
        </w:rPr>
        <w:t>means the Comprehensive Environmental Response, Compensation and Liability Act (42 U.S.C. Section 9601 et. seq.), and the regulations promulgated thereunder.</w:t>
      </w:r>
    </w:p>
    <w:p>
      <w:pPr>
        <w:pStyle w:val="TextBody"/>
        <w:bidi w:val="0"/>
        <w:spacing w:before="0" w:after="240"/>
        <w:ind w:left="0" w:right="0" w:firstLine="720"/>
        <w:jc w:val="both"/>
        <w:rPr/>
      </w:pPr>
      <w:r>
        <w:rPr/>
        <w:t>“</w:t>
      </w:r>
      <w:r>
        <w:rPr>
          <w:rFonts w:ascii="Times New Roman;Times;serif" w:hAnsi="Times New Roman;Times;serif"/>
          <w:sz w:val="22"/>
          <w:u w:val="single"/>
        </w:rPr>
        <w:t>CFC</w:t>
      </w:r>
      <w:r>
        <w:rPr>
          <w:rFonts w:ascii="Times New Roman;Times;serif" w:hAnsi="Times New Roman;Times;serif"/>
          <w:sz w:val="20"/>
        </w:rPr>
        <w:t xml:space="preserve">” </w:t>
      </w:r>
      <w:r>
        <w:rPr>
          <w:rFonts w:ascii="Times New Roman;Times;serif" w:hAnsi="Times New Roman;Times;serif"/>
          <w:sz w:val="22"/>
        </w:rPr>
        <w:t>means a controlled foreign corporation (as that term is defined in Section 957(a) of the Code).</w:t>
      </w:r>
    </w:p>
    <w:p>
      <w:pPr>
        <w:pStyle w:val="TextBody"/>
        <w:bidi w:val="0"/>
        <w:spacing w:before="0" w:after="240"/>
        <w:ind w:left="0" w:right="0" w:firstLine="720"/>
        <w:jc w:val="both"/>
        <w:rPr/>
      </w:pPr>
      <w:r>
        <w:rPr/>
        <w:t>“</w:t>
      </w:r>
      <w:r>
        <w:rPr>
          <w:rFonts w:ascii="Times New Roman;Times;serif" w:hAnsi="Times New Roman;Times;serif"/>
          <w:sz w:val="22"/>
          <w:u w:val="single"/>
        </w:rPr>
        <w:t>Change in Law</w:t>
      </w:r>
      <w:r>
        <w:rPr>
          <w:rFonts w:ascii="Times New Roman;Times;serif" w:hAnsi="Times New Roman;Times;serif"/>
          <w:sz w:val="20"/>
        </w:rPr>
        <w:t xml:space="preserve">” </w:t>
      </w:r>
      <w:r>
        <w:rPr>
          <w:rFonts w:ascii="Times New Roman;Times;serif" w:hAnsi="Times New Roman;Times;serif"/>
          <w:sz w:val="22"/>
        </w:rPr>
        <w:t xml:space="preserve">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notwithstanding anything herein to the contrary, (x) the Dodd-Frank Wall Street Reform and Consumer Protection Act and all requests, rules, guidelines or directives thereunder or issued in connection therewith or in the implementation thereof, in each case by any Governmental Authority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before="0" w:after="240"/>
        <w:ind w:left="0" w:right="0" w:firstLine="720"/>
        <w:jc w:val="both"/>
        <w:rPr/>
      </w:pPr>
      <w:r>
        <w:rPr/>
        <w:t>“</w:t>
      </w:r>
      <w:r>
        <w:rPr>
          <w:rFonts w:ascii="Times New Roman;Times;serif" w:hAnsi="Times New Roman;Times;serif"/>
          <w:sz w:val="22"/>
          <w:u w:val="single"/>
        </w:rPr>
        <w:t>Change of Control</w:t>
      </w:r>
      <w:r>
        <w:rPr>
          <w:rFonts w:ascii="Times New Roman;Times;serif" w:hAnsi="Times New Roman;Times;serif"/>
          <w:sz w:val="20"/>
        </w:rPr>
        <w:t xml:space="preserve">” </w:t>
      </w:r>
      <w:r>
        <w:rPr>
          <w:rFonts w:ascii="Times New Roman;Times;serif" w:hAnsi="Times New Roman;Times;serif"/>
          <w:sz w:val="22"/>
        </w:rPr>
        <w:t>means the acquisition by any “person” or “group” (as such terms are used in Sections 13(d)(3) and 14(d)(2) of the Securities Exchange Act of 1934) of outstanding shares of voting stock of the Borrower representing more than 50% of voting control of the Borrower.</w:t>
      </w:r>
    </w:p>
    <w:p>
      <w:pPr>
        <w:pStyle w:val="TextBody"/>
        <w:bidi w:val="0"/>
        <w:spacing w:before="0" w:after="240"/>
        <w:ind w:left="0" w:right="0" w:firstLine="720"/>
        <w:jc w:val="both"/>
        <w:rPr/>
      </w:pPr>
      <w:r>
        <w:rPr/>
        <w:t>“</w:t>
      </w:r>
      <w:r>
        <w:rPr>
          <w:rFonts w:ascii="Times New Roman;Times;serif" w:hAnsi="Times New Roman;Times;serif"/>
          <w:sz w:val="22"/>
          <w:u w:val="single"/>
        </w:rPr>
        <w:t>Closing Date</w:t>
      </w:r>
      <w:r>
        <w:rPr>
          <w:rFonts w:ascii="Times New Roman;Times;serif" w:hAnsi="Times New Roman;Times;serif"/>
          <w:sz w:val="20"/>
        </w:rPr>
        <w:t xml:space="preserve">” </w:t>
      </w:r>
      <w:r>
        <w:rPr>
          <w:rFonts w:ascii="Times New Roman;Times;serif" w:hAnsi="Times New Roman;Times;serif"/>
          <w:sz w:val="22"/>
        </w:rPr>
        <w:t>means July 23, 2025.</w:t>
      </w:r>
    </w:p>
    <w:p>
      <w:pPr>
        <w:pStyle w:val="TextBody"/>
        <w:bidi w:val="0"/>
        <w:spacing w:before="0" w:after="240"/>
        <w:ind w:left="0" w:right="0" w:firstLine="720"/>
        <w:jc w:val="both"/>
        <w:rPr/>
      </w:pPr>
      <w:r>
        <w:rPr/>
        <w:t>“</w:t>
      </w:r>
      <w:r>
        <w:rPr>
          <w:rFonts w:ascii="Times New Roman;Times;serif" w:hAnsi="Times New Roman;Times;serif"/>
          <w:sz w:val="22"/>
          <w:u w:val="single"/>
        </w:rPr>
        <w:t>CME</w:t>
      </w:r>
      <w:r>
        <w:rPr>
          <w:rFonts w:ascii="Times New Roman;Times;serif" w:hAnsi="Times New Roman;Times;serif"/>
          <w:sz w:val="20"/>
        </w:rPr>
        <w:t xml:space="preserve">” </w:t>
      </w:r>
      <w:r>
        <w:rPr>
          <w:rFonts w:ascii="Times New Roman;Times;serif" w:hAnsi="Times New Roman;Times;serif"/>
          <w:sz w:val="22"/>
        </w:rPr>
        <w:t>means CME Group Benchmark Administration Limited.</w:t>
      </w:r>
    </w:p>
    <w:p>
      <w:pPr>
        <w:pStyle w:val="TextBody"/>
        <w:bidi w:val="0"/>
        <w:spacing w:before="0" w:after="240"/>
        <w:ind w:left="0" w:right="0" w:firstLine="720"/>
        <w:jc w:val="both"/>
        <w:rPr/>
      </w:pPr>
      <w:r>
        <w:rPr/>
        <w:t>“</w:t>
      </w:r>
      <w:r>
        <w:rPr>
          <w:rFonts w:ascii="Times New Roman;Times;serif" w:hAnsi="Times New Roman;Times;serif"/>
          <w:sz w:val="22"/>
          <w:u w:val="single"/>
        </w:rPr>
        <w:t>Code</w:t>
      </w:r>
      <w:r>
        <w:rPr>
          <w:rFonts w:ascii="Times New Roman;Times;serif" w:hAnsi="Times New Roman;Times;serif"/>
          <w:sz w:val="20"/>
        </w:rPr>
        <w:t xml:space="preserve">” </w:t>
      </w:r>
      <w:r>
        <w:rPr>
          <w:rFonts w:ascii="Times New Roman;Times;serif" w:hAnsi="Times New Roman;Times;serif"/>
          <w:sz w:val="22"/>
        </w:rPr>
        <w:t>means the Internal Revenue Code of 1986.</w:t>
      </w:r>
    </w:p>
    <w:p>
      <w:pPr>
        <w:pStyle w:val="TextBody"/>
        <w:bidi w:val="0"/>
        <w:spacing w:before="0" w:after="240"/>
        <w:ind w:left="0" w:right="0" w:firstLine="720"/>
        <w:jc w:val="both"/>
        <w:rPr/>
      </w:pPr>
      <w:r>
        <w:rPr/>
        <w:t>“</w:t>
      </w:r>
      <w:r>
        <w:rPr>
          <w:rFonts w:ascii="Times New Roman;Times;serif" w:hAnsi="Times New Roman;Times;serif"/>
          <w:sz w:val="22"/>
          <w:u w:val="single"/>
        </w:rPr>
        <w:t>Collateral</w:t>
      </w:r>
      <w:r>
        <w:rPr>
          <w:rFonts w:ascii="Times New Roman;Times;serif" w:hAnsi="Times New Roman;Times;serif"/>
          <w:sz w:val="20"/>
        </w:rPr>
        <w:t xml:space="preserve">” </w:t>
      </w:r>
      <w:r>
        <w:rPr>
          <w:rFonts w:ascii="Times New Roman;Times;serif" w:hAnsi="Times New Roman;Times;serif"/>
          <w:sz w:val="22"/>
        </w:rPr>
        <w:t>means a collective reference to all assets with respect to which Liens in favor of the Collateral Agent are purported to be granted pursuant to and in accordance with the terms of the applicable Collateral Documents; provided that Collateral shall not include any assets other than contracts for the construction of one or more Vessels and any partially-constructed Vessel.</w:t>
      </w:r>
    </w:p>
    <w:p>
      <w:pPr>
        <w:pStyle w:val="TextBody"/>
        <w:bidi w:val="0"/>
        <w:spacing w:before="0" w:after="240"/>
        <w:ind w:left="0" w:right="0" w:firstLine="720"/>
        <w:jc w:val="both"/>
        <w:rPr/>
      </w:pPr>
      <w:r>
        <w:rPr/>
        <w:t>“</w:t>
      </w:r>
      <w:r>
        <w:rPr>
          <w:rFonts w:ascii="Times New Roman;Times;serif" w:hAnsi="Times New Roman;Times;serif"/>
          <w:sz w:val="22"/>
          <w:u w:val="single"/>
        </w:rPr>
        <w:t>Collateral Agent</w:t>
      </w:r>
      <w:r>
        <w:rPr>
          <w:rFonts w:ascii="Times New Roman;Times;serif" w:hAnsi="Times New Roman;Times;serif"/>
          <w:sz w:val="20"/>
        </w:rPr>
        <w:t xml:space="preserve">” </w:t>
      </w:r>
      <w:r>
        <w:rPr>
          <w:rFonts w:ascii="Times New Roman;Times;serif" w:hAnsi="Times New Roman;Times;serif"/>
          <w:sz w:val="22"/>
        </w:rPr>
        <w:t>means Bank of America in its capacity as collateral agent under any of the Collateral Documents or any successor collateral agent.</w:t>
      </w:r>
    </w:p>
    <w:p>
      <w:pPr>
        <w:pStyle w:val="TextBody"/>
        <w:bidi w:val="0"/>
        <w:spacing w:before="0" w:after="240"/>
        <w:ind w:left="0" w:right="0" w:firstLine="720"/>
        <w:jc w:val="both"/>
        <w:rPr/>
      </w:pPr>
      <w:r>
        <w:rPr/>
        <w:t>“</w:t>
      </w:r>
      <w:r>
        <w:rPr>
          <w:rFonts w:ascii="Times New Roman;Times;serif" w:hAnsi="Times New Roman;Times;serif"/>
          <w:sz w:val="22"/>
          <w:u w:val="single"/>
        </w:rPr>
        <w:t>Collateral Documents</w:t>
      </w:r>
      <w:r>
        <w:rPr>
          <w:rFonts w:ascii="Times New Roman;Times;serif" w:hAnsi="Times New Roman;Times;serif"/>
          <w:sz w:val="20"/>
        </w:rPr>
        <w:t xml:space="preserve">” </w:t>
      </w:r>
      <w:r>
        <w:rPr>
          <w:rFonts w:ascii="Times New Roman;Times;serif" w:hAnsi="Times New Roman;Times;serif"/>
          <w:sz w:val="22"/>
        </w:rPr>
        <w:t>means a collective reference to the applicable Security Agreement or Security Agreements.</w:t>
      </w:r>
    </w:p>
    <w:p>
      <w:pPr>
        <w:pStyle w:val="TextBody"/>
        <w:bidi w:val="0"/>
        <w:spacing w:before="0" w:after="240"/>
        <w:ind w:left="0" w:right="0" w:firstLine="720"/>
        <w:jc w:val="both"/>
        <w:rPr/>
      </w:pPr>
      <w:r>
        <w:rPr/>
        <w:t>“</w:t>
      </w:r>
      <w:r>
        <w:rPr>
          <w:rFonts w:ascii="Times New Roman;Times;serif" w:hAnsi="Times New Roman;Times;serif"/>
          <w:sz w:val="22"/>
          <w:u w:val="single"/>
        </w:rPr>
        <w:t>Collateral Election</w:t>
      </w:r>
      <w:r>
        <w:rPr>
          <w:rFonts w:ascii="Times New Roman;Times;serif" w:hAnsi="Times New Roman;Times;serif"/>
          <w:sz w:val="20"/>
        </w:rPr>
        <w:t xml:space="preserve">” </w:t>
      </w:r>
      <w:r>
        <w:rPr>
          <w:rFonts w:ascii="Times New Roman;Times;serif" w:hAnsi="Times New Roman;Times;serif"/>
          <w:sz w:val="22"/>
        </w:rPr>
        <w:t>has the meaning set forth in Section 6.09.</w:t>
      </w:r>
    </w:p>
    <w:p>
      <w:pPr>
        <w:pStyle w:val="TextBody"/>
        <w:bidi w:val="0"/>
        <w:spacing w:before="0" w:after="240"/>
        <w:ind w:left="0" w:right="0" w:firstLine="720"/>
        <w:jc w:val="both"/>
        <w:rPr/>
      </w:pPr>
      <w:r>
        <w:rPr/>
        <w:t>“</w:t>
      </w:r>
      <w:r>
        <w:rPr>
          <w:rFonts w:ascii="Times New Roman;Times;serif" w:hAnsi="Times New Roman;Times;serif"/>
          <w:sz w:val="22"/>
          <w:u w:val="single"/>
        </w:rPr>
        <w:t>Commitment</w:t>
      </w:r>
      <w:r>
        <w:rPr>
          <w:rFonts w:ascii="Times New Roman;Times;serif" w:hAnsi="Times New Roman;Times;serif"/>
          <w:sz w:val="20"/>
        </w:rPr>
        <w:t xml:space="preserve">” </w:t>
      </w:r>
      <w:r>
        <w:rPr>
          <w:rFonts w:ascii="Times New Roman;Times;serif" w:hAnsi="Times New Roman;Times;serif"/>
          <w:sz w:val="22"/>
        </w:rPr>
        <w:t xml:space="preserve">means, as to each Lender, its obligation to (a) make Committed Loans to the Borrower pursuant to </w:t>
      </w:r>
      <w:r>
        <w:rPr>
          <w:rFonts w:ascii="Times New Roman;Times;serif" w:hAnsi="Times New Roman;Times;serif"/>
          <w:sz w:val="22"/>
          <w:u w:val="single"/>
        </w:rPr>
        <w:t>Section 2.01</w:t>
      </w:r>
      <w:r>
        <w:rPr>
          <w:rFonts w:ascii="Times New Roman;Times;serif" w:hAnsi="Times New Roman;Times;serif"/>
          <w:sz w:val="22"/>
        </w:rPr>
        <w:t>, (b) purchase participations in L/C Obligations, and (c) purchase participations in Swing Line Loans, in an aggregate principal amount at any one time outstanding not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exceed the amount set forth opposite such Lender’s name on </w:t>
      </w:r>
      <w:r>
        <w:rPr>
          <w:rFonts w:ascii="Times New Roman;Times;serif" w:hAnsi="Times New Roman;Times;serif"/>
          <w:sz w:val="22"/>
          <w:u w:val="single"/>
        </w:rPr>
        <w:t>Schedule 2.01</w:t>
      </w:r>
      <w:r>
        <w:rPr>
          <w:rFonts w:ascii="Times New Roman;Times;serif" w:hAnsi="Times New Roman;Times;serif"/>
          <w:sz w:val="20"/>
        </w:rPr>
        <w:t xml:space="preserve"> </w:t>
      </w:r>
      <w:r>
        <w:rPr>
          <w:rFonts w:ascii="Times New Roman;Times;serif" w:hAnsi="Times New Roman;Times;serif"/>
          <w:sz w:val="22"/>
        </w:rPr>
        <w:t>or in the Assignment and Assumption or other documentation pursuant to which such Lender becomes a party hereto, as applicable, as such amount may be adjusted from time to time in accordance with this Agreement.</w:t>
      </w:r>
    </w:p>
    <w:p>
      <w:pPr>
        <w:pStyle w:val="TextBody"/>
        <w:bidi w:val="0"/>
        <w:spacing w:before="0" w:after="240"/>
        <w:ind w:left="0" w:right="0" w:firstLine="720"/>
        <w:jc w:val="both"/>
        <w:rPr/>
      </w:pPr>
      <w:r>
        <w:rPr/>
        <w:t>“</w:t>
      </w:r>
      <w:r>
        <w:rPr>
          <w:rFonts w:ascii="Times New Roman;Times;serif" w:hAnsi="Times New Roman;Times;serif"/>
          <w:sz w:val="22"/>
          <w:u w:val="single"/>
        </w:rPr>
        <w:t>Committed Borrowing</w:t>
      </w:r>
      <w:r>
        <w:rPr>
          <w:rFonts w:ascii="Times New Roman;Times;serif" w:hAnsi="Times New Roman;Times;serif"/>
          <w:sz w:val="20"/>
        </w:rPr>
        <w:t xml:space="preserve">” </w:t>
      </w:r>
      <w:r>
        <w:rPr>
          <w:rFonts w:ascii="Times New Roman;Times;serif" w:hAnsi="Times New Roman;Times;serif"/>
          <w:sz w:val="22"/>
        </w:rPr>
        <w:t xml:space="preserve">means a borrowing consisting of simultaneous Committed Loans of the same Type and, in the case of Term SOFR Loans, having the same Interest Period made by each of the Lenders pursuant to </w:t>
      </w:r>
      <w:r>
        <w:rPr>
          <w:rFonts w:ascii="Times New Roman;Times;serif" w:hAnsi="Times New Roman;Times;serif"/>
          <w:sz w:val="22"/>
          <w:u w:val="single"/>
        </w:rPr>
        <w:t>Section 2.01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Committed Loan</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2.01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Committed Loan Notice</w:t>
      </w:r>
      <w:r>
        <w:rPr>
          <w:rFonts w:ascii="Times New Roman;Times;serif" w:hAnsi="Times New Roman;Times;serif"/>
          <w:sz w:val="20"/>
        </w:rPr>
        <w:t xml:space="preserve">” </w:t>
      </w:r>
      <w:r>
        <w:rPr>
          <w:rFonts w:ascii="Times New Roman;Times;serif" w:hAnsi="Times New Roman;Times;serif"/>
          <w:sz w:val="22"/>
        </w:rPr>
        <w:t xml:space="preserve">means a notice of (a) a Committed Borrowing, (b) a conversion of Committed Loans from one Type to the other, or (c) a continuation of Term SOFR Loans, pursuant to </w:t>
      </w:r>
      <w:r>
        <w:rPr>
          <w:rFonts w:ascii="Times New Roman;Times;serif" w:hAnsi="Times New Roman;Times;serif"/>
          <w:sz w:val="22"/>
          <w:u w:val="single"/>
        </w:rPr>
        <w:t>Section 2.02(a)</w:t>
      </w:r>
      <w:r>
        <w:rPr>
          <w:rFonts w:ascii="Times New Roman;Times;serif" w:hAnsi="Times New Roman;Times;serif"/>
          <w:sz w:val="22"/>
        </w:rPr>
        <w:t xml:space="preserve">, which shall be substantially in the form of </w:t>
      </w:r>
      <w:r>
        <w:rPr>
          <w:rFonts w:ascii="Times New Roman;Times;serif" w:hAnsi="Times New Roman;Times;serif"/>
          <w:sz w:val="22"/>
          <w:u w:val="single"/>
        </w:rPr>
        <w:t>Exhibit A</w:t>
      </w:r>
      <w:r>
        <w:rPr>
          <w:rFonts w:ascii="Times New Roman;Times;serif" w:hAnsi="Times New Roman;Times;serif"/>
          <w:sz w:val="20"/>
        </w:rPr>
        <w:t xml:space="preserve"> </w:t>
      </w:r>
      <w:r>
        <w:rPr>
          <w:rFonts w:ascii="Times New Roman;Times;serif" w:hAnsi="Times New Roman;Times;serif"/>
          <w:sz w:val="22"/>
        </w:rPr>
        <w:t>or such other form as may be approved by the Agent (including any form on an electronic platform or electronic transmission system as shall be approved by the Agent), appropriately completed and signed by an Authorized Officer of the Borrower.</w:t>
      </w:r>
    </w:p>
    <w:p>
      <w:pPr>
        <w:pStyle w:val="TextBody"/>
        <w:bidi w:val="0"/>
        <w:spacing w:before="0" w:after="240"/>
        <w:ind w:left="0" w:right="0" w:firstLine="720"/>
        <w:jc w:val="both"/>
        <w:rPr/>
      </w:pPr>
      <w:r>
        <w:rPr/>
        <w:t>“</w:t>
      </w:r>
      <w:r>
        <w:rPr>
          <w:rFonts w:ascii="Times New Roman;Times;serif" w:hAnsi="Times New Roman;Times;serif"/>
          <w:sz w:val="22"/>
          <w:u w:val="single"/>
        </w:rPr>
        <w:t>Compliance Certificate</w:t>
      </w:r>
      <w:r>
        <w:rPr>
          <w:rFonts w:ascii="Times New Roman;Times;serif" w:hAnsi="Times New Roman;Times;serif"/>
          <w:sz w:val="20"/>
        </w:rPr>
        <w:t xml:space="preserve">” </w:t>
      </w:r>
      <w:r>
        <w:rPr>
          <w:rFonts w:ascii="Times New Roman;Times;serif" w:hAnsi="Times New Roman;Times;serif"/>
          <w:sz w:val="22"/>
        </w:rPr>
        <w:t xml:space="preserve">means a certificate signed in the name of the Borrower by an Authorized Officer of the Borrower in substantially the form of </w:t>
      </w:r>
      <w:r>
        <w:rPr>
          <w:rFonts w:ascii="Times New Roman;Times;serif" w:hAnsi="Times New Roman;Times;serif"/>
          <w:sz w:val="22"/>
          <w:u w:val="single"/>
        </w:rPr>
        <w:t>Exhibit F</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Conforming Changes</w:t>
      </w:r>
      <w:r>
        <w:rPr>
          <w:rFonts w:ascii="Times New Roman;Times;serif" w:hAnsi="Times New Roman;Times;serif"/>
          <w:sz w:val="20"/>
        </w:rPr>
        <w:t xml:space="preserve">” </w:t>
      </w:r>
      <w:r>
        <w:rPr>
          <w:rFonts w:ascii="Times New Roman;Times;serif" w:hAnsi="Times New Roman;Times;serif"/>
          <w:sz w:val="22"/>
        </w:rPr>
        <w:t>means, with respect to the use, administration of or any conventions associated with SOFR or any proposed Successor Rate or Term SOFR, as applicable, any conforming changes to the definitions of “Base Rate”, “SOFR”, “Term SOFR”, “Term SOFR Daily Floating Rate” and “Interest Period”, the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Agent, to reflect the adoption and implementation of such applicable rate(s) and to permit the administration thereof by the Agent in a manner substantially consistent with market practice (or, if the Agent determines that adoption of any portion of such market practice is not administratively feasible or that no market practice for the administration of such rate exists, in such other manner of administration as the Agent determines is reasonably necessary in connection with the administration of this Agreement and any other Loan Document).</w:t>
      </w:r>
    </w:p>
    <w:p>
      <w:pPr>
        <w:pStyle w:val="TextBody"/>
        <w:bidi w:val="0"/>
        <w:spacing w:before="0" w:after="240"/>
        <w:ind w:left="0" w:right="0" w:firstLine="720"/>
        <w:jc w:val="both"/>
        <w:rPr/>
      </w:pPr>
      <w:r>
        <w:rPr/>
        <w:t>“</w:t>
      </w:r>
      <w:r>
        <w:rPr>
          <w:rFonts w:ascii="Times New Roman;Times;serif" w:hAnsi="Times New Roman;Times;serif"/>
          <w:sz w:val="22"/>
          <w:u w:val="single"/>
        </w:rPr>
        <w:t>Connection Income Taxes</w:t>
      </w:r>
      <w:r>
        <w:rPr>
          <w:rFonts w:ascii="Times New Roman;Times;serif" w:hAnsi="Times New Roman;Times;serif"/>
          <w:sz w:val="20"/>
        </w:rPr>
        <w:t xml:space="preserve">” </w:t>
      </w:r>
      <w:r>
        <w:rPr>
          <w:rFonts w:ascii="Times New Roman;Times;serif" w:hAnsi="Times New Roman;Times;serif"/>
          <w:sz w:val="22"/>
        </w:rPr>
        <w:t>means Other Connection Taxes that are imposed on or measured by net income (however denominated) or that are franchise Taxes or branch profits Taxes.</w:t>
      </w:r>
    </w:p>
    <w:p>
      <w:pPr>
        <w:pStyle w:val="TextBody"/>
        <w:bidi w:val="0"/>
        <w:spacing w:before="0" w:after="240"/>
        <w:ind w:left="0" w:right="0" w:firstLine="720"/>
        <w:jc w:val="both"/>
        <w:rPr/>
      </w:pPr>
      <w:r>
        <w:rPr/>
        <w:t>“</w:t>
      </w:r>
      <w:r>
        <w:rPr>
          <w:rFonts w:ascii="Times New Roman;Times;serif" w:hAnsi="Times New Roman;Times;serif"/>
          <w:sz w:val="22"/>
          <w:u w:val="single"/>
        </w:rPr>
        <w:t>Consolidated EBITDA</w:t>
      </w:r>
      <w:r>
        <w:rPr>
          <w:rFonts w:ascii="Times New Roman;Times;serif" w:hAnsi="Times New Roman;Times;serif"/>
          <w:sz w:val="20"/>
        </w:rPr>
        <w:t xml:space="preserve">” </w:t>
      </w:r>
      <w:r>
        <w:rPr>
          <w:rFonts w:ascii="Times New Roman;Times;serif" w:hAnsi="Times New Roman;Times;serif"/>
          <w:sz w:val="22"/>
        </w:rPr>
        <w:t xml:space="preserve">means, for any period, for the Borrower and its Subsidiaries on a consolidated basis, an amount equal to Consolidated Net Income for such period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(a) the following to the extent deducted in calculating such Consolidated Net Income: (i) Consolidated Interest Expense for such period, (ii) the provision for federal, state, local and foreign income taxes payable for such period, (iii) depreciation expense for such period, (iv) amortization expense for such period, (v) deferred dry-docking amortization expense for such period (to the extent not included in the preceding clause (iv)), (vi) non-cash stock-based compensation and (vii) any non-cash impairment, restructuring or other one-time, non-cash non-recurring charges.  For purposes of calculating Consolidated EBITDA for any period of four consecutive quarters, if during such period the Borrower or any Subsidiary shall have consummated (i) an Acquisition of a Person that upon such consummation constitutes a Material Subsidiary (including any such Acquisition structured as an asset purchase, merger or consolidation) or an Acquisition of a Material Line of Business, Consolidated EBITDA for such period shall be calculated after giving pro forma effect thereto as if such transaction occurred on the first day of such period; </w:t>
      </w:r>
      <w:r>
        <w:rPr>
          <w:rFonts w:ascii="Times New Roman;Times;serif" w:hAnsi="Times New Roman;Times;serif"/>
          <w:sz w:val="22"/>
          <w:u w:val="single"/>
        </w:rPr>
        <w:t>provided</w:t>
      </w:r>
      <w:r>
        <w:rPr>
          <w:rFonts w:ascii="Times New Roman;Times;serif" w:hAnsi="Times New Roman;Times;serif"/>
          <w:sz w:val="22"/>
        </w:rPr>
        <w:t>, that if the aggregate purchase price for any Acquisition is greater than or equal to $25,000,000, Consolidated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EBITDA shall only be calculated on a pro forma basis with respect to such Acquisition to the extent such pro forma calculations are based on (w) audited financial statements of such acquired Person or Material Line of Business, (y) unaudited quarterly financial statements of such acquired Person or Material Line of Business, so long as such financial statements have been prepared in conformity with GAAP applied on a consistent basis, as in effect from time to time, applied in a manner consistent with that used in preparing the most recent audited financial statements of such Person or Material Line of Business or (z) other financial statements reasonably satisfactory to the Required Lenders and (ii) a disposition of all or substantially all of the assets of a Material Subsidiary or of at least 50% of the equity interests of a Material Subsidiary or of a Material Line of Business, Consolidated EBITDA for such period shall be calculated after giving pro forma effect thereto as if such transaction occurred on the first day of the such period, so long as, in each case, such pro forma calculations are (x) made in accordance with Regulation S-X (exclusive of “Management Adjustments”), (y)  factually supportable and made in good faith based on reasonable assumptions as certified by a Responsible Officer, without giving effect (unless permitted for pro forma financial statements prepared in accordance with Regulation S-X) to projected cost savings or synergies or (z) are otherwise acceptable to the Required Lenders;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notwithstanding anything to the contrary in the foregoing, if such acquired Person or Material Line of Business has earnings before interest, taxes, depreciation and amortization for the four (4) fiscal quarter period prior to the acquisition date in an amount greater than $0, then Consolidated EBITDA shall be calculated after giving pro forma effect to such Acquisition only if the Borrower so elects in a writing delivered to the Agent.</w:t>
      </w:r>
    </w:p>
    <w:p>
      <w:pPr>
        <w:pStyle w:val="TextBody"/>
        <w:bidi w:val="0"/>
        <w:spacing w:before="0" w:after="240"/>
        <w:ind w:left="0" w:right="0" w:firstLine="720"/>
        <w:jc w:val="both"/>
        <w:rPr/>
      </w:pPr>
      <w:r>
        <w:rPr/>
        <w:t>“</w:t>
      </w:r>
      <w:r>
        <w:rPr>
          <w:rFonts w:ascii="Times New Roman;Times;serif" w:hAnsi="Times New Roman;Times;serif"/>
          <w:sz w:val="22"/>
          <w:u w:val="single"/>
        </w:rPr>
        <w:t>Consolidated Interest Expense</w:t>
      </w:r>
      <w:r>
        <w:rPr>
          <w:rFonts w:ascii="Times New Roman;Times;serif" w:hAnsi="Times New Roman;Times;serif"/>
          <w:sz w:val="20"/>
        </w:rPr>
        <w:t xml:space="preserve">” </w:t>
      </w:r>
      <w:r>
        <w:rPr>
          <w:rFonts w:ascii="Times New Roman;Times;serif" w:hAnsi="Times New Roman;Times;serif"/>
          <w:sz w:val="22"/>
        </w:rPr>
        <w:t xml:space="preserve">means, for any period, for the Borrower and its Subsidiaries on a consolidated basis,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(b) the portion of rent expense with respect to such period under capital leases that is treated as interest in accordance with GAAP.</w:t>
      </w:r>
    </w:p>
    <w:p>
      <w:pPr>
        <w:pStyle w:val="TextBody"/>
        <w:bidi w:val="0"/>
        <w:spacing w:before="0" w:after="240"/>
        <w:ind w:left="90" w:right="0" w:firstLine="630"/>
        <w:jc w:val="both"/>
        <w:rPr/>
      </w:pPr>
      <w:r>
        <w:rPr/>
        <w:t>“</w:t>
      </w:r>
      <w:r>
        <w:rPr>
          <w:rFonts w:ascii="Times New Roman;Times;serif" w:hAnsi="Times New Roman;Times;serif"/>
          <w:sz w:val="22"/>
          <w:u w:val="single"/>
        </w:rPr>
        <w:t>Consolidated Leverage Ratio</w:t>
      </w:r>
      <w:r>
        <w:rPr>
          <w:rFonts w:ascii="Times New Roman;Times;serif" w:hAnsi="Times New Roman;Times;serif"/>
          <w:sz w:val="20"/>
        </w:rPr>
        <w:t xml:space="preserve">” </w:t>
      </w:r>
      <w:r>
        <w:rPr>
          <w:rFonts w:ascii="Times New Roman;Times;serif" w:hAnsi="Times New Roman;Times;serif"/>
          <w:sz w:val="22"/>
        </w:rPr>
        <w:t xml:space="preserve">means, as at any time of determination thereof, the ratio of (a) all Debt of the Borrower and its Subsidiaries on a consolidated basis as of such time </w:t>
      </w:r>
      <w:r>
        <w:rPr>
          <w:rFonts w:ascii="Times New Roman;Times;serif" w:hAnsi="Times New Roman;Times;serif"/>
          <w:sz w:val="22"/>
          <w:u w:val="single"/>
        </w:rPr>
        <w:t>to</w:t>
      </w:r>
      <w:r>
        <w:rPr>
          <w:rFonts w:ascii="Times New Roman;Times;serif" w:hAnsi="Times New Roman;Times;serif"/>
          <w:sz w:val="20"/>
        </w:rPr>
        <w:t xml:space="preserve"> </w:t>
      </w:r>
      <w:r>
        <w:rPr>
          <w:rFonts w:ascii="Times New Roman;Times;serif" w:hAnsi="Times New Roman;Times;serif"/>
          <w:sz w:val="22"/>
        </w:rPr>
        <w:t>(b) Consolidated EBITDA for the most recently completed four fiscal quarters.</w:t>
      </w:r>
    </w:p>
    <w:p>
      <w:pPr>
        <w:pStyle w:val="TextBody"/>
        <w:bidi w:val="0"/>
        <w:spacing w:before="0" w:after="240"/>
        <w:ind w:left="0" w:right="0" w:firstLine="720"/>
        <w:jc w:val="both"/>
        <w:rPr/>
      </w:pPr>
      <w:r>
        <w:rPr/>
        <w:t>“</w:t>
      </w:r>
      <w:r>
        <w:rPr>
          <w:rFonts w:ascii="Times New Roman;Times;serif" w:hAnsi="Times New Roman;Times;serif"/>
          <w:sz w:val="22"/>
          <w:u w:val="single"/>
        </w:rPr>
        <w:t>Consolidated Net Income</w:t>
      </w:r>
      <w:r>
        <w:rPr>
          <w:rFonts w:ascii="Times New Roman;Times;serif" w:hAnsi="Times New Roman;Times;serif"/>
          <w:sz w:val="20"/>
        </w:rPr>
        <w:t xml:space="preserve">” </w:t>
      </w:r>
      <w:r>
        <w:rPr>
          <w:rFonts w:ascii="Times New Roman;Times;serif" w:hAnsi="Times New Roman;Times;serif"/>
          <w:sz w:val="22"/>
        </w:rPr>
        <w:t>means, for any period, the consolidated net income of the Borrower and its Subsidiaries (excluding, to the extent included in such consolidated net income (a) non-cash gains or losses during such period from the write-up or write-down of assets and (b) income or losses during such period from discontinued operations) as determined in accordance with GAAP.</w:t>
      </w:r>
    </w:p>
    <w:p>
      <w:pPr>
        <w:pStyle w:val="TextBody"/>
        <w:bidi w:val="0"/>
        <w:spacing w:before="0" w:after="240"/>
        <w:ind w:left="90" w:right="0" w:firstLine="630"/>
        <w:jc w:val="both"/>
        <w:rPr/>
      </w:pPr>
      <w:r>
        <w:rPr/>
        <w:t>“</w:t>
      </w:r>
      <w:r>
        <w:rPr>
          <w:rFonts w:ascii="Times New Roman;Times;serif" w:hAnsi="Times New Roman;Times;serif"/>
          <w:sz w:val="22"/>
          <w:u w:val="single"/>
        </w:rPr>
        <w:t>Consolidated Net Leverage Ratio</w:t>
      </w:r>
      <w:r>
        <w:rPr>
          <w:rFonts w:ascii="Times New Roman;Times;serif" w:hAnsi="Times New Roman;Times;serif"/>
          <w:sz w:val="20"/>
        </w:rPr>
        <w:t xml:space="preserve">” </w:t>
      </w:r>
      <w:r>
        <w:rPr>
          <w:rFonts w:ascii="Times New Roman;Times;serif" w:hAnsi="Times New Roman;Times;serif"/>
          <w:sz w:val="22"/>
        </w:rPr>
        <w:t xml:space="preserve">means, as at any time of determination thereof, the ratio of (a) the amount of Net Debt of the Borrower and Subsidiaries on a consolidated basis as of such time </w:t>
      </w:r>
      <w:r>
        <w:rPr>
          <w:rFonts w:ascii="Times New Roman;Times;serif" w:hAnsi="Times New Roman;Times;serif"/>
          <w:sz w:val="22"/>
          <w:u w:val="single"/>
        </w:rPr>
        <w:t>to</w:t>
      </w:r>
      <w:r>
        <w:rPr>
          <w:rFonts w:ascii="Times New Roman;Times;serif" w:hAnsi="Times New Roman;Times;serif"/>
          <w:sz w:val="20"/>
        </w:rPr>
        <w:t xml:space="preserve"> </w:t>
      </w:r>
      <w:r>
        <w:rPr>
          <w:rFonts w:ascii="Times New Roman;Times;serif" w:hAnsi="Times New Roman;Times;serif"/>
          <w:sz w:val="22"/>
        </w:rPr>
        <w:t>(b) Consolidated EBITDA for the most recently completed four fiscal quarters.</w:t>
      </w:r>
    </w:p>
    <w:p>
      <w:pPr>
        <w:pStyle w:val="TextBody"/>
        <w:bidi w:val="0"/>
        <w:spacing w:before="0" w:after="240"/>
        <w:ind w:left="0" w:right="0" w:firstLine="720"/>
        <w:jc w:val="both"/>
        <w:rPr/>
      </w:pPr>
      <w:r>
        <w:rPr/>
        <w:t>“</w:t>
      </w:r>
      <w:r>
        <w:rPr>
          <w:rFonts w:ascii="Times New Roman;Times;serif" w:hAnsi="Times New Roman;Times;serif"/>
          <w:sz w:val="22"/>
          <w:u w:val="single"/>
        </w:rPr>
        <w:t>Consolidated Tangible Assets</w:t>
      </w:r>
      <w:r>
        <w:rPr>
          <w:rFonts w:ascii="Times New Roman;Times;serif" w:hAnsi="Times New Roman;Times;serif"/>
          <w:sz w:val="20"/>
        </w:rPr>
        <w:t xml:space="preserve">” </w:t>
      </w:r>
      <w:r>
        <w:rPr>
          <w:rFonts w:ascii="Times New Roman;Times;serif" w:hAnsi="Times New Roman;Times;serif"/>
          <w:sz w:val="22"/>
        </w:rPr>
        <w:t>means, as of any date, total assets (excluding treasury stock, unamortized debt discount and expense, goodwill, trademarks, trade names, patents, deferred charges and other intangible assets) of the Borrower and its Subsidiaries on a consolidated basis, as determined in accordance with GAAP.</w:t>
      </w:r>
    </w:p>
    <w:p>
      <w:pPr>
        <w:pStyle w:val="TextBody"/>
        <w:bidi w:val="0"/>
        <w:spacing w:before="0" w:after="240"/>
        <w:ind w:left="0" w:right="0" w:firstLine="720"/>
        <w:jc w:val="both"/>
        <w:rPr/>
      </w:pPr>
      <w:r>
        <w:rPr/>
        <w:t>“</w:t>
      </w:r>
      <w:r>
        <w:rPr>
          <w:rFonts w:ascii="Times New Roman;Times;serif" w:hAnsi="Times New Roman;Times;serif"/>
          <w:sz w:val="22"/>
          <w:u w:val="single"/>
        </w:rPr>
        <w:t>Control</w:t>
      </w:r>
      <w:r>
        <w:rPr>
          <w:rFonts w:ascii="Times New Roman;Times;serif" w:hAnsi="Times New Roman;Times;serif"/>
          <w:sz w:val="20"/>
        </w:rPr>
        <w:t xml:space="preserve">” </w:t>
      </w:r>
      <w:r>
        <w:rPr>
          <w:rFonts w:ascii="Times New Roman;Times;serif" w:hAnsi="Times New Roman;Times;serif"/>
          <w:sz w:val="22"/>
        </w:rPr>
        <w:t>means the possession, directly or indirectly, of the power to direct or cause the direction of the management and policies of a Person, whether through the ownership of voting securities, by contract or otherwise.  “Controlling” and “Controlled” have meanings correlative thereto.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Credit Extension</w:t>
      </w:r>
      <w:r>
        <w:rPr>
          <w:rFonts w:ascii="Times New Roman;Times;serif" w:hAnsi="Times New Roman;Times;serif"/>
          <w:sz w:val="20"/>
        </w:rPr>
        <w:t xml:space="preserve">” </w:t>
      </w:r>
      <w:r>
        <w:rPr>
          <w:rFonts w:ascii="Times New Roman;Times;serif" w:hAnsi="Times New Roman;Times;serif"/>
          <w:sz w:val="22"/>
        </w:rPr>
        <w:t>means each of the following: (a) a Borrowing and (b) an L/C Credit Extension.</w:t>
      </w:r>
    </w:p>
    <w:p>
      <w:pPr>
        <w:pStyle w:val="TextBody"/>
        <w:bidi w:val="0"/>
        <w:spacing w:before="0" w:after="240"/>
        <w:ind w:left="0" w:right="0" w:firstLine="720"/>
        <w:jc w:val="both"/>
        <w:rPr/>
      </w:pPr>
      <w:r>
        <w:rPr/>
        <w:t>“</w:t>
      </w:r>
      <w:r>
        <w:rPr>
          <w:rFonts w:ascii="Times New Roman;Times;serif" w:hAnsi="Times New Roman;Times;serif"/>
          <w:sz w:val="22"/>
          <w:u w:val="single"/>
        </w:rPr>
        <w:t>Daily Simple SOFR</w:t>
      </w:r>
      <w:r>
        <w:rPr>
          <w:rFonts w:ascii="Times New Roman;Times;serif" w:hAnsi="Times New Roman;Times;serif"/>
          <w:sz w:val="20"/>
        </w:rPr>
        <w:t xml:space="preserve">” </w:t>
      </w:r>
      <w:r>
        <w:rPr>
          <w:rFonts w:ascii="Times New Roman;Times;serif" w:hAnsi="Times New Roman;Times;serif"/>
          <w:sz w:val="22"/>
        </w:rPr>
        <w:t>with respect to any applicable determination date means the SOFR published on such date on the Federal Reserve Bank of New York’s website (or any successor source).</w:t>
      </w:r>
    </w:p>
    <w:p>
      <w:pPr>
        <w:pStyle w:val="TextBody"/>
        <w:bidi w:val="0"/>
        <w:spacing w:before="0" w:after="240"/>
        <w:ind w:left="0" w:right="0" w:firstLine="720"/>
        <w:jc w:val="both"/>
        <w:rPr/>
      </w:pPr>
      <w:r>
        <w:rPr/>
        <w:t>“</w:t>
      </w:r>
      <w:r>
        <w:rPr>
          <w:rFonts w:ascii="Times New Roman;Times;serif" w:hAnsi="Times New Roman;Times;serif"/>
          <w:sz w:val="22"/>
          <w:u w:val="single"/>
        </w:rPr>
        <w:t>Debt</w:t>
      </w:r>
      <w:r>
        <w:rPr>
          <w:rFonts w:ascii="Times New Roman;Times;serif" w:hAnsi="Times New Roman;Times;serif"/>
          <w:sz w:val="20"/>
        </w:rPr>
        <w:t xml:space="preserve">” </w:t>
      </w:r>
      <w:r>
        <w:rPr>
          <w:rFonts w:ascii="Times New Roman;Times;serif" w:hAnsi="Times New Roman;Times;serif"/>
          <w:sz w:val="22"/>
        </w:rPr>
        <w:t>means, as to any Person at the time of determination thereof without duplication, (a) any indebtedness of such Person (i) for borrowed money, including commercial paper and revolving credit lines, (ii) evidenced by bonds, debentures or notes or otherwise representing extensions of credit, whether or not representing obligations for borrowed money (except trade accounts payable arising in the ordinary course of business) or (iii) for the payment of the deferred purchase price of property or services, except trade accounts payable arising in the ordinary course of business, regardless of when such liability or other obligation is due and payable, (b) Capitalized Lease Obligations of such Person, (c) direct or contingent obligations under standby letters of credit (and substantially similar instruments such as bank guaranties), (d) Guarantees, assumptions and endorsements by such Person (other than endorsements of negotiable instruments for collection in the ordinary course of business) of Debt of another Person of the types described in clauses (a), (b) and (c) hereof, and (e) Debt of another Person of the types described in clauses (a), (b) and (c) hereof, that is secured by Liens on the property or other assets of such Person.  Notwithstanding the forgoing, “Debt” shall not include (i) to the extent not exceeding $15,000,000 at any time outstanding, unsecured contingent reimbursement obligations under standby letters of credit (and substantially similar instruments such as bank guaranties), (ii) a Guarantee of Matson Navigation’s trade accounts receivable purchased or held by the CCF or (iii) liability relating to any operating lease.</w:t>
      </w:r>
    </w:p>
    <w:p>
      <w:pPr>
        <w:pStyle w:val="TextBody"/>
        <w:bidi w:val="0"/>
        <w:spacing w:before="0" w:after="240"/>
        <w:ind w:left="0" w:right="0" w:firstLine="720"/>
        <w:jc w:val="both"/>
        <w:rPr/>
      </w:pPr>
      <w:r>
        <w:rPr/>
        <w:t>“</w:t>
      </w:r>
      <w:r>
        <w:rPr>
          <w:rFonts w:ascii="Times New Roman;Times;serif" w:hAnsi="Times New Roman;Times;serif"/>
          <w:sz w:val="22"/>
          <w:u w:val="single"/>
        </w:rPr>
        <w:t>Debtor Relief Laws</w:t>
      </w:r>
      <w:r>
        <w:rPr>
          <w:rFonts w:ascii="Times New Roman;Times;serif" w:hAnsi="Times New Roman;Times;serif"/>
          <w:sz w:val="20"/>
        </w:rPr>
        <w:t xml:space="preserve">” </w:t>
      </w:r>
      <w:r>
        <w:rPr>
          <w:rFonts w:ascii="Times New Roman;Times;serif" w:hAnsi="Times New Roman;Times;serif"/>
          <w:sz w:val="22"/>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240"/>
        <w:ind w:left="0" w:right="0" w:firstLine="720"/>
        <w:jc w:val="both"/>
        <w:rPr/>
      </w:pPr>
      <w:r>
        <w:rPr/>
        <w:t>“</w:t>
      </w:r>
      <w:r>
        <w:rPr>
          <w:rFonts w:ascii="Times New Roman;Times;serif" w:hAnsi="Times New Roman;Times;serif"/>
          <w:sz w:val="22"/>
          <w:u w:val="single"/>
        </w:rPr>
        <w:t>Default</w:t>
      </w:r>
      <w:r>
        <w:rPr>
          <w:rFonts w:ascii="Times New Roman;Times;serif" w:hAnsi="Times New Roman;Times;serif"/>
          <w:sz w:val="20"/>
        </w:rPr>
        <w:t xml:space="preserve">” </w:t>
      </w:r>
      <w:r>
        <w:rPr>
          <w:rFonts w:ascii="Times New Roman;Times;serif" w:hAnsi="Times New Roman;Times;serif"/>
          <w:sz w:val="22"/>
        </w:rPr>
        <w:t>means any event or condition that constitutes an Event of Default or that, with the giving of any notice, the passage of time, or both, would be an Event of Default.</w:t>
      </w:r>
    </w:p>
    <w:p>
      <w:pPr>
        <w:pStyle w:val="TextBody"/>
        <w:bidi w:val="0"/>
        <w:spacing w:before="0" w:after="240"/>
        <w:ind w:left="0" w:right="0" w:firstLine="720"/>
        <w:jc w:val="both"/>
        <w:rPr/>
      </w:pPr>
      <w:r>
        <w:rPr/>
        <w:t>“</w:t>
      </w:r>
      <w:r>
        <w:rPr>
          <w:rFonts w:ascii="Times New Roman;Times;serif" w:hAnsi="Times New Roman;Times;serif"/>
          <w:sz w:val="22"/>
          <w:u w:val="single"/>
        </w:rPr>
        <w:t>Default Rate</w:t>
      </w:r>
      <w:r>
        <w:rPr>
          <w:rFonts w:ascii="Times New Roman;Times;serif" w:hAnsi="Times New Roman;Times;serif"/>
          <w:sz w:val="20"/>
        </w:rPr>
        <w:t xml:space="preserve">” </w:t>
      </w:r>
      <w:r>
        <w:rPr>
          <w:rFonts w:ascii="Times New Roman;Times;serif" w:hAnsi="Times New Roman;Times;serif"/>
          <w:sz w:val="22"/>
        </w:rPr>
        <w:t xml:space="preserve">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 xml:space="preserve">the Applicable Rate for Loans that are Base Rate Loans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two percent (2%), in each case, to the fullest extent permitted by applicable law.</w:t>
      </w:r>
    </w:p>
    <w:p>
      <w:pPr>
        <w:pStyle w:val="TextBody"/>
        <w:bidi w:val="0"/>
        <w:spacing w:before="0" w:after="240"/>
        <w:ind w:left="0" w:right="0" w:firstLine="720"/>
        <w:jc w:val="both"/>
        <w:rPr/>
      </w:pPr>
      <w:r>
        <w:rPr/>
        <w:t>“</w:t>
      </w:r>
      <w:r>
        <w:rPr>
          <w:rFonts w:ascii="Times New Roman;Times;serif" w:hAnsi="Times New Roman;Times;serif"/>
          <w:sz w:val="22"/>
          <w:u w:val="single"/>
        </w:rPr>
        <w:t>Defaulting Lender</w:t>
      </w:r>
      <w:r>
        <w:rPr>
          <w:rFonts w:ascii="Times New Roman;Times;serif" w:hAnsi="Times New Roman;Times;serif"/>
          <w:sz w:val="20"/>
        </w:rPr>
        <w:t xml:space="preserve">” </w:t>
      </w:r>
      <w:r>
        <w:rPr>
          <w:rFonts w:ascii="Times New Roman;Times;serif" w:hAnsi="Times New Roman;Times;serif"/>
          <w:sz w:val="22"/>
        </w:rPr>
        <w:t xml:space="preserve">means, subject to </w:t>
      </w:r>
      <w:r>
        <w:rPr>
          <w:rFonts w:ascii="Times New Roman;Times;serif" w:hAnsi="Times New Roman;Times;serif"/>
          <w:sz w:val="22"/>
          <w:u w:val="single"/>
        </w:rPr>
        <w:t>Section 2.16(b)</w:t>
      </w:r>
      <w:r>
        <w:rPr>
          <w:rFonts w:ascii="Times New Roman;Times;serif" w:hAnsi="Times New Roman;Times;serif"/>
          <w:sz w:val="22"/>
        </w:rPr>
        <w:t>, any Lender that (a) has failed to (i) fund all or any portion of its Loans within two Business Days of the date such Loans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the L/C Issuer, the Swing Line Lender or any other Lender any other amount required to be paid by it hereunder (including in respect of its participation in Letters of Credit or Swing Line Loans) within two Business Days of the date when due, (b) has notified the Borrower, the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Agent or the Borrower, to confirm in writing to the Agent and the Borrower that it will comply with its prospective funding obligations hereunder (provided that such Lender shall cease to be a Defaulting Lender pursuant to this clause (c) upon receipt of such written confirmation by the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becomes the subject of a Bail-In Action;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Times New Roman;Times;serif" w:hAnsi="Times New Roman;Times;serif"/>
          <w:sz w:val="22"/>
          <w:u w:val="single"/>
        </w:rPr>
        <w:t>Section 2.16(b)</w:t>
      </w:r>
      <w:r>
        <w:rPr>
          <w:rFonts w:ascii="Times New Roman;Times;serif" w:hAnsi="Times New Roman;Times;serif"/>
          <w:sz w:val="22"/>
        </w:rPr>
        <w:t>) as of the date established therefor by the Agent in a written notice of such determination, which shall be delivered by the Agent to the Borrower, the L/C Issuer, the Swing Line Lender and each other Lender promptly following such determination.</w:t>
      </w:r>
    </w:p>
    <w:p>
      <w:pPr>
        <w:pStyle w:val="TextBody"/>
        <w:bidi w:val="0"/>
        <w:spacing w:before="0" w:after="240"/>
        <w:ind w:left="0" w:right="0" w:firstLine="720"/>
        <w:jc w:val="both"/>
        <w:rPr/>
      </w:pPr>
      <w:r>
        <w:rPr/>
        <w:t>“</w:t>
      </w:r>
      <w:r>
        <w:rPr>
          <w:rFonts w:ascii="Times New Roman;Times;serif" w:hAnsi="Times New Roman;Times;serif"/>
          <w:sz w:val="22"/>
          <w:u w:val="single"/>
        </w:rPr>
        <w:t>Designated Jurisdiction</w:t>
      </w:r>
      <w:r>
        <w:rPr>
          <w:rFonts w:ascii="Times New Roman;Times;serif" w:hAnsi="Times New Roman;Times;serif"/>
          <w:sz w:val="20"/>
        </w:rPr>
        <w:t xml:space="preserve">” </w:t>
      </w:r>
      <w:r>
        <w:rPr>
          <w:rFonts w:ascii="Times New Roman;Times;serif" w:hAnsi="Times New Roman;Times;serif"/>
          <w:sz w:val="22"/>
        </w:rPr>
        <w:t>means any country or territory to the extent that such country or territory itself is the subject of any Sanction.</w:t>
      </w:r>
    </w:p>
    <w:p>
      <w:pPr>
        <w:pStyle w:val="TextBody"/>
        <w:bidi w:val="0"/>
        <w:spacing w:before="0" w:after="240"/>
        <w:ind w:left="0" w:right="0" w:firstLine="720"/>
        <w:jc w:val="both"/>
        <w:rPr/>
      </w:pPr>
      <w:r>
        <w:rPr/>
        <w:t>“</w:t>
      </w:r>
      <w:r>
        <w:rPr>
          <w:rFonts w:ascii="Times New Roman;Times;serif" w:hAnsi="Times New Roman;Times;serif"/>
          <w:sz w:val="22"/>
          <w:u w:val="single"/>
        </w:rPr>
        <w:t>Dollar</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w:t>
      </w:r>
      <w:r>
        <w:rPr>
          <w:rFonts w:ascii="Times New Roman;Times;serif" w:hAnsi="Times New Roman;Times;serif"/>
          <w:sz w:val="20"/>
        </w:rPr>
        <w:t xml:space="preserve">” </w:t>
      </w:r>
      <w:r>
        <w:rPr>
          <w:rFonts w:ascii="Times New Roman;Times;serif" w:hAnsi="Times New Roman;Times;serif"/>
          <w:sz w:val="22"/>
        </w:rPr>
        <w:t>mean lawful money of the United States.</w:t>
      </w:r>
    </w:p>
    <w:p>
      <w:pPr>
        <w:pStyle w:val="TextBody"/>
        <w:bidi w:val="0"/>
        <w:spacing w:before="0" w:after="240"/>
        <w:ind w:left="0" w:right="0" w:firstLine="720"/>
        <w:jc w:val="both"/>
        <w:rPr/>
      </w:pPr>
      <w:r>
        <w:rPr/>
        <w:t>“</w:t>
      </w:r>
      <w:r>
        <w:rPr>
          <w:rFonts w:ascii="Times New Roman;Times;serif" w:hAnsi="Times New Roman;Times;serif"/>
          <w:sz w:val="22"/>
          <w:u w:val="single"/>
        </w:rPr>
        <w:t>Domestic Subsidiary</w:t>
      </w:r>
      <w:r>
        <w:rPr>
          <w:rFonts w:ascii="Times New Roman;Times;serif" w:hAnsi="Times New Roman;Times;serif"/>
          <w:sz w:val="20"/>
        </w:rPr>
        <w:t xml:space="preserve">” </w:t>
      </w:r>
      <w:r>
        <w:rPr>
          <w:rFonts w:ascii="Times New Roman;Times;serif" w:hAnsi="Times New Roman;Times;serif"/>
          <w:sz w:val="22"/>
        </w:rPr>
        <w:t>means any Subsidiary that is organized under the laws of any state of the United States or the District of Columbia.</w:t>
      </w:r>
    </w:p>
    <w:p>
      <w:pPr>
        <w:pStyle w:val="TextBody"/>
        <w:bidi w:val="0"/>
        <w:spacing w:before="0" w:after="240"/>
        <w:ind w:left="0" w:right="0" w:firstLine="720"/>
        <w:jc w:val="both"/>
        <w:rPr/>
      </w:pPr>
      <w:r>
        <w:rPr/>
        <w:t>“</w:t>
      </w:r>
      <w:r>
        <w:rPr>
          <w:rFonts w:ascii="Times New Roman;Times;serif" w:hAnsi="Times New Roman;Times;serif"/>
          <w:sz w:val="22"/>
          <w:u w:val="single"/>
        </w:rPr>
        <w:t>EEA Financial Institution</w:t>
      </w:r>
      <w:r>
        <w:rPr>
          <w:rFonts w:ascii="Times New Roman;Times;serif" w:hAnsi="Times New Roman;Times;serif"/>
          <w:sz w:val="20"/>
        </w:rPr>
        <w:t xml:space="preserve">” </w:t>
      </w:r>
      <w:r>
        <w:rPr>
          <w:rFonts w:ascii="Times New Roman;Times;serif" w:hAnsi="Times New Roman;Times;serif"/>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ind w:left="0" w:right="0" w:firstLine="720"/>
        <w:jc w:val="both"/>
        <w:rPr/>
      </w:pPr>
      <w:r>
        <w:rPr/>
        <w:t>“</w:t>
      </w:r>
      <w:r>
        <w:rPr>
          <w:rFonts w:ascii="Times New Roman;Times;serif" w:hAnsi="Times New Roman;Times;serif"/>
          <w:sz w:val="22"/>
          <w:u w:val="single"/>
        </w:rPr>
        <w:t>EEA Member Country</w:t>
      </w:r>
      <w:r>
        <w:rPr>
          <w:rFonts w:ascii="Times New Roman;Times;serif" w:hAnsi="Times New Roman;Times;serif"/>
          <w:sz w:val="20"/>
        </w:rPr>
        <w:t xml:space="preserve">” </w:t>
      </w:r>
      <w:r>
        <w:rPr>
          <w:rFonts w:ascii="Times New Roman;Times;serif" w:hAnsi="Times New Roman;Times;serif"/>
          <w:sz w:val="22"/>
        </w:rPr>
        <w:t>means any of the member states of the European Union, Iceland, Liechtenstein, and Norway.</w:t>
      </w:r>
    </w:p>
    <w:p>
      <w:pPr>
        <w:pStyle w:val="TextBody"/>
        <w:bidi w:val="0"/>
        <w:spacing w:before="0" w:after="240"/>
        <w:ind w:left="0" w:right="0" w:firstLine="720"/>
        <w:jc w:val="both"/>
        <w:rPr/>
      </w:pPr>
      <w:r>
        <w:rPr/>
        <w:t>“</w:t>
      </w:r>
      <w:r>
        <w:rPr>
          <w:rFonts w:ascii="Times New Roman;Times;serif" w:hAnsi="Times New Roman;Times;serif"/>
          <w:sz w:val="22"/>
          <w:u w:val="single"/>
        </w:rPr>
        <w:t>EEA Resolution Authority</w:t>
      </w:r>
      <w:r>
        <w:rPr>
          <w:rFonts w:ascii="Times New Roman;Times;serif" w:hAnsi="Times New Roman;Times;serif"/>
          <w:sz w:val="20"/>
        </w:rPr>
        <w:t xml:space="preserve">” </w:t>
      </w:r>
      <w:r>
        <w:rPr>
          <w:rFonts w:ascii="Times New Roman;Times;serif" w:hAnsi="Times New Roman;Times;serif"/>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ind w:left="0" w:right="0" w:firstLine="720"/>
        <w:jc w:val="both"/>
        <w:rPr/>
      </w:pPr>
      <w:r>
        <w:rPr/>
        <w:t>“</w:t>
      </w:r>
      <w:r>
        <w:rPr>
          <w:rFonts w:ascii="Times New Roman;Times;serif" w:hAnsi="Times New Roman;Times;serif"/>
          <w:sz w:val="22"/>
          <w:u w:val="single"/>
        </w:rPr>
        <w:t>Electronic Record</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Electronic Signature</w:t>
      </w:r>
      <w:r>
        <w:rPr>
          <w:rFonts w:ascii="Times New Roman;Times;serif" w:hAnsi="Times New Roman;Times;serif"/>
          <w:sz w:val="20"/>
        </w:rPr>
        <w:t xml:space="preserve">” </w:t>
      </w:r>
      <w:r>
        <w:rPr>
          <w:rFonts w:ascii="Times New Roman;Times;serif" w:hAnsi="Times New Roman;Times;serif"/>
          <w:sz w:val="22"/>
        </w:rPr>
        <w:t>shall have the meanings assigned to them, respectively, by 15 USC §7006, as it may be amended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Eligible Assignee</w:t>
      </w:r>
      <w:r>
        <w:rPr>
          <w:rFonts w:ascii="Times New Roman;Times;serif" w:hAnsi="Times New Roman;Times;serif"/>
          <w:sz w:val="20"/>
        </w:rPr>
        <w:t xml:space="preserve">” </w:t>
      </w:r>
      <w:r>
        <w:rPr>
          <w:rFonts w:ascii="Times New Roman;Times;serif" w:hAnsi="Times New Roman;Times;serif"/>
          <w:sz w:val="22"/>
        </w:rPr>
        <w:t xml:space="preserve">means any Person that meets the requirements to be an assignee under </w:t>
      </w:r>
      <w:r>
        <w:rPr>
          <w:rFonts w:ascii="Times New Roman;Times;serif" w:hAnsi="Times New Roman;Times;serif"/>
          <w:sz w:val="22"/>
          <w:u w:val="single"/>
        </w:rPr>
        <w:t>Sections 10.06(b)(iii)</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(v)</w:t>
      </w:r>
      <w:r>
        <w:rPr>
          <w:rFonts w:ascii="Times New Roman;Times;serif" w:hAnsi="Times New Roman;Times;serif"/>
          <w:sz w:val="20"/>
        </w:rPr>
        <w:t xml:space="preserve"> </w:t>
      </w:r>
      <w:r>
        <w:rPr>
          <w:rFonts w:ascii="Times New Roman;Times;serif" w:hAnsi="Times New Roman;Times;serif"/>
          <w:sz w:val="22"/>
        </w:rPr>
        <w:t xml:space="preserve">(subject to such consents, if any, as may be required under </w:t>
      </w:r>
      <w:r>
        <w:rPr>
          <w:rFonts w:ascii="Times New Roman;Times;serif" w:hAnsi="Times New Roman;Times;serif"/>
          <w:sz w:val="22"/>
          <w:u w:val="single"/>
        </w:rPr>
        <w:t>Section 10.06(b)(iii)</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Eligible Business Line</w:t>
      </w:r>
      <w:r>
        <w:rPr>
          <w:rFonts w:ascii="Times New Roman;Times;serif" w:hAnsi="Times New Roman;Times;serif"/>
          <w:sz w:val="20"/>
        </w:rPr>
        <w:t xml:space="preserve">” </w:t>
      </w:r>
      <w:r>
        <w:rPr>
          <w:rFonts w:ascii="Times New Roman;Times;serif" w:hAnsi="Times New Roman;Times;serif"/>
          <w:sz w:val="22"/>
        </w:rPr>
        <w:t>means any business engaged in as of the Closing Date by the Borrower or any of its Subsidiaries or any business reasonably related thereto (but in no event an airline).</w:t>
      </w:r>
    </w:p>
    <w:p>
      <w:pPr>
        <w:pStyle w:val="TextBody"/>
        <w:bidi w:val="0"/>
        <w:spacing w:before="0" w:after="240"/>
        <w:ind w:left="0" w:right="0" w:firstLine="720"/>
        <w:jc w:val="both"/>
        <w:rPr/>
      </w:pPr>
      <w:r>
        <w:rPr/>
        <w:t>“</w:t>
      </w:r>
      <w:r>
        <w:rPr>
          <w:rFonts w:ascii="Times New Roman;Times;serif" w:hAnsi="Times New Roman;Times;serif"/>
          <w:sz w:val="22"/>
          <w:u w:val="single"/>
        </w:rPr>
        <w:t>Environmental and Safety Laws</w:t>
      </w:r>
      <w:r>
        <w:rPr>
          <w:rFonts w:ascii="Times New Roman;Times;serif" w:hAnsi="Times New Roman;Times;serif"/>
          <w:sz w:val="20"/>
        </w:rPr>
        <w:t xml:space="preserve">” </w:t>
      </w:r>
      <w:r>
        <w:rPr>
          <w:rFonts w:ascii="Times New Roman;Times;serif" w:hAnsi="Times New Roman;Times;serif"/>
          <w:sz w:val="22"/>
        </w:rPr>
        <w:t>means all Federal, state and local laws, regulations and ordinances, relating to the discharge, handling, disposition or treatment of Hazardous Materials and other substances or the protection of the environment or of employee health and safety, including, without limitation, CERCLA, the Hazardous Materials Transportation Act (49 U.S.C. Section 1901 et. seq.), the Resource Conservation and Recovery Act (42 U.S.C. Section 6901 et. seq.), the Federal Water Pollution Control Act (33 U.S.C. Section 1251 et. seq.), the Clean Air Act (42 U.S.C. Section 7401 et. seq.), the Toxic Substances Control Act (15 U.S.C. Section 2601 et.  seq.), the Occupational Safety and Health Act (29 U.S.C. Section 651 et. seq.) and the Emergency Planning and Community Right-To-Know Act (42 U.S.C. Section 11001 et. seq.).</w:t>
      </w:r>
    </w:p>
    <w:p>
      <w:pPr>
        <w:pStyle w:val="TextBody"/>
        <w:bidi w:val="0"/>
        <w:spacing w:before="0" w:after="240"/>
        <w:ind w:left="0" w:right="0" w:firstLine="720"/>
        <w:jc w:val="both"/>
        <w:rPr/>
      </w:pPr>
      <w:r>
        <w:rPr/>
        <w:t>“</w:t>
      </w:r>
      <w:r>
        <w:rPr>
          <w:rFonts w:ascii="Times New Roman;Times;serif" w:hAnsi="Times New Roman;Times;serif"/>
          <w:sz w:val="22"/>
          <w:u w:val="single"/>
        </w:rPr>
        <w:t>Environmental Liabilities and Costs</w:t>
      </w:r>
      <w:r>
        <w:rPr>
          <w:rFonts w:ascii="Times New Roman;Times;serif" w:hAnsi="Times New Roman;Times;serif"/>
          <w:sz w:val="20"/>
        </w:rPr>
        <w:t xml:space="preserve">” </w:t>
      </w:r>
      <w:r>
        <w:rPr>
          <w:rFonts w:ascii="Times New Roman;Times;serif" w:hAnsi="Times New Roman;Times;serif"/>
          <w:sz w:val="22"/>
        </w:rPr>
        <w:t>means as to any Person, all liabilities, obligations, responsibilities, remedial actions, losses, damages, punitive damages, consequential damages, treble damages, contribution, cost recovery, costs and expenses (including all fees, disbursements and expenses of counsel, expert and consulting fees, and costs of investigation and feasibility studies), fines, penalties, sanctions and interest incurred as a result of any claim or demand, by any Person, whether based in contract, tort, implied or express warranty, strict liability, criminal or civil statute, permit, order or agreement with any Federal, state or local Governmental Authority or other Person, arising from environmental, health or safety conditions, or the release or threatened release of a contaminant, pollutant or Hazardous Material into the environment, resulting from the operations of such Person or its subsidiaries, or breach of any Environmental and Safety Law or for which such Person or its Subsidiaries is otherwise liable or responsible.</w:t>
      </w:r>
    </w:p>
    <w:p>
      <w:pPr>
        <w:pStyle w:val="TextBody"/>
        <w:bidi w:val="0"/>
        <w:spacing w:before="0" w:after="240"/>
        <w:ind w:left="0" w:right="0" w:firstLine="720"/>
        <w:jc w:val="both"/>
        <w:rPr/>
      </w:pPr>
      <w:r>
        <w:rPr/>
        <w:t>“</w:t>
      </w:r>
      <w:r>
        <w:rPr>
          <w:rFonts w:ascii="Times New Roman;Times;serif" w:hAnsi="Times New Roman;Times;serif"/>
          <w:sz w:val="22"/>
          <w:u w:val="single"/>
        </w:rPr>
        <w:t>ERISA</w:t>
      </w:r>
      <w:r>
        <w:rPr>
          <w:rFonts w:ascii="Times New Roman;Times;serif" w:hAnsi="Times New Roman;Times;serif"/>
          <w:sz w:val="20"/>
        </w:rPr>
        <w:t xml:space="preserve">” </w:t>
      </w:r>
      <w:r>
        <w:rPr>
          <w:rFonts w:ascii="Times New Roman;Times;serif" w:hAnsi="Times New Roman;Times;serif"/>
          <w:sz w:val="22"/>
        </w:rPr>
        <w:t>means the Employee Retirement Income Security Act of 1974.</w:t>
      </w:r>
    </w:p>
    <w:p>
      <w:pPr>
        <w:pStyle w:val="TextBody"/>
        <w:bidi w:val="0"/>
        <w:spacing w:before="0" w:after="240"/>
        <w:ind w:left="0" w:right="0" w:firstLine="720"/>
        <w:jc w:val="both"/>
        <w:rPr/>
      </w:pPr>
      <w:r>
        <w:rPr/>
        <w:t>“</w:t>
      </w:r>
      <w:r>
        <w:rPr>
          <w:rFonts w:ascii="Times New Roman;Times;serif" w:hAnsi="Times New Roman;Times;serif"/>
          <w:sz w:val="22"/>
          <w:u w:val="single"/>
        </w:rPr>
        <w:t>ERISA Affiliate</w:t>
      </w:r>
      <w:r>
        <w:rPr>
          <w:rFonts w:ascii="Times New Roman;Times;serif" w:hAnsi="Times New Roman;Times;serif"/>
          <w:sz w:val="20"/>
        </w:rPr>
        <w:t xml:space="preserve">” </w:t>
      </w:r>
      <w:r>
        <w:rPr>
          <w:rFonts w:ascii="Times New Roman;Times;serif" w:hAnsi="Times New Roman;Times;serif"/>
          <w:sz w:val="22"/>
        </w:rPr>
        <w:t>means any corporation which is a member of the same controlled group of corporations as the Borrower within the meaning of section 414(b) of the Code, or any trade or business which is under common control with the Borrower within the meaning of section 414(c) of the Code.</w:t>
      </w:r>
    </w:p>
    <w:p>
      <w:pPr>
        <w:pStyle w:val="TextBody"/>
        <w:bidi w:val="0"/>
        <w:spacing w:before="0" w:after="240"/>
        <w:ind w:left="0" w:right="0" w:firstLine="720"/>
        <w:jc w:val="both"/>
        <w:rPr/>
      </w:pPr>
      <w:r>
        <w:rPr/>
        <w:t>“</w:t>
      </w:r>
      <w:r>
        <w:rPr>
          <w:rFonts w:ascii="Times New Roman;Times;serif" w:hAnsi="Times New Roman;Times;serif"/>
          <w:sz w:val="22"/>
          <w:u w:val="single"/>
        </w:rPr>
        <w:t>EU Bail-In Legislation Schedule</w:t>
      </w:r>
      <w:r>
        <w:rPr>
          <w:rFonts w:ascii="Times New Roman;Times;serif" w:hAnsi="Times New Roman;Times;serif"/>
          <w:sz w:val="20"/>
        </w:rPr>
        <w:t xml:space="preserve">” </w:t>
      </w:r>
      <w:r>
        <w:rPr>
          <w:rFonts w:ascii="Times New Roman;Times;serif" w:hAnsi="Times New Roman;Times;serif"/>
          <w:sz w:val="22"/>
        </w:rPr>
        <w:t>means the EU Bail-In Legislation Schedule published by the Loan Market Association (or any successor person), as in effect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Event of Default</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8.01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Excluded Subsidiary</w:t>
      </w:r>
      <w:r>
        <w:rPr>
          <w:rFonts w:ascii="Times New Roman;Times;serif" w:hAnsi="Times New Roman;Times;serif"/>
          <w:sz w:val="20"/>
        </w:rPr>
        <w:t xml:space="preserve">” </w:t>
      </w:r>
      <w:r>
        <w:rPr>
          <w:rFonts w:ascii="Times New Roman;Times;serif" w:hAnsi="Times New Roman;Times;serif"/>
          <w:sz w:val="22"/>
        </w:rPr>
        <w:t xml:space="preserve">means (a) each CFC, (b) each Foreign Holdco, and (c) any Subsidiary that is owned directly or indirectly by a CFC; </w:t>
      </w:r>
      <w:r>
        <w:rPr>
          <w:rFonts w:ascii="Times New Roman;Times;serif" w:hAnsi="Times New Roman;Times;serif"/>
          <w:sz w:val="22"/>
          <w:u w:val="single"/>
        </w:rPr>
        <w:t>provided</w:t>
      </w:r>
      <w:r>
        <w:rPr>
          <w:rFonts w:ascii="Times New Roman;Times;serif" w:hAnsi="Times New Roman;Times;serif"/>
          <w:sz w:val="22"/>
        </w:rPr>
        <w:t>, that in each case, such Person has not issued or guaranteed any notes issued pursuant to the Note Purchase Agreements.</w:t>
      </w:r>
    </w:p>
    <w:p>
      <w:pPr>
        <w:pStyle w:val="TextBody"/>
        <w:bidi w:val="0"/>
        <w:spacing w:before="0" w:after="240"/>
        <w:ind w:left="0" w:right="0" w:firstLine="720"/>
        <w:jc w:val="both"/>
        <w:rPr/>
      </w:pPr>
      <w:r>
        <w:rPr/>
        <w:t>“</w:t>
      </w:r>
      <w:r>
        <w:rPr>
          <w:rFonts w:ascii="Times New Roman;Times;serif" w:hAnsi="Times New Roman;Times;serif"/>
          <w:sz w:val="22"/>
          <w:u w:val="single"/>
        </w:rPr>
        <w:t>Excluded Taxes</w:t>
      </w:r>
      <w:r>
        <w:rPr>
          <w:rFonts w:ascii="Times New Roman;Times;serif" w:hAnsi="Times New Roman;Times;serif"/>
          <w:sz w:val="20"/>
        </w:rPr>
        <w:t xml:space="preserve">” </w:t>
      </w:r>
      <w:r>
        <w:rPr>
          <w:rFonts w:ascii="Times New Roman;Times;serif" w:hAnsi="Times New Roman;Times;serif"/>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Times;serif" w:hAnsi="Times New Roman;Times;serif"/>
          <w:sz w:val="22"/>
          <w:u w:val="single"/>
        </w:rPr>
        <w:t>Section 10.13</w:t>
      </w:r>
      <w:r>
        <w:rPr>
          <w:rFonts w:ascii="Times New Roman;Times;serif" w:hAnsi="Times New Roman;Times;serif"/>
          <w:sz w:val="22"/>
        </w:rPr>
        <w:t xml:space="preserve">) or (ii) such Lender changes its Lending Office, except in each case to the extent that, pursuant to </w:t>
      </w:r>
      <w:r>
        <w:rPr>
          <w:rFonts w:ascii="Times New Roman;Times;serif" w:hAnsi="Times New Roman;Times;serif"/>
          <w:sz w:val="22"/>
          <w:u w:val="single"/>
        </w:rPr>
        <w:t>Section 3.01(a)(ii)</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3.01(c)</w:t>
      </w:r>
      <w:r>
        <w:rPr>
          <w:rFonts w:ascii="Times New Roman;Times;serif" w:hAnsi="Times New Roman;Times;serif"/>
          <w:sz w:val="22"/>
        </w:rPr>
        <w:t>, amounts with respect to such Taxes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were payable either to such Lender's assignor immediately before such Lender became a party hereto or to such Lender immediately before it changed its Lending Office, (c) Taxes attributable to such Recipient’s failure to comply with </w:t>
      </w:r>
      <w:r>
        <w:rPr>
          <w:rFonts w:ascii="Times New Roman;Times;serif" w:hAnsi="Times New Roman;Times;serif"/>
          <w:sz w:val="22"/>
          <w:u w:val="single"/>
        </w:rPr>
        <w:t>Section 3.01(e)</w:t>
      </w:r>
      <w:r>
        <w:rPr>
          <w:rFonts w:ascii="Times New Roman;Times;serif" w:hAnsi="Times New Roman;Times;serif"/>
          <w:sz w:val="20"/>
        </w:rPr>
        <w:t xml:space="preserve"> </w:t>
      </w:r>
      <w:r>
        <w:rPr>
          <w:rFonts w:ascii="Times New Roman;Times;serif" w:hAnsi="Times New Roman;Times;serif"/>
          <w:sz w:val="22"/>
        </w:rPr>
        <w:t>and (d) any U.S. federal withholding Taxes imposed pursuant to FATCA.</w:t>
      </w:r>
    </w:p>
    <w:p>
      <w:pPr>
        <w:pStyle w:val="TextBody"/>
        <w:bidi w:val="0"/>
        <w:spacing w:before="0" w:after="240"/>
        <w:ind w:left="0" w:right="0" w:firstLine="720"/>
        <w:jc w:val="both"/>
        <w:rPr/>
      </w:pPr>
      <w:r>
        <w:rPr/>
        <w:t>“</w:t>
      </w:r>
      <w:r>
        <w:rPr>
          <w:rFonts w:ascii="Times New Roman;Times;serif" w:hAnsi="Times New Roman;Times;serif"/>
          <w:sz w:val="22"/>
          <w:u w:val="single"/>
        </w:rPr>
        <w:t>Existing Credit Agreement</w:t>
      </w:r>
      <w:r>
        <w:rPr>
          <w:rFonts w:ascii="Times New Roman;Times;serif" w:hAnsi="Times New Roman;Times;serif"/>
          <w:sz w:val="20"/>
        </w:rPr>
        <w:t xml:space="preserve">” </w:t>
      </w:r>
      <w:r>
        <w:rPr>
          <w:rFonts w:ascii="Times New Roman;Times;serif" w:hAnsi="Times New Roman;Times;serif"/>
          <w:sz w:val="22"/>
        </w:rPr>
        <w:t>has the meaning specified in the introductory paragraphs hereto.</w:t>
      </w:r>
    </w:p>
    <w:p>
      <w:pPr>
        <w:pStyle w:val="TextBody"/>
        <w:bidi w:val="0"/>
        <w:spacing w:before="0" w:after="240"/>
        <w:ind w:left="0" w:right="0" w:firstLine="720"/>
        <w:jc w:val="both"/>
        <w:rPr/>
      </w:pPr>
      <w:r>
        <w:rPr/>
        <w:t>“</w:t>
      </w:r>
      <w:r>
        <w:rPr>
          <w:rFonts w:ascii="Times New Roman;Times;serif" w:hAnsi="Times New Roman;Times;serif"/>
          <w:sz w:val="22"/>
          <w:u w:val="single"/>
        </w:rPr>
        <w:t>Existing Letters of Credit</w:t>
      </w:r>
      <w:r>
        <w:rPr>
          <w:rFonts w:ascii="Times New Roman;Times;serif" w:hAnsi="Times New Roman;Times;serif"/>
          <w:sz w:val="20"/>
        </w:rPr>
        <w:t xml:space="preserve">” </w:t>
      </w:r>
      <w:r>
        <w:rPr>
          <w:rFonts w:ascii="Times New Roman;Times;serif" w:hAnsi="Times New Roman;Times;serif"/>
          <w:sz w:val="22"/>
        </w:rPr>
        <w:t xml:space="preserve">means those letters of credit set forth on </w:t>
      </w:r>
      <w:r>
        <w:rPr>
          <w:rFonts w:ascii="Times New Roman;Times;serif" w:hAnsi="Times New Roman;Times;serif"/>
          <w:sz w:val="22"/>
          <w:u w:val="single"/>
        </w:rPr>
        <w:t>Schedule 1.01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FATCA</w:t>
      </w:r>
      <w:r>
        <w:rPr>
          <w:rFonts w:ascii="Times New Roman;Times;serif" w:hAnsi="Times New Roman;Times;serif"/>
          <w:sz w:val="20"/>
        </w:rPr>
        <w:t xml:space="preserve">” </w:t>
      </w:r>
      <w:r>
        <w:rPr>
          <w:rFonts w:ascii="Times New Roman;Times;serif" w:hAnsi="Times New Roman;Times;serif"/>
          <w:sz w:val="22"/>
        </w:rPr>
        <w:t>means Sections 1471 through 1474 of the Code, as of the Closing Date (or any amended or successor version that is substantively comparable and not materially more onerous to comply with) and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ind w:left="0" w:right="0" w:firstLine="720"/>
        <w:jc w:val="both"/>
        <w:rPr/>
      </w:pPr>
      <w:r>
        <w:rPr/>
        <w:t>“</w:t>
      </w:r>
      <w:r>
        <w:rPr>
          <w:rFonts w:ascii="Times New Roman;Times;serif" w:hAnsi="Times New Roman;Times;serif"/>
          <w:sz w:val="22"/>
          <w:u w:val="single"/>
        </w:rPr>
        <w:t>Federal Funds Rate</w:t>
      </w:r>
      <w:r>
        <w:rPr>
          <w:rFonts w:ascii="Times New Roman;Times;serif" w:hAnsi="Times New Roman;Times;serif"/>
          <w:sz w:val="20"/>
        </w:rPr>
        <w:t xml:space="preserve">” </w:t>
      </w:r>
      <w:r>
        <w:rPr>
          <w:rFonts w:ascii="Times New Roman;Times;serif" w:hAnsi="Times New Roman;Times;serif"/>
          <w:sz w:val="22"/>
        </w:rPr>
        <w:t>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the purposes 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Fee Letter</w:t>
      </w:r>
      <w:r>
        <w:rPr>
          <w:rFonts w:ascii="Times New Roman;Times;serif" w:hAnsi="Times New Roman;Times;serif"/>
          <w:sz w:val="20"/>
        </w:rPr>
        <w:t xml:space="preserve">” </w:t>
      </w:r>
      <w:r>
        <w:rPr>
          <w:rFonts w:ascii="Times New Roman;Times;serif" w:hAnsi="Times New Roman;Times;serif"/>
          <w:sz w:val="22"/>
        </w:rPr>
        <w:t>means the fee letter agreement, dated June 13, 2025, among the Borrower and the Arranger.</w:t>
      </w:r>
    </w:p>
    <w:p>
      <w:pPr>
        <w:pStyle w:val="TextBody"/>
        <w:bidi w:val="0"/>
        <w:spacing w:before="0" w:after="240"/>
        <w:ind w:left="0" w:right="0" w:firstLine="720"/>
        <w:jc w:val="both"/>
        <w:rPr/>
      </w:pPr>
      <w:r>
        <w:rPr/>
        <w:t>“</w:t>
      </w:r>
      <w:r>
        <w:rPr>
          <w:rFonts w:ascii="Times New Roman;Times;serif" w:hAnsi="Times New Roman;Times;serif"/>
          <w:sz w:val="22"/>
          <w:u w:val="single"/>
        </w:rPr>
        <w:t>Foreign Holdco</w:t>
      </w:r>
      <w:r>
        <w:rPr>
          <w:rFonts w:ascii="Times New Roman;Times;serif" w:hAnsi="Times New Roman;Times;serif"/>
          <w:sz w:val="20"/>
        </w:rPr>
        <w:t xml:space="preserve">” </w:t>
      </w:r>
      <w:r>
        <w:rPr>
          <w:rFonts w:ascii="Times New Roman;Times;serif" w:hAnsi="Times New Roman;Times;serif"/>
          <w:sz w:val="22"/>
        </w:rPr>
        <w:t>means any Subsidiary, substantially all of the assets of which consist of equity interests of one or more Foreign Subsidiaries or other securities of one or more Foreign Subsidiaries (or are treated as consisting of such assets for U.S. federal income tax purposes) or indebtedness or accounts receivable owed by any Foreign Subsidiary to any Loan party or treated as owed by the Foreign Subsidiary to any Loan Party for U.S. federal income tax purposes.</w:t>
      </w:r>
    </w:p>
    <w:p>
      <w:pPr>
        <w:pStyle w:val="TextBody"/>
        <w:bidi w:val="0"/>
        <w:spacing w:before="0" w:after="240"/>
        <w:ind w:left="0" w:right="0" w:firstLine="720"/>
        <w:jc w:val="both"/>
        <w:rPr/>
      </w:pPr>
      <w:r>
        <w:rPr/>
        <w:t>“</w:t>
      </w:r>
      <w:r>
        <w:rPr>
          <w:rFonts w:ascii="Times New Roman;Times;serif" w:hAnsi="Times New Roman;Times;serif"/>
          <w:sz w:val="22"/>
          <w:u w:val="single"/>
        </w:rPr>
        <w:t>Foreign Lender</w:t>
      </w:r>
      <w:r>
        <w:rPr>
          <w:rFonts w:ascii="Times New Roman;Times;serif" w:hAnsi="Times New Roman;Times;serif"/>
          <w:sz w:val="20"/>
        </w:rPr>
        <w:t xml:space="preserve">” </w:t>
      </w:r>
      <w:r>
        <w:rPr>
          <w:rFonts w:ascii="Times New Roman;Times;serif" w:hAnsi="Times New Roman;Times;serif"/>
          <w:sz w:val="22"/>
        </w:rPr>
        <w:t>means a Lender that is not a U.S. Person.</w:t>
      </w:r>
    </w:p>
    <w:p>
      <w:pPr>
        <w:pStyle w:val="TextBody"/>
        <w:bidi w:val="0"/>
        <w:spacing w:before="0" w:after="240"/>
        <w:ind w:left="0" w:right="0" w:firstLine="720"/>
        <w:jc w:val="both"/>
        <w:rPr/>
      </w:pPr>
      <w:r>
        <w:rPr/>
        <w:t>“</w:t>
      </w:r>
      <w:r>
        <w:rPr>
          <w:rFonts w:ascii="Times New Roman;Times;serif" w:hAnsi="Times New Roman;Times;serif"/>
          <w:sz w:val="22"/>
          <w:u w:val="single"/>
        </w:rPr>
        <w:t>Foreign Subsidiary</w:t>
      </w:r>
      <w:r>
        <w:rPr>
          <w:rFonts w:ascii="Times New Roman;Times;serif" w:hAnsi="Times New Roman;Times;serif"/>
          <w:sz w:val="20"/>
        </w:rPr>
        <w:t xml:space="preserve">” </w:t>
      </w:r>
      <w:r>
        <w:rPr>
          <w:rFonts w:ascii="Times New Roman;Times;serif" w:hAnsi="Times New Roman;Times;serif"/>
          <w:sz w:val="22"/>
        </w:rPr>
        <w:t>means any Subsidiary that is not a Domestic Subsidiary.</w:t>
      </w:r>
    </w:p>
    <w:p>
      <w:pPr>
        <w:pStyle w:val="TextBody"/>
        <w:bidi w:val="0"/>
        <w:spacing w:before="0" w:after="240"/>
        <w:ind w:left="0" w:right="0" w:firstLine="720"/>
        <w:jc w:val="both"/>
        <w:rPr/>
      </w:pPr>
      <w:r>
        <w:rPr/>
        <w:t>“</w:t>
      </w:r>
      <w:r>
        <w:rPr>
          <w:rFonts w:ascii="Times New Roman;Times;serif" w:hAnsi="Times New Roman;Times;serif"/>
          <w:sz w:val="22"/>
          <w:u w:val="single"/>
        </w:rPr>
        <w:t>FRB</w:t>
      </w:r>
      <w:r>
        <w:rPr>
          <w:rFonts w:ascii="Times New Roman;Times;serif" w:hAnsi="Times New Roman;Times;serif"/>
          <w:sz w:val="20"/>
        </w:rPr>
        <w:t xml:space="preserve">” </w:t>
      </w:r>
      <w:r>
        <w:rPr>
          <w:rFonts w:ascii="Times New Roman;Times;serif" w:hAnsi="Times New Roman;Times;serif"/>
          <w:sz w:val="22"/>
        </w:rPr>
        <w:t>means the Board of Governors of the Federal Reserve System of the United States.</w:t>
      </w:r>
    </w:p>
    <w:p>
      <w:pPr>
        <w:pStyle w:val="TextBody"/>
        <w:bidi w:val="0"/>
        <w:spacing w:before="0" w:after="240"/>
        <w:ind w:left="0" w:right="0" w:firstLine="720"/>
        <w:jc w:val="both"/>
        <w:rPr/>
      </w:pPr>
      <w:r>
        <w:rPr/>
        <w:t>“</w:t>
      </w:r>
      <w:r>
        <w:rPr>
          <w:rFonts w:ascii="Times New Roman;Times;serif" w:hAnsi="Times New Roman;Times;serif"/>
          <w:sz w:val="22"/>
          <w:u w:val="single"/>
        </w:rPr>
        <w:t>Fronting Exposure</w:t>
      </w:r>
      <w:r>
        <w:rPr>
          <w:rFonts w:ascii="Times New Roman;Times;serif" w:hAnsi="Times New Roman;Times;serif"/>
          <w:sz w:val="20"/>
        </w:rPr>
        <w:t xml:space="preserve">” </w:t>
      </w:r>
      <w:r>
        <w:rPr>
          <w:rFonts w:ascii="Times New Roman;Times;serif" w:hAnsi="Times New Roman;Times;serif"/>
          <w:sz w:val="22"/>
        </w:rPr>
        <w:t>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pStyle w:val="TextBody"/>
        <w:bidi w:val="0"/>
        <w:spacing w:before="0" w:after="240"/>
        <w:ind w:left="0" w:right="0" w:firstLine="720"/>
        <w:jc w:val="both"/>
        <w:rPr/>
      </w:pPr>
      <w:r>
        <w:rPr/>
        <w:t>“</w:t>
      </w:r>
      <w:r>
        <w:rPr>
          <w:rFonts w:ascii="Times New Roman;Times;serif" w:hAnsi="Times New Roman;Times;serif"/>
          <w:sz w:val="22"/>
          <w:u w:val="single"/>
        </w:rPr>
        <w:t>Fund</w:t>
      </w:r>
      <w:r>
        <w:rPr>
          <w:rFonts w:ascii="Times New Roman;Times;serif" w:hAnsi="Times New Roman;Times;serif"/>
          <w:sz w:val="20"/>
        </w:rPr>
        <w:t xml:space="preserve">” </w:t>
      </w:r>
      <w:r>
        <w:rPr>
          <w:rFonts w:ascii="Times New Roman;Times;serif" w:hAnsi="Times New Roman;Times;serif"/>
          <w:sz w:val="22"/>
        </w:rPr>
        <w:t>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GAAP</w:t>
      </w:r>
      <w:r>
        <w:rPr>
          <w:rFonts w:ascii="Times New Roman;Times;serif" w:hAnsi="Times New Roman;Times;serif"/>
          <w:sz w:val="20"/>
        </w:rPr>
        <w:t xml:space="preserve">” </w:t>
      </w:r>
      <w:r>
        <w:rPr>
          <w:rFonts w:ascii="Times New Roman;Times;serif" w:hAnsi="Times New Roman;Times;serif"/>
          <w:sz w:val="22"/>
        </w:rPr>
        <w:t>means generally accepted accounting principles in the United States set forth in the Financial Accounting Standards Board Accounting Standards Codification or such other principles as may be approved by a significant segment of the accounting profession in the United States, that are applicable to the circumstances as of the date of determination, consistently applied.</w:t>
      </w:r>
    </w:p>
    <w:p>
      <w:pPr>
        <w:pStyle w:val="TextBody"/>
        <w:bidi w:val="0"/>
        <w:spacing w:before="0" w:after="240"/>
        <w:ind w:left="0" w:right="0" w:firstLine="720"/>
        <w:jc w:val="both"/>
        <w:rPr/>
      </w:pPr>
      <w:r>
        <w:rPr/>
        <w:t>“</w:t>
      </w:r>
      <w:r>
        <w:rPr>
          <w:rFonts w:ascii="Times New Roman;Times;serif" w:hAnsi="Times New Roman;Times;serif"/>
          <w:sz w:val="22"/>
          <w:u w:val="single"/>
        </w:rPr>
        <w:t>Governmental Authority</w:t>
      </w:r>
      <w:r>
        <w:rPr>
          <w:rFonts w:ascii="Times New Roman;Times;serif" w:hAnsi="Times New Roman;Times;serif"/>
          <w:sz w:val="20"/>
        </w:rPr>
        <w:t xml:space="preserve">” </w:t>
      </w:r>
      <w:r>
        <w:rPr>
          <w:rFonts w:ascii="Times New Roman;Times;serif" w:hAnsi="Times New Roman;Times;serif"/>
          <w:sz w:val="22"/>
        </w:rPr>
        <w:t>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ind w:left="0" w:right="0" w:firstLine="720"/>
        <w:jc w:val="both"/>
        <w:rPr/>
      </w:pPr>
      <w:r>
        <w:rPr/>
        <w:t>“</w:t>
      </w:r>
      <w:r>
        <w:rPr>
          <w:rFonts w:ascii="Times New Roman;Times;serif" w:hAnsi="Times New Roman;Times;serif"/>
          <w:sz w:val="22"/>
          <w:u w:val="single"/>
        </w:rPr>
        <w:t>Guarantee</w:t>
      </w:r>
      <w:r>
        <w:rPr>
          <w:rFonts w:ascii="Times New Roman;Times;serif" w:hAnsi="Times New Roman;Times;serif"/>
          <w:sz w:val="20"/>
        </w:rPr>
        <w:t xml:space="preserve">” </w:t>
      </w:r>
      <w:r>
        <w:rPr>
          <w:rFonts w:ascii="Times New Roman;Times;serif" w:hAnsi="Times New Roman;Times;serif"/>
          <w:sz w:val="22"/>
        </w:rPr>
        <w:t>means, without duplication, any obligation, contingent or otherwise, of any Person guaranteeing or having the economic effect of guaranteeing any Debt or other obligation of any other Person (the primary obligor) in any manner, directly or indirectly, and including any obligation:  (a) to make any loan, advance or capital contribution, or for the purchase of any property from, any Person, in each case for the purpose of enabling such Person to maintain working capital, net worth or any other balance sheet condition or to pay debts, dividends or expenses except for advances, deposits and initial payments made in the usual and ordinary course of business for the purchase or acquisition of property or services; (b) to purchase materials, supplies or other property or services if such obligation requires that payment for such materials, supplies or other property or services be made regardless of whether or not delivery of such materials, supplies or other property or services is ever made or tendered; (c) to rent or lease (as lessee) any real or personal property if such obligation is absolute and unconditional under conditions not customarily found in commercial leases then in general use; or (d) of any partnership or joint venture in which such Person is a general partner or joint venturer if such obligation is not expressly non-recourse to such Person; but excluding (i) completion guarantees issued in connection with a real estate development project to the extent contingent and not constituting a direct or indirect obligation to repay Debt, (ii) obligations under environmental indemnification agreements and (iii) a guaranty of Matson Navigation’s trade accounts receivable purchased or held by the CCF.</w:t>
      </w:r>
    </w:p>
    <w:p>
      <w:pPr>
        <w:pStyle w:val="TextBody"/>
        <w:bidi w:val="0"/>
        <w:spacing w:before="0" w:after="240"/>
        <w:ind w:left="0" w:right="0" w:firstLine="720"/>
        <w:jc w:val="both"/>
        <w:rPr/>
      </w:pPr>
      <w:r>
        <w:rPr/>
        <w:t>“</w:t>
      </w:r>
      <w:r>
        <w:rPr>
          <w:rFonts w:ascii="Times New Roman;Times;serif" w:hAnsi="Times New Roman;Times;serif"/>
          <w:sz w:val="22"/>
          <w:u w:val="single"/>
        </w:rPr>
        <w:t>Guarantors</w:t>
      </w:r>
      <w:r>
        <w:rPr>
          <w:rFonts w:ascii="Times New Roman;Times;serif" w:hAnsi="Times New Roman;Times;serif"/>
          <w:sz w:val="20"/>
        </w:rPr>
        <w:t xml:space="preserve">” </w:t>
      </w:r>
      <w:r>
        <w:rPr>
          <w:rFonts w:ascii="Times New Roman;Times;serif" w:hAnsi="Times New Roman;Times;serif"/>
          <w:sz w:val="22"/>
        </w:rPr>
        <w:t xml:space="preserve">means, collectively, (a) each Material Domestic Subsidiary of the Borrower identified as a “Guarantor” on the signature pages to the Guaranty, (b) each Person that joins the Guaranty as a Guarantor pursuant to </w:t>
      </w:r>
      <w:r>
        <w:rPr>
          <w:rFonts w:ascii="Times New Roman;Times;serif" w:hAnsi="Times New Roman;Times;serif"/>
          <w:sz w:val="22"/>
          <w:u w:val="single"/>
        </w:rPr>
        <w:t>Section 6.08</w:t>
      </w:r>
      <w:r>
        <w:rPr>
          <w:rFonts w:ascii="Times New Roman;Times;serif" w:hAnsi="Times New Roman;Times;serif"/>
          <w:sz w:val="20"/>
        </w:rPr>
        <w:t xml:space="preserve"> </w:t>
      </w:r>
      <w:r>
        <w:rPr>
          <w:rFonts w:ascii="Times New Roman;Times;serif" w:hAnsi="Times New Roman;Times;serif"/>
          <w:sz w:val="22"/>
        </w:rPr>
        <w:t xml:space="preserve">or otherwise and (c) the successors and permitted assigns of the foregoing;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no Excluded Subsidiary shall be a Guarantor.  A Guarantor shall be released from its Guaranty pursuant to, and in accordance with, the terms hereof or the Guaranty.</w:t>
      </w:r>
    </w:p>
    <w:p>
      <w:pPr>
        <w:pStyle w:val="TextBody"/>
        <w:bidi w:val="0"/>
        <w:spacing w:before="0" w:after="240"/>
        <w:ind w:left="0" w:right="0" w:firstLine="720"/>
        <w:jc w:val="both"/>
        <w:rPr/>
      </w:pPr>
      <w:r>
        <w:rPr/>
        <w:t>“</w:t>
      </w:r>
      <w:r>
        <w:rPr>
          <w:rFonts w:ascii="Times New Roman;Times;serif" w:hAnsi="Times New Roman;Times;serif"/>
          <w:sz w:val="22"/>
          <w:u w:val="single"/>
        </w:rPr>
        <w:t>Guaranty</w:t>
      </w:r>
      <w:r>
        <w:rPr>
          <w:rFonts w:ascii="Times New Roman;Times;serif" w:hAnsi="Times New Roman;Times;serif"/>
          <w:sz w:val="20"/>
        </w:rPr>
        <w:t xml:space="preserve">” </w:t>
      </w:r>
      <w:r>
        <w:rPr>
          <w:rFonts w:ascii="Times New Roman;Times;serif" w:hAnsi="Times New Roman;Times;serif"/>
          <w:sz w:val="22"/>
        </w:rPr>
        <w:t>means the Third Amended and Restated Guaranty, dated as of the Closing Date, executed by the Guarantors in favor of the Agent for the benefit of the holders of the Obligations.</w:t>
      </w:r>
    </w:p>
    <w:p>
      <w:pPr>
        <w:pStyle w:val="TextBody"/>
        <w:bidi w:val="0"/>
        <w:spacing w:before="0" w:after="240"/>
        <w:ind w:left="0" w:right="0" w:firstLine="720"/>
        <w:jc w:val="both"/>
        <w:rPr/>
      </w:pPr>
      <w:r>
        <w:rPr/>
        <w:t>“</w:t>
      </w:r>
      <w:r>
        <w:rPr>
          <w:rFonts w:ascii="Times New Roman;Times;serif" w:hAnsi="Times New Roman;Times;serif"/>
          <w:sz w:val="22"/>
          <w:u w:val="single"/>
        </w:rPr>
        <w:t>Hazardous Materials</w:t>
      </w:r>
      <w:r>
        <w:rPr>
          <w:rFonts w:ascii="Times New Roman;Times;serif" w:hAnsi="Times New Roman;Times;serif"/>
          <w:sz w:val="20"/>
        </w:rPr>
        <w:t xml:space="preserve">” </w:t>
      </w:r>
      <w:r>
        <w:rPr>
          <w:rFonts w:ascii="Times New Roman;Times;serif" w:hAnsi="Times New Roman;Times;serif"/>
          <w:sz w:val="22"/>
        </w:rPr>
        <w:t>means (a) any material or substance defined as or included in the definition of “hazardous substances,” “hazardous wastes,” “hazardous materials,” “toxic substances” or any other formulations intended to define, list or classify substances by reason of their deleterious properties, (b) any oil, petroleum or petroleum derived substance, (c) any flammable substances or explosives, (d) any radioactive materials, (e) asbestos in any form, (f) electrical equipment that contains any oil or dielectric fluid containing levels of polychlorinated biphenyls in excess of fifty parts per million, (g) pesticides; or (h) any other chemical, material or substance, exposure to which is prohibited, limited or regulated by any governmental agency or authority or which may or could pose a hazard to the health and safety of persons in the vicinity thereof.</w:t>
      </w:r>
    </w:p>
    <w:p>
      <w:pPr>
        <w:pStyle w:val="TextBody"/>
        <w:bidi w:val="0"/>
        <w:spacing w:before="0" w:after="240"/>
        <w:ind w:left="0" w:right="0" w:firstLine="720"/>
        <w:jc w:val="both"/>
        <w:rPr/>
      </w:pPr>
      <w:r>
        <w:rPr/>
        <w:t>“</w:t>
      </w:r>
      <w:r>
        <w:rPr>
          <w:rFonts w:ascii="Times New Roman;Times;serif" w:hAnsi="Times New Roman;Times;serif"/>
          <w:sz w:val="22"/>
          <w:u w:val="single"/>
        </w:rPr>
        <w:t>Hostile Acquisition</w:t>
      </w:r>
      <w:r>
        <w:rPr>
          <w:rFonts w:ascii="Times New Roman;Times;serif" w:hAnsi="Times New Roman;Times;serif"/>
          <w:sz w:val="20"/>
        </w:rPr>
        <w:t xml:space="preserve">” </w:t>
      </w:r>
      <w:r>
        <w:rPr>
          <w:rFonts w:ascii="Times New Roman;Times;serif" w:hAnsi="Times New Roman;Times;serif"/>
          <w:sz w:val="22"/>
        </w:rPr>
        <w:t xml:space="preserve">means any Acquisition that has not been approved by the board of directors or other governing body of the applicable entity as contemplated by </w:t>
      </w:r>
      <w:r>
        <w:rPr>
          <w:rFonts w:ascii="Times New Roman;Times;serif" w:hAnsi="Times New Roman;Times;serif"/>
          <w:sz w:val="22"/>
          <w:u w:val="single"/>
        </w:rPr>
        <w:t>Section 5.14(b)</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Indemnified Taxes</w:t>
      </w:r>
      <w:r>
        <w:rPr>
          <w:rFonts w:ascii="Times New Roman;Times;serif" w:hAnsi="Times New Roman;Times;serif"/>
          <w:sz w:val="20"/>
        </w:rPr>
        <w:t xml:space="preserve">” </w:t>
      </w:r>
      <w:r>
        <w:rPr>
          <w:rFonts w:ascii="Times New Roman;Times;serif" w:hAnsi="Times New Roman;Times;serif"/>
          <w:sz w:val="22"/>
        </w:rPr>
        <w:t>means (a) Taxes, other than Excluded Taxes, imposed on or with respect to any payment made by or on account of any obligation of any Loan Party under any Loan Document and (b) to the extent not otherwise described in clause (a), Other Taxes.</w:t>
      </w:r>
    </w:p>
    <w:p>
      <w:pPr>
        <w:pStyle w:val="TextBody"/>
        <w:bidi w:val="0"/>
        <w:spacing w:before="0" w:after="240"/>
        <w:ind w:left="0" w:right="0" w:firstLine="720"/>
        <w:jc w:val="both"/>
        <w:rPr/>
      </w:pPr>
      <w:r>
        <w:rPr/>
        <w:t>“</w:t>
      </w:r>
      <w:r>
        <w:rPr>
          <w:rFonts w:ascii="Times New Roman;Times;serif" w:hAnsi="Times New Roman;Times;serif"/>
          <w:sz w:val="22"/>
          <w:u w:val="single"/>
        </w:rPr>
        <w:t>Indemnitee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10.04(b)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Information</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10.07</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Intercreditor Agreement</w:t>
      </w:r>
      <w:r>
        <w:rPr>
          <w:rFonts w:ascii="Times New Roman;Times;serif" w:hAnsi="Times New Roman;Times;serif"/>
          <w:sz w:val="20"/>
        </w:rPr>
        <w:t xml:space="preserve">” </w:t>
      </w:r>
      <w:r>
        <w:rPr>
          <w:rFonts w:ascii="Times New Roman;Times;serif" w:hAnsi="Times New Roman;Times;serif"/>
          <w:sz w:val="22"/>
        </w:rPr>
        <w:t>means any intercreditor and collateral agency agreement by and among the Agent and the holders of the Senior Notes in form and substance reasonably satisfactory to the Agent and the Collateral Agent.</w:t>
      </w:r>
    </w:p>
    <w:p>
      <w:pPr>
        <w:pStyle w:val="TextBody"/>
        <w:bidi w:val="0"/>
        <w:spacing w:before="0" w:after="240"/>
        <w:ind w:left="0" w:right="0" w:firstLine="720"/>
        <w:jc w:val="both"/>
        <w:rPr/>
      </w:pPr>
      <w:r>
        <w:rPr/>
        <w:t>“</w:t>
      </w:r>
      <w:r>
        <w:rPr>
          <w:rFonts w:ascii="Times New Roman;Times;serif" w:hAnsi="Times New Roman;Times;serif"/>
          <w:sz w:val="22"/>
          <w:u w:val="single"/>
        </w:rPr>
        <w:t>Interest Payment Date</w:t>
      </w:r>
      <w:r>
        <w:rPr>
          <w:rFonts w:ascii="Times New Roman;Times;serif" w:hAnsi="Times New Roman;Times;serif"/>
          <w:sz w:val="20"/>
        </w:rPr>
        <w:t xml:space="preserve">” </w:t>
      </w:r>
      <w:r>
        <w:rPr>
          <w:rFonts w:ascii="Times New Roman;Times;serif" w:hAnsi="Times New Roman;Times;serif"/>
          <w:sz w:val="22"/>
        </w:rPr>
        <w:t xml:space="preserve">means, (a) as to any Term SOFR Loan, the last day of each Interest Period applicable to such Loan and the Maturity Date;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if any Interest Period for a Term SOFR Loan exceeds three months, the respective dates that fall every three months after the beginning of such Interest Period shall also be Interest Payment Dates; and (b) as to any Base Rate Loan (including a Swing Line Loan) or Term SOFR Daily Floating Rate Loan, the first Business Day after the end of each March, June, September and December and the Maturity Date.</w:t>
      </w:r>
    </w:p>
    <w:p>
      <w:pPr>
        <w:pStyle w:val="TextBody"/>
        <w:bidi w:val="0"/>
        <w:spacing w:before="0" w:after="240"/>
        <w:ind w:left="0" w:right="0" w:firstLine="720"/>
        <w:jc w:val="both"/>
        <w:rPr/>
      </w:pPr>
      <w:r>
        <w:rPr/>
        <w:t>“</w:t>
      </w:r>
      <w:r>
        <w:rPr>
          <w:rFonts w:ascii="Times New Roman;Times;serif" w:hAnsi="Times New Roman;Times;serif"/>
          <w:sz w:val="22"/>
          <w:u w:val="single"/>
        </w:rPr>
        <w:t>Interest Period</w:t>
      </w:r>
      <w:r>
        <w:rPr>
          <w:rFonts w:ascii="Times New Roman;Times;serif" w:hAnsi="Times New Roman;Times;serif"/>
          <w:sz w:val="20"/>
        </w:rPr>
        <w:t xml:space="preserve">” </w:t>
      </w:r>
      <w:r>
        <w:rPr>
          <w:rFonts w:ascii="Times New Roman;Times;serif" w:hAnsi="Times New Roman;Times;serif"/>
          <w:sz w:val="22"/>
        </w:rPr>
        <w:t xml:space="preserve">means, as to each Term SOFR Loan, the period commencing on the date such Term SOFR Loan is disbursed or converted to or continued as a Term SOFR Loan and ending on the date one or three months thereafter (in each case, subject to availability), as selected by the Borrower in its Committed Loan Notice;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no Interest Period shall extend beyond the Maturity Date.</w:t>
      </w:r>
    </w:p>
    <w:p>
      <w:pPr>
        <w:pStyle w:val="TextBody"/>
        <w:bidi w:val="0"/>
        <w:spacing w:before="0" w:after="240"/>
        <w:ind w:left="0" w:right="0" w:firstLine="720"/>
        <w:jc w:val="both"/>
        <w:rPr/>
      </w:pPr>
      <w:r>
        <w:rPr/>
        <w:t>“</w:t>
      </w:r>
      <w:r>
        <w:rPr>
          <w:rFonts w:ascii="Times New Roman;Times;serif" w:hAnsi="Times New Roman;Times;serif"/>
          <w:sz w:val="22"/>
          <w:u w:val="single"/>
        </w:rPr>
        <w:t>ISP</w:t>
      </w:r>
      <w:r>
        <w:rPr>
          <w:rFonts w:ascii="Times New Roman;Times;serif" w:hAnsi="Times New Roman;Times;serif"/>
          <w:sz w:val="20"/>
        </w:rPr>
        <w:t xml:space="preserve">” </w:t>
      </w:r>
      <w:r>
        <w:rPr>
          <w:rFonts w:ascii="Times New Roman;Times;serif" w:hAnsi="Times New Roman;Times;serif"/>
          <w:sz w:val="22"/>
        </w:rPr>
        <w:t>means the International Standby Practices, International Chamber of Commerce Publication No. 590 (or such later version thereof as may be in effect at the applicable time).</w:t>
      </w:r>
    </w:p>
    <w:p>
      <w:pPr>
        <w:pStyle w:val="TextBody"/>
        <w:bidi w:val="0"/>
        <w:spacing w:before="0" w:after="240"/>
        <w:ind w:left="0" w:right="0" w:firstLine="720"/>
        <w:jc w:val="both"/>
        <w:rPr/>
      </w:pPr>
      <w:r>
        <w:rPr/>
        <w:t>“</w:t>
      </w:r>
      <w:r>
        <w:rPr>
          <w:rFonts w:ascii="Times New Roman;Times;serif" w:hAnsi="Times New Roman;Times;serif"/>
          <w:sz w:val="22"/>
          <w:u w:val="single"/>
        </w:rPr>
        <w:t>Issuer Documents</w:t>
      </w:r>
      <w:r>
        <w:rPr>
          <w:rFonts w:ascii="Times New Roman;Times;serif" w:hAnsi="Times New Roman;Times;serif"/>
          <w:sz w:val="20"/>
        </w:rPr>
        <w:t xml:space="preserve">” </w:t>
      </w:r>
      <w:r>
        <w:rPr>
          <w:rFonts w:ascii="Times New Roman;Times;serif" w:hAnsi="Times New Roman;Times;serif"/>
          <w:sz w:val="22"/>
        </w:rPr>
        <w:t>means with respect to any Letter of Credit, the Letter of Credit Application, and any other document, agreement and instrument entered into by the L/C Issuer and the Borrower (or any Subsidiary) or in favor of the L/C Issuer and relating to such Letter of Credit.</w:t>
      </w:r>
    </w:p>
    <w:p>
      <w:pPr>
        <w:pStyle w:val="TextBody"/>
        <w:bidi w:val="0"/>
        <w:spacing w:before="0" w:after="240"/>
        <w:ind w:left="0" w:right="0" w:firstLine="720"/>
        <w:jc w:val="both"/>
        <w:rPr/>
      </w:pPr>
      <w:r>
        <w:rPr/>
        <w:t>“</w:t>
      </w:r>
      <w:r>
        <w:rPr>
          <w:rFonts w:ascii="Times New Roman;Times;serif" w:hAnsi="Times New Roman;Times;serif"/>
          <w:sz w:val="22"/>
          <w:u w:val="single"/>
        </w:rPr>
        <w:t>L/C Advance</w:t>
      </w:r>
      <w:r>
        <w:rPr>
          <w:rFonts w:ascii="Times New Roman;Times;serif" w:hAnsi="Times New Roman;Times;serif"/>
          <w:sz w:val="20"/>
        </w:rPr>
        <w:t xml:space="preserve">” </w:t>
      </w:r>
      <w:r>
        <w:rPr>
          <w:rFonts w:ascii="Times New Roman;Times;serif" w:hAnsi="Times New Roman;Times;serif"/>
          <w:sz w:val="22"/>
        </w:rPr>
        <w:t>means, with respect to each Lender, such Lender’s funding of its participation in any L/C Borrowing in accordance with its Applicable Percentage.</w:t>
      </w:r>
    </w:p>
    <w:p>
      <w:pPr>
        <w:pStyle w:val="TextBody"/>
        <w:bidi w:val="0"/>
        <w:spacing w:before="0" w:after="240"/>
        <w:ind w:left="0" w:right="0" w:firstLine="720"/>
        <w:jc w:val="both"/>
        <w:rPr/>
      </w:pPr>
      <w:r>
        <w:rPr/>
        <w:t>“</w:t>
      </w:r>
      <w:r>
        <w:rPr>
          <w:rFonts w:ascii="Times New Roman;Times;serif" w:hAnsi="Times New Roman;Times;serif"/>
          <w:sz w:val="22"/>
          <w:u w:val="single"/>
        </w:rPr>
        <w:t>L/C Borrowing</w:t>
      </w:r>
      <w:r>
        <w:rPr>
          <w:rFonts w:ascii="Times New Roman;Times;serif" w:hAnsi="Times New Roman;Times;serif"/>
          <w:sz w:val="20"/>
        </w:rPr>
        <w:t xml:space="preserve">” </w:t>
      </w:r>
      <w:r>
        <w:rPr>
          <w:rFonts w:ascii="Times New Roman;Times;serif" w:hAnsi="Times New Roman;Times;serif"/>
          <w:sz w:val="22"/>
        </w:rPr>
        <w:t>means an extension of credit resulting from a drawing under any Letter of Credit which has not been reimbursed on the date when made or refinanced as a Committed Borrowing.</w:t>
      </w:r>
    </w:p>
    <w:p>
      <w:pPr>
        <w:pStyle w:val="TextBody"/>
        <w:bidi w:val="0"/>
        <w:spacing w:before="0" w:after="240"/>
        <w:ind w:left="0" w:right="0" w:firstLine="720"/>
        <w:jc w:val="both"/>
        <w:rPr/>
      </w:pPr>
      <w:r>
        <w:rPr/>
        <w:t>“</w:t>
      </w:r>
      <w:r>
        <w:rPr>
          <w:rFonts w:ascii="Times New Roman;Times;serif" w:hAnsi="Times New Roman;Times;serif"/>
          <w:sz w:val="22"/>
          <w:u w:val="single"/>
        </w:rPr>
        <w:t>L/C Commitment</w:t>
      </w:r>
      <w:r>
        <w:rPr>
          <w:rFonts w:ascii="Times New Roman;Times;serif" w:hAnsi="Times New Roman;Times;serif"/>
          <w:sz w:val="20"/>
        </w:rPr>
        <w:t xml:space="preserve">” </w:t>
      </w:r>
      <w:r>
        <w:rPr>
          <w:rFonts w:ascii="Times New Roman;Times;serif" w:hAnsi="Times New Roman;Times;serif"/>
          <w:sz w:val="22"/>
        </w:rPr>
        <w:t>means, with respect to the L/C Issuer, the commitment of the L/C Issuer to issue Letters of Credit hereunder. The initial amount of the L/C Issuer’s Letter of Credit Commitment 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set forth on </w:t>
      </w:r>
      <w:r>
        <w:rPr>
          <w:rFonts w:ascii="Times New Roman;Times;serif" w:hAnsi="Times New Roman;Times;serif"/>
          <w:sz w:val="22"/>
          <w:u w:val="single"/>
        </w:rPr>
        <w:t>Schedule 2.03</w:t>
      </w:r>
      <w:r>
        <w:rPr>
          <w:rFonts w:ascii="Times New Roman;Times;serif" w:hAnsi="Times New Roman;Times;serif"/>
          <w:sz w:val="22"/>
        </w:rPr>
        <w:t>. The Letter of Credit Commitment of the L/C Issuer may be modified from time to time by agreement between the L/C Issuer and the Borrower, and notified to the Agent.</w:t>
      </w:r>
    </w:p>
    <w:p>
      <w:pPr>
        <w:pStyle w:val="TextBody"/>
        <w:bidi w:val="0"/>
        <w:spacing w:before="0" w:after="240"/>
        <w:ind w:left="0" w:right="0" w:firstLine="720"/>
        <w:jc w:val="both"/>
        <w:rPr/>
      </w:pPr>
      <w:r>
        <w:rPr/>
        <w:t>“</w:t>
      </w:r>
      <w:r>
        <w:rPr>
          <w:rFonts w:ascii="Times New Roman;Times;serif" w:hAnsi="Times New Roman;Times;serif"/>
          <w:sz w:val="22"/>
          <w:u w:val="single"/>
        </w:rPr>
        <w:t>L/C Credit Extension</w:t>
      </w:r>
      <w:r>
        <w:rPr>
          <w:rFonts w:ascii="Times New Roman;Times;serif" w:hAnsi="Times New Roman;Times;serif"/>
          <w:sz w:val="20"/>
        </w:rPr>
        <w:t xml:space="preserve">” </w:t>
      </w:r>
      <w:r>
        <w:rPr>
          <w:rFonts w:ascii="Times New Roman;Times;serif" w:hAnsi="Times New Roman;Times;serif"/>
          <w:sz w:val="22"/>
        </w:rPr>
        <w:t>means, with respect to any Letter of Credit, the issuance thereof or extension of the expiry date thereof, or the increase of the amount thereof.</w:t>
      </w:r>
    </w:p>
    <w:p>
      <w:pPr>
        <w:pStyle w:val="TextBody"/>
        <w:bidi w:val="0"/>
        <w:spacing w:before="0" w:after="240"/>
        <w:ind w:left="0" w:right="0" w:firstLine="720"/>
        <w:jc w:val="both"/>
        <w:rPr/>
      </w:pPr>
      <w:r>
        <w:rPr/>
        <w:t>“</w:t>
      </w:r>
      <w:r>
        <w:rPr>
          <w:rFonts w:ascii="Times New Roman;Times;serif" w:hAnsi="Times New Roman;Times;serif"/>
          <w:sz w:val="22"/>
          <w:u w:val="single"/>
        </w:rPr>
        <w:t>L/C Issuer</w:t>
      </w:r>
      <w:r>
        <w:rPr>
          <w:rFonts w:ascii="Times New Roman;Times;serif" w:hAnsi="Times New Roman;Times;serif"/>
          <w:sz w:val="20"/>
        </w:rPr>
        <w:t xml:space="preserve">” </w:t>
      </w:r>
      <w:r>
        <w:rPr>
          <w:rFonts w:ascii="Times New Roman;Times;serif" w:hAnsi="Times New Roman;Times;serif"/>
          <w:sz w:val="22"/>
        </w:rPr>
        <w:t xml:space="preserve">means, as the context requires, (a) First Hawaiian Bank in its capacity as issuer of Letters of Credit hereunder (including certain Existing Letters of Credit), (b) Bank of America in its capacity as issuer of Letters of Credit hereunder (including certain Existing Letters of Credit), (c) such other Lender selected by the Borrower pursuant to </w:t>
      </w:r>
      <w:r>
        <w:rPr>
          <w:rFonts w:ascii="Times New Roman;Times;serif" w:hAnsi="Times New Roman;Times;serif"/>
          <w:sz w:val="22"/>
          <w:u w:val="single"/>
        </w:rPr>
        <w:t>Section 2.03(l)</w:t>
      </w:r>
      <w:r>
        <w:rPr>
          <w:rFonts w:ascii="Times New Roman;Times;serif" w:hAnsi="Times New Roman;Times;serif"/>
          <w:sz w:val="20"/>
        </w:rPr>
        <w:t xml:space="preserve"> </w:t>
      </w:r>
      <w:r>
        <w:rPr>
          <w:rFonts w:ascii="Times New Roman;Times;serif" w:hAnsi="Times New Roman;Times;serif"/>
          <w:sz w:val="22"/>
        </w:rPr>
        <w:t>from time to time to issue such Letter of Credit and (d) any successor issuer of Letters of Credit hereunder.  The term “L/C Issuer” when used with respect to a Letter of Credit or the L/C Obligations relating to a Letter of Credit shall refer to the L/C Issuer that issued such Letter of Credit.</w:t>
      </w:r>
    </w:p>
    <w:p>
      <w:pPr>
        <w:pStyle w:val="TextBody"/>
        <w:bidi w:val="0"/>
        <w:spacing w:before="0" w:after="240"/>
        <w:ind w:left="0" w:right="0" w:firstLine="720"/>
        <w:jc w:val="both"/>
        <w:rPr/>
      </w:pPr>
      <w:r>
        <w:rPr/>
        <w:t>“</w:t>
      </w:r>
      <w:r>
        <w:rPr>
          <w:rFonts w:ascii="Times New Roman;Times;serif" w:hAnsi="Times New Roman;Times;serif"/>
          <w:sz w:val="22"/>
          <w:u w:val="single"/>
        </w:rPr>
        <w:t>L/C Obligations</w:t>
      </w:r>
      <w:r>
        <w:rPr>
          <w:rFonts w:ascii="Times New Roman;Times;serif" w:hAnsi="Times New Roman;Times;serif"/>
          <w:sz w:val="20"/>
        </w:rPr>
        <w:t xml:space="preserve">” </w:t>
      </w:r>
      <w:r>
        <w:rPr>
          <w:rFonts w:ascii="Times New Roman;Times;serif" w:hAnsi="Times New Roman;Times;serif"/>
          <w:sz w:val="22"/>
        </w:rPr>
        <w:t xml:space="preserve">means, as at any date of determination, the aggregate amount available to be drawn under all outstanding Letters of Credit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Times New Roman;Times;serif" w:hAnsi="Times New Roman;Times;serif"/>
          <w:sz w:val="22"/>
          <w:u w:val="single"/>
        </w:rPr>
        <w:t>Section 1.06</w:t>
      </w:r>
      <w:r>
        <w:rPr>
          <w:rFonts w:ascii="Times New Roman;Times;serif" w:hAnsi="Times New Roman;Times;serif"/>
          <w:sz w:val="22"/>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spacing w:before="0" w:after="240"/>
        <w:ind w:left="0" w:right="0" w:firstLine="720"/>
        <w:jc w:val="both"/>
        <w:rPr/>
      </w:pPr>
      <w:r>
        <w:rPr/>
        <w:t>“</w:t>
      </w:r>
      <w:r>
        <w:rPr>
          <w:rFonts w:ascii="Times New Roman;Times;serif" w:hAnsi="Times New Roman;Times;serif"/>
          <w:sz w:val="22"/>
          <w:u w:val="single"/>
        </w:rPr>
        <w:t>Lender</w:t>
      </w:r>
      <w:r>
        <w:rPr>
          <w:rFonts w:ascii="Times New Roman;Times;serif" w:hAnsi="Times New Roman;Times;serif"/>
          <w:sz w:val="20"/>
        </w:rPr>
        <w:t xml:space="preserve">” </w:t>
      </w:r>
      <w:r>
        <w:rPr>
          <w:rFonts w:ascii="Times New Roman;Times;serif" w:hAnsi="Times New Roman;Times;serif"/>
          <w:sz w:val="22"/>
        </w:rPr>
        <w:t>means each of the Persons identified as a “Lender” on the signature pages hereto, each other Person that becomes a “Lender” in accordance with this Agreement and their successors and assigns and, unless the context requires otherwise, includes the Swing Line Lender.</w:t>
      </w:r>
    </w:p>
    <w:p>
      <w:pPr>
        <w:pStyle w:val="TextBody"/>
        <w:bidi w:val="0"/>
        <w:spacing w:before="0" w:after="240"/>
        <w:ind w:left="0" w:right="0" w:firstLine="720"/>
        <w:jc w:val="both"/>
        <w:rPr/>
      </w:pPr>
      <w:r>
        <w:rPr/>
        <w:t>“</w:t>
      </w:r>
      <w:r>
        <w:rPr>
          <w:rFonts w:ascii="Times New Roman;Times;serif" w:hAnsi="Times New Roman;Times;serif"/>
          <w:sz w:val="22"/>
          <w:u w:val="single"/>
        </w:rPr>
        <w:t>Lending Office</w:t>
      </w:r>
      <w:r>
        <w:rPr>
          <w:rFonts w:ascii="Times New Roman;Times;serif" w:hAnsi="Times New Roman;Times;serif"/>
          <w:sz w:val="20"/>
        </w:rPr>
        <w:t xml:space="preserve">” </w:t>
      </w:r>
      <w:r>
        <w:rPr>
          <w:rFonts w:ascii="Times New Roman;Times;serif" w:hAnsi="Times New Roman;Times;serif"/>
          <w:sz w:val="22"/>
        </w:rPr>
        <w:t>means, as to any Lender, the office or offices of such Lender described as such in such Lender’s Administrative Questionnaire, or such other office or offices as a Lender may from time to time notify the Borrower and the Agent, which office may include any Affiliate of such Lender or any domestic or foreign branch of such Lender or such affiliate.  Unless the context otherwise requires each references to a Lender shall include its applicable Lending Office.</w:t>
      </w:r>
    </w:p>
    <w:p>
      <w:pPr>
        <w:pStyle w:val="TextBody"/>
        <w:bidi w:val="0"/>
        <w:spacing w:before="0" w:after="240"/>
        <w:ind w:left="0" w:right="0" w:firstLine="720"/>
        <w:jc w:val="both"/>
        <w:rPr/>
      </w:pPr>
      <w:r>
        <w:rPr/>
        <w:t>“</w:t>
      </w:r>
      <w:r>
        <w:rPr>
          <w:rFonts w:ascii="Times New Roman;Times;serif" w:hAnsi="Times New Roman;Times;serif"/>
          <w:sz w:val="22"/>
          <w:u w:val="single"/>
        </w:rPr>
        <w:t>Letter of Credit</w:t>
      </w:r>
      <w:r>
        <w:rPr>
          <w:rFonts w:ascii="Times New Roman;Times;serif" w:hAnsi="Times New Roman;Times;serif"/>
          <w:sz w:val="20"/>
        </w:rPr>
        <w:t xml:space="preserve">” </w:t>
      </w:r>
      <w:r>
        <w:rPr>
          <w:rFonts w:ascii="Times New Roman;Times;serif" w:hAnsi="Times New Roman;Times;serif"/>
          <w:sz w:val="22"/>
        </w:rPr>
        <w:t>means any letter of credit issued hereunder providing for the payment of cash upon the honoring of a presentation thereunder and shall include the Existing Letters of Credit.  A Letter of Credit may be a commercial letter of credit or a standby letter of credit.  Notwithstanding anything to the contrary contained herein, a letter of credit issued by an L/C Issuer other than Bank of America shall not be a “Letter of Credit” for purposes of the Loan Documents until such time as the Agent has been notified of the issuance thereof by the applicable L/C Issuer and has confirmed with the L/C Issuer that there exists adequate availability under the Aggregate Commitments to issue such letter of credit.</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Application</w:t>
      </w:r>
      <w:r>
        <w:rPr>
          <w:rFonts w:ascii="Times New Roman;Times;serif" w:hAnsi="Times New Roman;Times;serif"/>
          <w:sz w:val="20"/>
        </w:rPr>
        <w:t xml:space="preserve">” </w:t>
      </w:r>
      <w:r>
        <w:rPr>
          <w:rFonts w:ascii="Times New Roman;Times;serif" w:hAnsi="Times New Roman;Times;serif"/>
          <w:sz w:val="22"/>
        </w:rPr>
        <w:t>means an application and agreement for the issuance or amendment of a Letter of Credit in the form from time to time in use by the L/C Issuer.</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Expiration Date</w:t>
      </w:r>
      <w:r>
        <w:rPr>
          <w:rFonts w:ascii="Times New Roman;Times;serif" w:hAnsi="Times New Roman;Times;serif"/>
          <w:sz w:val="20"/>
        </w:rPr>
        <w:t xml:space="preserve">” </w:t>
      </w:r>
      <w:r>
        <w:rPr>
          <w:rFonts w:ascii="Times New Roman;Times;serif" w:hAnsi="Times New Roman;Times;serif"/>
          <w:sz w:val="22"/>
        </w:rPr>
        <w:t>means the day that is seven days prior to the Maturity Date then in effect (or, if such day is not a Business Day, the next preceding Business Day).</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Fee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2.03(i)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Sublimit</w:t>
      </w:r>
      <w:r>
        <w:rPr>
          <w:rFonts w:ascii="Times New Roman;Times;serif" w:hAnsi="Times New Roman;Times;serif"/>
          <w:sz w:val="20"/>
        </w:rPr>
        <w:t xml:space="preserve">” </w:t>
      </w:r>
      <w:r>
        <w:rPr>
          <w:rFonts w:ascii="Times New Roman;Times;serif" w:hAnsi="Times New Roman;Times;serif"/>
          <w:sz w:val="22"/>
        </w:rPr>
        <w:t xml:space="preserve">means an amount equal to the lesser of (a) $100,000,000 and (b) the Aggregate Commitments;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L/C Issuer’s Letter of Credit Sublimit shall not exceed its L/C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Commitment.  The Letter of Credit Sublimit is part of, and not in addition to, the Aggregate Commitments.</w:t>
      </w:r>
    </w:p>
    <w:p>
      <w:pPr>
        <w:pStyle w:val="TextBody"/>
        <w:bidi w:val="0"/>
        <w:spacing w:before="0" w:after="240"/>
        <w:ind w:left="0" w:right="0" w:firstLine="720"/>
        <w:jc w:val="both"/>
        <w:rPr/>
      </w:pPr>
      <w:r>
        <w:rPr/>
        <w:t>“</w:t>
      </w:r>
      <w:r>
        <w:rPr>
          <w:rFonts w:ascii="Times New Roman;Times;serif" w:hAnsi="Times New Roman;Times;serif"/>
          <w:sz w:val="22"/>
          <w:u w:val="single"/>
        </w:rPr>
        <w:t>Lien</w:t>
      </w:r>
      <w:r>
        <w:rPr>
          <w:rFonts w:ascii="Times New Roman;Times;serif" w:hAnsi="Times New Roman;Times;serif"/>
          <w:sz w:val="20"/>
        </w:rPr>
        <w:t xml:space="preserve">” </w:t>
      </w:r>
      <w:r>
        <w:rPr>
          <w:rFonts w:ascii="Times New Roman;Times;serif" w:hAnsi="Times New Roman;Times;serif"/>
          <w:sz w:val="22"/>
        </w:rPr>
        <w:t>means any mortgage, deed of trust, pledge, security interest, encumbrance, deposit arrangement, lien (including any lien securing any Capitalized Lease Obligation) or charge of any kind (including any conditional sale or other title retention agreement having substantially the same economic effect as any of the foregoing).</w:t>
      </w:r>
    </w:p>
    <w:p>
      <w:pPr>
        <w:pStyle w:val="TextBody"/>
        <w:bidi w:val="0"/>
        <w:spacing w:before="0" w:after="240"/>
        <w:ind w:left="0" w:right="0" w:firstLine="720"/>
        <w:jc w:val="both"/>
        <w:rPr/>
      </w:pPr>
      <w:r>
        <w:rPr/>
        <w:t>“</w:t>
      </w:r>
      <w:r>
        <w:rPr>
          <w:rFonts w:ascii="Times New Roman;Times;serif" w:hAnsi="Times New Roman;Times;serif"/>
          <w:sz w:val="22"/>
          <w:u w:val="single"/>
        </w:rPr>
        <w:t>Loan</w:t>
      </w:r>
      <w:r>
        <w:rPr>
          <w:rFonts w:ascii="Times New Roman;Times;serif" w:hAnsi="Times New Roman;Times;serif"/>
          <w:sz w:val="20"/>
        </w:rPr>
        <w:t xml:space="preserve">” </w:t>
      </w:r>
      <w:r>
        <w:rPr>
          <w:rFonts w:ascii="Times New Roman;Times;serif" w:hAnsi="Times New Roman;Times;serif"/>
          <w:sz w:val="22"/>
        </w:rPr>
        <w:t xml:space="preserve">means an extension of credit by a Lender to the Borrower under </w:t>
      </w:r>
      <w:r>
        <w:rPr>
          <w:rFonts w:ascii="Times New Roman;Times;serif" w:hAnsi="Times New Roman;Times;serif"/>
          <w:sz w:val="22"/>
          <w:u w:val="single"/>
        </w:rPr>
        <w:t>Article II</w:t>
      </w:r>
      <w:r>
        <w:rPr>
          <w:rFonts w:ascii="Times New Roman;Times;serif" w:hAnsi="Times New Roman;Times;serif"/>
          <w:sz w:val="20"/>
        </w:rPr>
        <w:t xml:space="preserve"> </w:t>
      </w:r>
      <w:r>
        <w:rPr>
          <w:rFonts w:ascii="Times New Roman;Times;serif" w:hAnsi="Times New Roman;Times;serif"/>
          <w:sz w:val="22"/>
        </w:rPr>
        <w:t>in the form of a Committed Loan or a Swing Line Loan.</w:t>
      </w:r>
    </w:p>
    <w:p>
      <w:pPr>
        <w:pStyle w:val="TextBody"/>
        <w:bidi w:val="0"/>
        <w:spacing w:before="0" w:after="240"/>
        <w:ind w:left="0" w:right="0" w:firstLine="720"/>
        <w:jc w:val="both"/>
        <w:rPr/>
      </w:pPr>
      <w:r>
        <w:rPr/>
        <w:t>“</w:t>
      </w:r>
      <w:r>
        <w:rPr>
          <w:rFonts w:ascii="Times New Roman;Times;serif" w:hAnsi="Times New Roman;Times;serif"/>
          <w:sz w:val="22"/>
          <w:u w:val="single"/>
        </w:rPr>
        <w:t>Loan Documents</w:t>
      </w:r>
      <w:r>
        <w:rPr>
          <w:rFonts w:ascii="Times New Roman;Times;serif" w:hAnsi="Times New Roman;Times;serif"/>
          <w:sz w:val="20"/>
        </w:rPr>
        <w:t xml:space="preserve">” </w:t>
      </w:r>
      <w:r>
        <w:rPr>
          <w:rFonts w:ascii="Times New Roman;Times;serif" w:hAnsi="Times New Roman;Times;serif"/>
          <w:sz w:val="22"/>
        </w:rPr>
        <w:t xml:space="preserve">means this Agreement, each Note, each Issuer Document, the Guaranty, any Autoborrow Agreement, any agreement creating or perfecting rights in Cash Collateral pursuant to the provisions of </w:t>
      </w:r>
      <w:r>
        <w:rPr>
          <w:rFonts w:ascii="Times New Roman;Times;serif" w:hAnsi="Times New Roman;Times;serif"/>
          <w:sz w:val="22"/>
          <w:u w:val="single"/>
        </w:rPr>
        <w:t>Section 2.15</w:t>
      </w:r>
      <w:r>
        <w:rPr>
          <w:rFonts w:ascii="Times New Roman;Times;serif" w:hAnsi="Times New Roman;Times;serif"/>
          <w:sz w:val="20"/>
        </w:rPr>
        <w:t xml:space="preserve"> </w:t>
      </w:r>
      <w:r>
        <w:rPr>
          <w:rFonts w:ascii="Times New Roman;Times;serif" w:hAnsi="Times New Roman;Times;serif"/>
          <w:sz w:val="22"/>
        </w:rPr>
        <w:t>and the Fee Letter.</w:t>
      </w:r>
    </w:p>
    <w:p>
      <w:pPr>
        <w:pStyle w:val="TextBody"/>
        <w:bidi w:val="0"/>
        <w:spacing w:before="0" w:after="240"/>
        <w:ind w:left="0" w:right="0" w:firstLine="720"/>
        <w:jc w:val="both"/>
        <w:rPr/>
      </w:pPr>
      <w:r>
        <w:rPr/>
        <w:t>“</w:t>
      </w:r>
      <w:r>
        <w:rPr>
          <w:rFonts w:ascii="Times New Roman;Times;serif" w:hAnsi="Times New Roman;Times;serif"/>
          <w:sz w:val="22"/>
          <w:u w:val="single"/>
        </w:rPr>
        <w:t>Loan Parties</w:t>
      </w:r>
      <w:r>
        <w:rPr>
          <w:rFonts w:ascii="Times New Roman;Times;serif" w:hAnsi="Times New Roman;Times;serif"/>
          <w:sz w:val="20"/>
        </w:rPr>
        <w:t xml:space="preserve">” </w:t>
      </w:r>
      <w:r>
        <w:rPr>
          <w:rFonts w:ascii="Times New Roman;Times;serif" w:hAnsi="Times New Roman;Times;serif"/>
          <w:sz w:val="22"/>
        </w:rPr>
        <w:t>means, collectively, the Borrower and each Guarantor.</w:t>
      </w:r>
    </w:p>
    <w:p>
      <w:pPr>
        <w:pStyle w:val="TextBody"/>
        <w:bidi w:val="0"/>
        <w:spacing w:before="0" w:after="240"/>
        <w:ind w:left="0" w:right="0" w:firstLine="720"/>
        <w:jc w:val="both"/>
        <w:rPr/>
      </w:pPr>
      <w:r>
        <w:rPr/>
        <w:t>“</w:t>
      </w:r>
      <w:r>
        <w:rPr>
          <w:rFonts w:ascii="Times New Roman;Times;serif" w:hAnsi="Times New Roman;Times;serif"/>
          <w:sz w:val="22"/>
          <w:u w:val="single"/>
        </w:rPr>
        <w:t>Material Adverse Effect</w:t>
      </w:r>
      <w:r>
        <w:rPr>
          <w:rFonts w:ascii="Times New Roman;Times;serif" w:hAnsi="Times New Roman;Times;serif"/>
          <w:sz w:val="20"/>
        </w:rPr>
        <w:t xml:space="preserve">” </w:t>
      </w:r>
      <w:r>
        <w:rPr>
          <w:rFonts w:ascii="Times New Roman;Times;serif" w:hAnsi="Times New Roman;Times;serif"/>
          <w:sz w:val="22"/>
        </w:rPr>
        <w:t>means (a) a material adverse change in, or a material adverse effect upon, on the business, financial condition or operations of the Borrower and its Subsidiaries taken as a whole; (b) a material impairment of the ability of any Loan Party to perform its obligations under the Loan Documents, taken as a whole; or (c) a material adverse effect on the material rights and remedies of the Lenders, taken as a whole, which material adverse effect was not caused by any Lender.</w:t>
      </w:r>
    </w:p>
    <w:p>
      <w:pPr>
        <w:pStyle w:val="TextBody"/>
        <w:bidi w:val="0"/>
        <w:spacing w:before="0" w:after="240"/>
        <w:ind w:left="0" w:right="0" w:firstLine="720"/>
        <w:jc w:val="both"/>
        <w:rPr/>
      </w:pPr>
      <w:r>
        <w:rPr/>
        <w:t>“</w:t>
      </w:r>
      <w:r>
        <w:rPr>
          <w:rFonts w:ascii="Times New Roman;Times;serif" w:hAnsi="Times New Roman;Times;serif"/>
          <w:sz w:val="22"/>
          <w:u w:val="single"/>
        </w:rPr>
        <w:t>Material Domestic Subsidiary</w:t>
      </w:r>
      <w:r>
        <w:rPr>
          <w:rFonts w:ascii="Times New Roman;Times;serif" w:hAnsi="Times New Roman;Times;serif"/>
          <w:sz w:val="20"/>
        </w:rPr>
        <w:t xml:space="preserve">” </w:t>
      </w:r>
      <w:r>
        <w:rPr>
          <w:rFonts w:ascii="Times New Roman;Times;serif" w:hAnsi="Times New Roman;Times;serif"/>
          <w:sz w:val="22"/>
        </w:rPr>
        <w:t>means any Domestic Subsidiary of the Borrower (other than a Foreign Holdco) that accounts for, as of the most recently ended four fiscal quarter period of the Borrower, 5% or more of Consolidated EBITDA of the Borrower and its Subsidiaries for the most recently ended four fiscal quarter period of the Borrower.</w:t>
      </w:r>
    </w:p>
    <w:p>
      <w:pPr>
        <w:pStyle w:val="TextBody"/>
        <w:bidi w:val="0"/>
        <w:spacing w:before="0" w:after="240"/>
        <w:ind w:left="0" w:right="0" w:firstLine="720"/>
        <w:jc w:val="both"/>
        <w:rPr/>
      </w:pPr>
      <w:r>
        <w:rPr/>
        <w:t>“</w:t>
      </w:r>
      <w:r>
        <w:rPr>
          <w:rFonts w:ascii="Times New Roman;Times;serif" w:hAnsi="Times New Roman;Times;serif"/>
          <w:sz w:val="22"/>
          <w:u w:val="single"/>
        </w:rPr>
        <w:t>Material Line of Business</w:t>
      </w:r>
      <w:r>
        <w:rPr>
          <w:rFonts w:ascii="Times New Roman;Times;serif" w:hAnsi="Times New Roman;Times;serif"/>
          <w:sz w:val="20"/>
        </w:rPr>
        <w:t xml:space="preserve">” </w:t>
      </w:r>
      <w:r>
        <w:rPr>
          <w:rFonts w:ascii="Times New Roman;Times;serif" w:hAnsi="Times New Roman;Times;serif"/>
          <w:sz w:val="22"/>
        </w:rPr>
        <w:t>means a line of business or an operating division that accounts for, as of the most recently ended four fiscal quarter period of the Borrower, 5% or more of Consolidated EBITDA of the Borrower and its Subsidiaries for the most recently ended four fiscal quarter period of the Borrower.</w:t>
      </w:r>
    </w:p>
    <w:p>
      <w:pPr>
        <w:pStyle w:val="TextBody"/>
        <w:bidi w:val="0"/>
        <w:spacing w:before="0" w:after="240"/>
        <w:ind w:left="0" w:right="0" w:firstLine="720"/>
        <w:jc w:val="both"/>
        <w:rPr/>
      </w:pPr>
      <w:r>
        <w:rPr/>
        <w:t>“</w:t>
      </w:r>
      <w:r>
        <w:rPr>
          <w:rFonts w:ascii="Times New Roman;Times;serif" w:hAnsi="Times New Roman;Times;serif"/>
          <w:sz w:val="22"/>
          <w:u w:val="single"/>
        </w:rPr>
        <w:t>Material Subsidiary</w:t>
      </w:r>
      <w:r>
        <w:rPr>
          <w:rFonts w:ascii="Times New Roman;Times;serif" w:hAnsi="Times New Roman;Times;serif"/>
          <w:sz w:val="20"/>
        </w:rPr>
        <w:t xml:space="preserve">” </w:t>
      </w:r>
      <w:r>
        <w:rPr>
          <w:rFonts w:ascii="Times New Roman;Times;serif" w:hAnsi="Times New Roman;Times;serif"/>
          <w:sz w:val="22"/>
        </w:rPr>
        <w:t>means (a) any Guarantor and (b) any Subsidiary of the Borrower that accounts for, as of the most recently ended four fiscal quarter period of the Borrower, 5% or more of Consolidated EBITDA of the Borrower and its Subsidiaries for the most recently ended four fiscal quarter period of the Borrower.</w:t>
      </w:r>
    </w:p>
    <w:p>
      <w:pPr>
        <w:pStyle w:val="TextBody"/>
        <w:bidi w:val="0"/>
        <w:spacing w:before="0" w:after="240"/>
        <w:ind w:left="0" w:right="0" w:firstLine="720"/>
        <w:jc w:val="both"/>
        <w:rPr/>
      </w:pPr>
      <w:r>
        <w:rPr/>
        <w:t>“</w:t>
      </w:r>
      <w:r>
        <w:rPr>
          <w:rFonts w:ascii="Times New Roman;Times;serif" w:hAnsi="Times New Roman;Times;serif"/>
          <w:sz w:val="22"/>
          <w:u w:val="single"/>
        </w:rPr>
        <w:t>Matson Navigation</w:t>
      </w:r>
      <w:r>
        <w:rPr>
          <w:rFonts w:ascii="Times New Roman;Times;serif" w:hAnsi="Times New Roman;Times;serif"/>
          <w:sz w:val="20"/>
        </w:rPr>
        <w:t xml:space="preserve">” </w:t>
      </w:r>
      <w:r>
        <w:rPr>
          <w:rFonts w:ascii="Times New Roman;Times;serif" w:hAnsi="Times New Roman;Times;serif"/>
          <w:sz w:val="22"/>
        </w:rPr>
        <w:t>means Matson Navigation Company, Inc.</w:t>
      </w:r>
    </w:p>
    <w:p>
      <w:pPr>
        <w:pStyle w:val="TextBody"/>
        <w:bidi w:val="0"/>
        <w:spacing w:before="0" w:after="240"/>
        <w:ind w:left="0" w:right="0" w:firstLine="720"/>
        <w:jc w:val="both"/>
        <w:rPr/>
      </w:pPr>
      <w:r>
        <w:rPr/>
        <w:t>“</w:t>
      </w:r>
      <w:r>
        <w:rPr>
          <w:rFonts w:ascii="Times New Roman;Times;serif" w:hAnsi="Times New Roman;Times;serif"/>
          <w:sz w:val="22"/>
          <w:u w:val="single"/>
        </w:rPr>
        <w:t>Maturity Date</w:t>
      </w:r>
      <w:r>
        <w:rPr>
          <w:rFonts w:ascii="Times New Roman;Times;serif" w:hAnsi="Times New Roman;Times;serif"/>
          <w:sz w:val="20"/>
        </w:rPr>
        <w:t xml:space="preserve">” </w:t>
      </w:r>
      <w:r>
        <w:rPr>
          <w:rFonts w:ascii="Times New Roman;Times;serif" w:hAnsi="Times New Roman;Times;serif"/>
          <w:sz w:val="22"/>
        </w:rPr>
        <w:t>means July 23, 2030.  If such date is not a Business Day, the Maturity Date shall be the next preceding Business Day.</w:t>
      </w:r>
    </w:p>
    <w:p>
      <w:pPr>
        <w:pStyle w:val="TextBody"/>
        <w:bidi w:val="0"/>
        <w:spacing w:before="0" w:after="240"/>
        <w:ind w:left="0" w:right="0" w:firstLine="720"/>
        <w:jc w:val="both"/>
        <w:rPr/>
      </w:pPr>
      <w:r>
        <w:rPr/>
        <w:t>“</w:t>
      </w:r>
      <w:r>
        <w:rPr>
          <w:rFonts w:ascii="Times New Roman;Times;serif" w:hAnsi="Times New Roman;Times;serif"/>
          <w:sz w:val="22"/>
          <w:u w:val="single"/>
        </w:rPr>
        <w:t>Minimum Collateral Amount</w:t>
      </w:r>
      <w:r>
        <w:rPr>
          <w:rFonts w:ascii="Times New Roman;Times;serif" w:hAnsi="Times New Roman;Times;serif"/>
          <w:sz w:val="20"/>
        </w:rPr>
        <w:t xml:space="preserve">” </w:t>
      </w:r>
      <w:r>
        <w:rPr>
          <w:rFonts w:ascii="Times New Roman;Times;serif" w:hAnsi="Times New Roman;Times;serif"/>
          <w:sz w:val="22"/>
        </w:rPr>
        <w:t xml:space="preserve">means, at any time, (a) with respect to Cash Collateral consisting of cash or deposit account balances provided to reduce or eliminate Fronting Exposure during the existence of a Defaulting Lender, an amount equal to 103% of the Fronting Exposure of the L/C Issuer with respect to Letters of Credit issued and outstanding at such time, (b) with respect to Cash Collateral consisting of cash or deposit account balances provided in accordance with the provisions of </w:t>
      </w:r>
      <w:r>
        <w:rPr>
          <w:rFonts w:ascii="Times New Roman;Times;serif" w:hAnsi="Times New Roman;Times;serif"/>
          <w:sz w:val="22"/>
          <w:u w:val="single"/>
        </w:rPr>
        <w:t>Section 2.15(a)(i)</w:t>
      </w:r>
      <w:r>
        <w:rPr>
          <w:rFonts w:ascii="Times New Roman;Times;serif" w:hAnsi="Times New Roman;Times;serif"/>
          <w:sz w:val="22"/>
        </w:rPr>
        <w:t xml:space="preserve">, </w:t>
      </w:r>
      <w:r>
        <w:rPr>
          <w:rFonts w:ascii="Times New Roman;Times;serif" w:hAnsi="Times New Roman;Times;serif"/>
          <w:sz w:val="22"/>
          <w:u w:val="single"/>
        </w:rPr>
        <w:t>(a)(ii)</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(a)(iii)</w:t>
      </w:r>
      <w:r>
        <w:rPr>
          <w:rFonts w:ascii="Times New Roman;Times;serif" w:hAnsi="Times New Roman;Times;serif"/>
          <w:sz w:val="22"/>
        </w:rPr>
        <w:t>, an amount equal to 103% of the Outstanding Amount of all L/C Obligations, and (c) otherwise, an amount equal to 103% of the stated amount of the applicable Letter of Credit.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15</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Moody’s</w:t>
      </w:r>
      <w:r>
        <w:rPr>
          <w:rFonts w:ascii="Times New Roman;Times;serif" w:hAnsi="Times New Roman;Times;serif"/>
          <w:sz w:val="20"/>
        </w:rPr>
        <w:t xml:space="preserve">” </w:t>
      </w:r>
      <w:r>
        <w:rPr>
          <w:rFonts w:ascii="Times New Roman;Times;serif" w:hAnsi="Times New Roman;Times;serif"/>
          <w:sz w:val="22"/>
        </w:rPr>
        <w:t>means Moody’s Investors Service, Inc. and any successor thereto.</w:t>
      </w:r>
    </w:p>
    <w:p>
      <w:pPr>
        <w:pStyle w:val="TextBody"/>
        <w:bidi w:val="0"/>
        <w:spacing w:before="0" w:after="240"/>
        <w:ind w:left="0" w:right="0" w:firstLine="720"/>
        <w:jc w:val="both"/>
        <w:rPr/>
      </w:pPr>
      <w:r>
        <w:rPr/>
        <w:t>“</w:t>
      </w:r>
      <w:r>
        <w:rPr>
          <w:rFonts w:ascii="Times New Roman;Times;serif" w:hAnsi="Times New Roman;Times;serif"/>
          <w:sz w:val="22"/>
          <w:u w:val="single"/>
        </w:rPr>
        <w:t>Multiemployer Plan</w:t>
      </w:r>
      <w:r>
        <w:rPr>
          <w:rFonts w:ascii="Times New Roman;Times;serif" w:hAnsi="Times New Roman;Times;serif"/>
          <w:sz w:val="20"/>
        </w:rPr>
        <w:t xml:space="preserve">” </w:t>
      </w:r>
      <w:r>
        <w:rPr>
          <w:rFonts w:ascii="Times New Roman;Times;serif" w:hAnsi="Times New Roman;Times;serif"/>
          <w:sz w:val="22"/>
        </w:rPr>
        <w:t>means any Plan which is a “multiemployer plan” (as such term is defined in section 4001(a)(3) of ERISA).</w:t>
      </w:r>
    </w:p>
    <w:p>
      <w:pPr>
        <w:pStyle w:val="TextBody"/>
        <w:bidi w:val="0"/>
        <w:spacing w:before="0" w:after="240"/>
        <w:ind w:left="0" w:right="0" w:firstLine="720"/>
        <w:jc w:val="both"/>
        <w:rPr/>
      </w:pPr>
      <w:r>
        <w:rPr/>
        <w:t>“</w:t>
      </w:r>
      <w:r>
        <w:rPr>
          <w:rFonts w:ascii="Times New Roman;Times;serif" w:hAnsi="Times New Roman;Times;serif"/>
          <w:sz w:val="22"/>
          <w:u w:val="single"/>
        </w:rPr>
        <w:t>Net Debt</w:t>
      </w:r>
      <w:r>
        <w:rPr>
          <w:rFonts w:ascii="Times New Roman;Times;serif" w:hAnsi="Times New Roman;Times;serif"/>
          <w:sz w:val="20"/>
        </w:rPr>
        <w:t xml:space="preserve">” </w:t>
      </w:r>
      <w:r>
        <w:rPr>
          <w:rFonts w:ascii="Times New Roman;Times;serif" w:hAnsi="Times New Roman;Times;serif"/>
          <w:sz w:val="22"/>
        </w:rPr>
        <w:t>means, at any time of determination thereof, the excess of the principal amount of all Debt of the Borrower and its Subsidiaries on a consolidated basis on such date over the Net Debt Cash Amount on such date.</w:t>
      </w:r>
    </w:p>
    <w:p>
      <w:pPr>
        <w:pStyle w:val="TextBody"/>
        <w:bidi w:val="0"/>
        <w:spacing w:before="0" w:after="240"/>
        <w:ind w:left="0" w:right="0" w:firstLine="720"/>
        <w:jc w:val="both"/>
        <w:rPr/>
      </w:pPr>
      <w:r>
        <w:rPr/>
        <w:t>“</w:t>
      </w:r>
      <w:r>
        <w:rPr>
          <w:rFonts w:ascii="Times New Roman;Times;serif" w:hAnsi="Times New Roman;Times;serif"/>
          <w:sz w:val="22"/>
          <w:u w:val="single"/>
        </w:rPr>
        <w:t>Net Debt Cash Amount</w:t>
      </w:r>
      <w:r>
        <w:rPr>
          <w:rFonts w:ascii="Times New Roman;Times;serif" w:hAnsi="Times New Roman;Times;serif"/>
          <w:sz w:val="20"/>
        </w:rPr>
        <w:t xml:space="preserve">” </w:t>
      </w:r>
      <w:r>
        <w:rPr>
          <w:rFonts w:ascii="Times New Roman;Times;serif" w:hAnsi="Times New Roman;Times;serif"/>
          <w:sz w:val="22"/>
        </w:rPr>
        <w:t>means, for any date of determination, the sum over $15,000,000 (excluding any amount in the CCF) as of such date of (a) the Borrower’s and its Subsidiaries’ unrestricted cash and cash equivalents (other than any amounts in the CCF) as of such date and (b) 75% of the amount in the CCF as of such date.</w:t>
      </w:r>
    </w:p>
    <w:p>
      <w:pPr>
        <w:pStyle w:val="TextBody"/>
        <w:bidi w:val="0"/>
        <w:spacing w:before="0" w:after="240"/>
        <w:ind w:left="0" w:right="0" w:firstLine="720"/>
        <w:jc w:val="both"/>
        <w:rPr/>
      </w:pPr>
      <w:r>
        <w:rPr/>
        <w:t>“</w:t>
      </w:r>
      <w:r>
        <w:rPr>
          <w:rFonts w:ascii="Times New Roman;Times;serif" w:hAnsi="Times New Roman;Times;serif"/>
          <w:sz w:val="22"/>
          <w:u w:val="single"/>
        </w:rPr>
        <w:t>Non-Consenting Lender</w:t>
      </w:r>
      <w:r>
        <w:rPr>
          <w:rFonts w:ascii="Times New Roman;Times;serif" w:hAnsi="Times New Roman;Times;serif"/>
          <w:sz w:val="20"/>
        </w:rPr>
        <w:t xml:space="preserve">” </w:t>
      </w:r>
      <w:r>
        <w:rPr>
          <w:rFonts w:ascii="Times New Roman;Times;serif" w:hAnsi="Times New Roman;Times;serif"/>
          <w:sz w:val="22"/>
        </w:rPr>
        <w:t xml:space="preserve">means any Lender that does not approve any consent, waiver or amendment that (i) requires the approval of all Lenders or all affected Lenders in accordance with the terms of </w:t>
      </w:r>
      <w:r>
        <w:rPr>
          <w:rFonts w:ascii="Times New Roman;Times;serif" w:hAnsi="Times New Roman;Times;serif"/>
          <w:sz w:val="22"/>
          <w:u w:val="single"/>
        </w:rPr>
        <w:t>Section 10.01</w:t>
      </w:r>
      <w:r>
        <w:rPr>
          <w:rFonts w:ascii="Times New Roman;Times;serif" w:hAnsi="Times New Roman;Times;serif"/>
          <w:sz w:val="20"/>
        </w:rPr>
        <w:t xml:space="preserve"> </w:t>
      </w:r>
      <w:r>
        <w:rPr>
          <w:rFonts w:ascii="Times New Roman;Times;serif" w:hAnsi="Times New Roman;Times;serif"/>
          <w:sz w:val="22"/>
        </w:rPr>
        <w:t>and (ii) has been approved by the Required Lenders.</w:t>
      </w:r>
    </w:p>
    <w:p>
      <w:pPr>
        <w:pStyle w:val="TextBody"/>
        <w:bidi w:val="0"/>
        <w:spacing w:before="0" w:after="240"/>
        <w:ind w:left="0" w:right="0" w:firstLine="720"/>
        <w:jc w:val="both"/>
        <w:rPr/>
      </w:pPr>
      <w:r>
        <w:rPr/>
        <w:t>“</w:t>
      </w:r>
      <w:r>
        <w:rPr>
          <w:rFonts w:ascii="Times New Roman;Times;serif" w:hAnsi="Times New Roman;Times;serif"/>
          <w:sz w:val="22"/>
          <w:u w:val="single"/>
        </w:rPr>
        <w:t>Non-Defaulting Lender</w:t>
      </w:r>
      <w:r>
        <w:rPr>
          <w:rFonts w:ascii="Times New Roman;Times;serif" w:hAnsi="Times New Roman;Times;serif"/>
          <w:sz w:val="20"/>
        </w:rPr>
        <w:t xml:space="preserve">” </w:t>
      </w:r>
      <w:r>
        <w:rPr>
          <w:rFonts w:ascii="Times New Roman;Times;serif" w:hAnsi="Times New Roman;Times;serif"/>
          <w:sz w:val="22"/>
        </w:rPr>
        <w:t>means, at any time, each Lender that is not a Defaulting Lender at such time.</w:t>
      </w:r>
    </w:p>
    <w:p>
      <w:pPr>
        <w:pStyle w:val="TextBody"/>
        <w:bidi w:val="0"/>
        <w:spacing w:before="0" w:after="240"/>
        <w:ind w:left="0" w:right="0" w:firstLine="720"/>
        <w:jc w:val="both"/>
        <w:rPr/>
      </w:pPr>
      <w:r>
        <w:rPr/>
        <w:t>“</w:t>
      </w:r>
      <w:r>
        <w:rPr>
          <w:rFonts w:ascii="Times New Roman;Times;serif" w:hAnsi="Times New Roman;Times;serif"/>
          <w:sz w:val="22"/>
          <w:u w:val="single"/>
        </w:rPr>
        <w:t>Note</w:t>
      </w:r>
      <w:r>
        <w:rPr>
          <w:rFonts w:ascii="Times New Roman;Times;serif" w:hAnsi="Times New Roman;Times;serif"/>
          <w:sz w:val="20"/>
        </w:rPr>
        <w:t xml:space="preserve">” </w:t>
      </w:r>
      <w:r>
        <w:rPr>
          <w:rFonts w:ascii="Times New Roman;Times;serif" w:hAnsi="Times New Roman;Times;serif"/>
          <w:sz w:val="22"/>
        </w:rPr>
        <w:t xml:space="preserve">means a promissory note made by the Borrower in favor of a Lender evidencing Loans made by such Lender, substantially in the form of </w:t>
      </w:r>
      <w:r>
        <w:rPr>
          <w:rFonts w:ascii="Times New Roman;Times;serif" w:hAnsi="Times New Roman;Times;serif"/>
          <w:sz w:val="22"/>
          <w:u w:val="single"/>
        </w:rPr>
        <w:t>Exhibit C</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Note Purchase Agreement</w:t>
      </w:r>
      <w:r>
        <w:rPr>
          <w:rFonts w:ascii="Times New Roman;Times;serif" w:hAnsi="Times New Roman;Times;serif"/>
          <w:sz w:val="20"/>
        </w:rPr>
        <w:t xml:space="preserve">” </w:t>
      </w:r>
      <w:r>
        <w:rPr>
          <w:rFonts w:ascii="Times New Roman;Times;serif" w:hAnsi="Times New Roman;Times;serif"/>
          <w:sz w:val="22"/>
        </w:rPr>
        <w:t xml:space="preserve">means, for any date of determination, (a) the 2016 Met Life Note Purchase Agreement, (b) the 2016 Pru Note Purchase Agreement, and (c) any other note purchase agreement entered into by a Loan Party on or after the Closing Date, in each of clauses (a), (b), and (c) under which notes in an aggregate principal amount of at least $30,000,000 are issued and sold and remain outstanding as of such date of determination;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the term Note Purchase Agreement shall exclude (i) Title XI Debt, (ii) financings to build, modify and/or acquire Vessel(s) secured by such Vessel(s) and (iii) for the avoidance of doubt, any Debt between or among the Borrower and its Subsidiaries.</w:t>
      </w:r>
    </w:p>
    <w:p>
      <w:pPr>
        <w:pStyle w:val="TextBody"/>
        <w:bidi w:val="0"/>
        <w:spacing w:before="0" w:after="240"/>
        <w:ind w:left="0" w:right="0" w:firstLine="720"/>
        <w:jc w:val="both"/>
        <w:rPr/>
      </w:pPr>
      <w:r>
        <w:rPr/>
        <w:t>“</w:t>
      </w:r>
      <w:r>
        <w:rPr>
          <w:rFonts w:ascii="Times New Roman;Times;serif" w:hAnsi="Times New Roman;Times;serif"/>
          <w:sz w:val="22"/>
          <w:u w:val="single"/>
        </w:rPr>
        <w:t>Notice of Loan Prepayment</w:t>
      </w:r>
      <w:r>
        <w:rPr>
          <w:rFonts w:ascii="Times New Roman;Times;serif" w:hAnsi="Times New Roman;Times;serif"/>
          <w:sz w:val="20"/>
        </w:rPr>
        <w:t xml:space="preserve">” </w:t>
      </w:r>
      <w:r>
        <w:rPr>
          <w:rFonts w:ascii="Times New Roman;Times;serif" w:hAnsi="Times New Roman;Times;serif"/>
          <w:sz w:val="22"/>
        </w:rPr>
        <w:t xml:space="preserve">means a notice of prepayment with respect to a Loan, which shall be substantially in the form of </w:t>
      </w:r>
      <w:r>
        <w:rPr>
          <w:rFonts w:ascii="Times New Roman;Times;serif" w:hAnsi="Times New Roman;Times;serif"/>
          <w:sz w:val="22"/>
          <w:u w:val="single"/>
        </w:rPr>
        <w:t>Exhibit G</w:t>
      </w:r>
      <w:r>
        <w:rPr>
          <w:rFonts w:ascii="Times New Roman;Times;serif" w:hAnsi="Times New Roman;Times;serif"/>
          <w:sz w:val="20"/>
        </w:rPr>
        <w:t xml:space="preserve"> </w:t>
      </w:r>
      <w:r>
        <w:rPr>
          <w:rFonts w:ascii="Times New Roman;Times;serif" w:hAnsi="Times New Roman;Times;serif"/>
          <w:sz w:val="22"/>
        </w:rPr>
        <w:t>or such other form as may be approved by the Agent (including any form on an electronic platform or electronic transmission system as shall be approved by the Agent), appropriately completed and signed by an Authorized Officer of the Borrower.</w:t>
      </w:r>
    </w:p>
    <w:p>
      <w:pPr>
        <w:pStyle w:val="TextBody"/>
        <w:bidi w:val="0"/>
        <w:spacing w:before="0" w:after="240"/>
        <w:ind w:left="0" w:right="0" w:firstLine="720"/>
        <w:jc w:val="both"/>
        <w:rPr/>
      </w:pPr>
      <w:r>
        <w:rPr/>
        <w:t>“</w:t>
      </w:r>
      <w:r>
        <w:rPr>
          <w:rFonts w:ascii="Times New Roman;Times;serif" w:hAnsi="Times New Roman;Times;serif"/>
          <w:sz w:val="22"/>
          <w:u w:val="single"/>
        </w:rPr>
        <w:t>Obligations</w:t>
      </w:r>
      <w:r>
        <w:rPr>
          <w:rFonts w:ascii="Times New Roman;Times;serif" w:hAnsi="Times New Roman;Times;serif"/>
          <w:sz w:val="20"/>
        </w:rPr>
        <w:t xml:space="preserve">” </w:t>
      </w:r>
      <w:r>
        <w:rPr>
          <w:rFonts w:ascii="Times New Roman;Times;serif" w:hAnsi="Times New Roman;Times;serif"/>
          <w:sz w:val="22"/>
        </w:rPr>
        <w:t>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under any Loan Document and including interest and fees that accrue after the commencement by or against the Borrower or any Affiliate thereof of any proceeding under any Debtor Relief Laws naming a Loan Party as the debtor in such proceeding, regardless of whether such interest and fees are allowed claims in such proceeding.</w:t>
      </w:r>
    </w:p>
    <w:p>
      <w:pPr>
        <w:pStyle w:val="TextBody"/>
        <w:bidi w:val="0"/>
        <w:spacing w:before="0" w:after="240"/>
        <w:ind w:left="0" w:right="0" w:firstLine="720"/>
        <w:jc w:val="both"/>
        <w:rPr/>
      </w:pPr>
      <w:r>
        <w:rPr/>
        <w:t>“</w:t>
      </w:r>
      <w:r>
        <w:rPr>
          <w:rFonts w:ascii="Times New Roman;Times;serif" w:hAnsi="Times New Roman;Times;serif"/>
          <w:sz w:val="22"/>
          <w:u w:val="single"/>
        </w:rPr>
        <w:t>OFAC</w:t>
      </w:r>
      <w:r>
        <w:rPr>
          <w:rFonts w:ascii="Times New Roman;Times;serif" w:hAnsi="Times New Roman;Times;serif"/>
          <w:sz w:val="20"/>
        </w:rPr>
        <w:t xml:space="preserve">” </w:t>
      </w:r>
      <w:r>
        <w:rPr>
          <w:rFonts w:ascii="Times New Roman;Times;serif" w:hAnsi="Times New Roman;Times;serif"/>
          <w:sz w:val="22"/>
        </w:rPr>
        <w:t>means the Office of Foreign Assets Control of the United States Department of the Treasury.</w:t>
      </w:r>
    </w:p>
    <w:p>
      <w:pPr>
        <w:pStyle w:val="TextBody"/>
        <w:bidi w:val="0"/>
        <w:spacing w:before="0" w:after="240"/>
        <w:ind w:left="0" w:right="0" w:firstLine="720"/>
        <w:jc w:val="both"/>
        <w:rPr/>
      </w:pPr>
      <w:r>
        <w:rPr/>
        <w:t>“</w:t>
      </w:r>
      <w:r>
        <w:rPr>
          <w:rFonts w:ascii="Times New Roman;Times;serif" w:hAnsi="Times New Roman;Times;serif"/>
          <w:sz w:val="22"/>
          <w:u w:val="single"/>
        </w:rPr>
        <w:t>Other Connection Taxes</w:t>
      </w:r>
      <w:r>
        <w:rPr>
          <w:rFonts w:ascii="Times New Roman;Times;serif" w:hAnsi="Times New Roman;Times;serif"/>
          <w:sz w:val="20"/>
        </w:rPr>
        <w:t xml:space="preserve">” </w:t>
      </w:r>
      <w:r>
        <w:rPr>
          <w:rFonts w:ascii="Times New Roman;Times;serif" w:hAnsi="Times New Roman;Times;serif"/>
          <w:sz w:val="22"/>
        </w:rPr>
        <w:t>means, with respect to any Recipient, Taxes imposed as a result of a present or former connection between such Recipient and the jurisdiction imposing such Tax (other than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ind w:left="0" w:right="0" w:firstLine="720"/>
        <w:jc w:val="both"/>
        <w:rPr/>
      </w:pPr>
      <w:r>
        <w:rPr/>
        <w:t>“</w:t>
      </w:r>
      <w:r>
        <w:rPr>
          <w:rFonts w:ascii="Times New Roman;Times;serif" w:hAnsi="Times New Roman;Times;serif"/>
          <w:sz w:val="22"/>
          <w:u w:val="single"/>
        </w:rPr>
        <w:t>Other Taxes</w:t>
      </w:r>
      <w:r>
        <w:rPr>
          <w:rFonts w:ascii="Times New Roman;Times;serif" w:hAnsi="Times New Roman;Times;serif"/>
          <w:sz w:val="20"/>
        </w:rPr>
        <w:t xml:space="preserve">” </w:t>
      </w:r>
      <w:r>
        <w:rPr>
          <w:rFonts w:ascii="Times New Roman;Times;serif" w:hAnsi="Times New Roman;Times;serif"/>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sz w:val="22"/>
          <w:u w:val="single"/>
        </w:rPr>
        <w:t>Section 3.06</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Outbound Investment Rules</w:t>
      </w:r>
      <w:r>
        <w:rPr>
          <w:rFonts w:ascii="Times New Roman;Times;serif" w:hAnsi="Times New Roman;Times;serif"/>
          <w:sz w:val="20"/>
        </w:rPr>
        <w:t xml:space="preserve">” </w:t>
      </w:r>
      <w:r>
        <w:rPr>
          <w:rFonts w:ascii="Times New Roman;Times;serif" w:hAnsi="Times New Roman;Times;serif"/>
          <w:sz w:val="22"/>
        </w:rPr>
        <w:t>means the regulations administered and enforced, together with any related public guidance issued, by the United States Treasury Department under U.S. Executive Order 14105 of August 9, 2023, or any similar law or regulation; as of the Closing Date, and as codified at 31 C.F.R. § 850.101 et seq.</w:t>
      </w:r>
    </w:p>
    <w:p>
      <w:pPr>
        <w:pStyle w:val="TextBody"/>
        <w:bidi w:val="0"/>
        <w:spacing w:before="0" w:after="240"/>
        <w:ind w:left="0" w:right="0" w:firstLine="720"/>
        <w:jc w:val="both"/>
        <w:rPr/>
      </w:pPr>
      <w:r>
        <w:rPr/>
        <w:t>“</w:t>
      </w:r>
      <w:r>
        <w:rPr>
          <w:rFonts w:ascii="Times New Roman;Times;serif" w:hAnsi="Times New Roman;Times;serif"/>
          <w:sz w:val="22"/>
          <w:u w:val="single"/>
        </w:rPr>
        <w:t>Outstanding Amount</w:t>
      </w:r>
      <w:r>
        <w:rPr>
          <w:rFonts w:ascii="Times New Roman;Times;serif" w:hAnsi="Times New Roman;Times;serif"/>
          <w:sz w:val="20"/>
        </w:rPr>
        <w:t xml:space="preserve">” </w:t>
      </w:r>
      <w:r>
        <w:rPr>
          <w:rFonts w:ascii="Times New Roman;Times;serif" w:hAnsi="Times New Roman;Times;serif"/>
          <w:sz w:val="22"/>
        </w:rPr>
        <w:t>means (a) with respect to Committed Loans and Swing Line Loans on any date, the aggregate outstanding principal amount thereof after giving effect to any borrowings and prepayments or repayments of Committed Loans and Swing 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pStyle w:val="TextBody"/>
        <w:bidi w:val="0"/>
        <w:spacing w:before="0" w:after="240"/>
        <w:ind w:left="0" w:right="0" w:firstLine="720"/>
        <w:jc w:val="both"/>
        <w:rPr/>
      </w:pPr>
      <w:r>
        <w:rPr/>
        <w:t>“</w:t>
      </w:r>
      <w:r>
        <w:rPr>
          <w:rFonts w:ascii="Times New Roman;Times;serif" w:hAnsi="Times New Roman;Times;serif"/>
          <w:sz w:val="22"/>
          <w:u w:val="single"/>
        </w:rPr>
        <w:t>Participant</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10.06(d)</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Participant Register</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10.06(d)</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PBGC</w:t>
      </w:r>
      <w:r>
        <w:rPr>
          <w:rFonts w:ascii="Times New Roman;Times;serif" w:hAnsi="Times New Roman;Times;serif"/>
          <w:sz w:val="20"/>
        </w:rPr>
        <w:t xml:space="preserve">” </w:t>
      </w:r>
      <w:r>
        <w:rPr>
          <w:rFonts w:ascii="Times New Roman;Times;serif" w:hAnsi="Times New Roman;Times;serif"/>
          <w:sz w:val="22"/>
        </w:rPr>
        <w:t>means the Pension Benefit Guaranty Corporation.</w:t>
      </w:r>
    </w:p>
    <w:p>
      <w:pPr>
        <w:pStyle w:val="TextBody"/>
        <w:bidi w:val="0"/>
        <w:spacing w:before="0" w:after="240"/>
        <w:ind w:left="0" w:right="0" w:firstLine="720"/>
        <w:jc w:val="both"/>
        <w:rPr/>
      </w:pPr>
      <w:r>
        <w:rPr/>
        <w:t>“</w:t>
      </w:r>
      <w:r>
        <w:rPr>
          <w:rFonts w:ascii="Times New Roman;Times;serif" w:hAnsi="Times New Roman;Times;serif"/>
          <w:sz w:val="22"/>
          <w:u w:val="single"/>
        </w:rPr>
        <w:t>Person</w:t>
      </w:r>
      <w:r>
        <w:rPr>
          <w:rFonts w:ascii="Times New Roman;Times;serif" w:hAnsi="Times New Roman;Times;serif"/>
          <w:sz w:val="20"/>
        </w:rPr>
        <w:t xml:space="preserve">” </w:t>
      </w:r>
      <w:r>
        <w:rPr>
          <w:rFonts w:ascii="Times New Roman;Times;serif" w:hAnsi="Times New Roman;Times;serif"/>
          <w:sz w:val="22"/>
        </w:rPr>
        <w:t>means any natural person, corporation, limited liability company, trust, joint venture, association, company, partnership, Governmental Authority or other entity.</w:t>
      </w:r>
    </w:p>
    <w:p>
      <w:pPr>
        <w:pStyle w:val="TextBody"/>
        <w:bidi w:val="0"/>
        <w:spacing w:before="0" w:after="240"/>
        <w:ind w:left="0" w:right="0" w:firstLine="720"/>
        <w:jc w:val="both"/>
        <w:rPr/>
      </w:pPr>
      <w:r>
        <w:rPr/>
        <w:t>“</w:t>
      </w:r>
      <w:r>
        <w:rPr>
          <w:rFonts w:ascii="Times New Roman;Times;serif" w:hAnsi="Times New Roman;Times;serif"/>
          <w:sz w:val="22"/>
          <w:u w:val="single"/>
        </w:rPr>
        <w:t>Plan</w:t>
      </w:r>
      <w:r>
        <w:rPr>
          <w:rFonts w:ascii="Times New Roman;Times;serif" w:hAnsi="Times New Roman;Times;serif"/>
          <w:sz w:val="20"/>
        </w:rPr>
        <w:t xml:space="preserve">” </w:t>
      </w:r>
      <w:r>
        <w:rPr>
          <w:rFonts w:ascii="Times New Roman;Times;serif" w:hAnsi="Times New Roman;Times;serif"/>
          <w:sz w:val="22"/>
        </w:rPr>
        <w:t>means any “employee pension benefit plan” (as such term is defined in section 3 of ERISA) which is or has been established or maintained, or to which contributions are or have been made, by the Borrower or any ERISA Affiliate.</w:t>
      </w:r>
    </w:p>
    <w:p>
      <w:pPr>
        <w:pStyle w:val="TextBody"/>
        <w:bidi w:val="0"/>
        <w:spacing w:before="0" w:after="240"/>
        <w:ind w:left="0" w:right="0" w:firstLine="720"/>
        <w:jc w:val="both"/>
        <w:rPr/>
      </w:pPr>
      <w:r>
        <w:rPr/>
        <w:t>“</w:t>
      </w:r>
      <w:r>
        <w:rPr>
          <w:rFonts w:ascii="Times New Roman;Times;serif" w:hAnsi="Times New Roman;Times;serif"/>
          <w:sz w:val="22"/>
          <w:u w:val="single"/>
        </w:rPr>
        <w:t>Platform</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6.01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Priority Debt</w:t>
      </w:r>
      <w:r>
        <w:rPr>
          <w:rFonts w:ascii="Times New Roman;Times;serif" w:hAnsi="Times New Roman;Times;serif"/>
          <w:sz w:val="20"/>
        </w:rPr>
        <w:t xml:space="preserve">” </w:t>
      </w:r>
      <w:r>
        <w:rPr>
          <w:rFonts w:ascii="Times New Roman;Times;serif" w:hAnsi="Times New Roman;Times;serif"/>
          <w:sz w:val="22"/>
        </w:rPr>
        <w:t xml:space="preserve">means, at any time of determination thereof and without duplication, (a) Debt of the Borrower or Matson Navigation secured by any Lien (including, without limitation, all Title XI Debt and all Debt secured by marine assets, in each case whether full recourse or limited recourse) and (b) all Debt secured by any Lien (including, without limitation, all Title XI Debt and all Debt secured by a Lien on marine assets, in each case whether full recourse or limited recourse) and, without duplication, all unsecured Debt of Subsidiaries of the Borrower (other than unsecured Debt of Guarantors);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Priority Debt shall not include (i) Debt owing from any Subsidiary to the Borrower or any other Subsidiary, (ii) any of the Obligations, or (iii) any of the obligations of the Borrower or any Subsidiary under the Note Purchase Agreements and Guarantees in respect thereof, so long as the Obligations are secured on an equal and ratable basis pursuant to </w:t>
      </w:r>
      <w:r>
        <w:rPr>
          <w:rFonts w:ascii="Times New Roman;Times;serif" w:hAnsi="Times New Roman;Times;serif"/>
          <w:sz w:val="22"/>
          <w:u w:val="single"/>
        </w:rPr>
        <w:t>Section 6.03(ii)</w:t>
      </w:r>
      <w:r>
        <w:rPr>
          <w:rFonts w:ascii="Times New Roman;Times;serif" w:hAnsi="Times New Roman;Times;serif"/>
          <w:sz w:val="22"/>
        </w:rPr>
        <w:t xml:space="preserve">; </w:t>
      </w:r>
      <w:r>
        <w:rPr>
          <w:rFonts w:ascii="Times New Roman;Times;serif" w:hAnsi="Times New Roman;Times;serif"/>
          <w:sz w:val="22"/>
          <w:u w:val="single"/>
        </w:rPr>
        <w:t>provided further</w:t>
      </w:r>
      <w:r>
        <w:rPr>
          <w:rFonts w:ascii="Times New Roman;Times;serif" w:hAnsi="Times New Roman;Times;serif"/>
          <w:sz w:val="22"/>
        </w:rPr>
        <w:t>, for purposes of clarification, the obligations of the Borrower and its Subsidiaries under any Note Purchase Agreements and Guarantees in respect thereof shall not constitute Priority Debt solely as a result of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obligations being secured (without the Obligations being equally and ratably secured) by cash collateral in an amount for each such Note Purchase Agreement not to exceed the amount of Cash Collateral at such time being provided by the Borrower and its Subsidiaries pursuant to </w:t>
      </w:r>
      <w:r>
        <w:rPr>
          <w:rFonts w:ascii="Times New Roman;Times;serif" w:hAnsi="Times New Roman;Times;serif"/>
          <w:sz w:val="22"/>
          <w:u w:val="single"/>
        </w:rPr>
        <w:t>Section 2.15</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PTE</w:t>
      </w:r>
      <w:r>
        <w:rPr>
          <w:rFonts w:ascii="Times New Roman;Times;serif" w:hAnsi="Times New Roman;Times;serif"/>
          <w:sz w:val="20"/>
        </w:rPr>
        <w:t xml:space="preserve">” </w:t>
      </w:r>
      <w:r>
        <w:rPr>
          <w:rFonts w:ascii="Times New Roman;Times;serif" w:hAnsi="Times New Roman;Times;serif"/>
          <w:sz w:val="22"/>
        </w:rPr>
        <w:t>means a prohibited transaction class exemption issued by the U.S. Department of Labor, as any such exemption may be amended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Public Lender</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6.01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Recipient</w:t>
      </w:r>
      <w:r>
        <w:rPr>
          <w:rFonts w:ascii="Times New Roman;Times;serif" w:hAnsi="Times New Roman;Times;serif"/>
          <w:sz w:val="20"/>
        </w:rPr>
        <w:t xml:space="preserve">” </w:t>
      </w:r>
      <w:r>
        <w:rPr>
          <w:rFonts w:ascii="Times New Roman;Times;serif" w:hAnsi="Times New Roman;Times;serif"/>
          <w:sz w:val="22"/>
        </w:rPr>
        <w:t>means (a) the Agent, (b) any Lender, (c) the L/C Issuer and (d) any other recipient of any payment to be made by or on account of any obligation of the Borrower hereunder, as applicable.</w:t>
      </w:r>
    </w:p>
    <w:p>
      <w:pPr>
        <w:pStyle w:val="TextBody"/>
        <w:bidi w:val="0"/>
        <w:spacing w:before="0" w:after="240"/>
        <w:ind w:left="0" w:right="0" w:firstLine="720"/>
        <w:jc w:val="both"/>
        <w:rPr/>
      </w:pPr>
      <w:r>
        <w:rPr/>
        <w:t>“</w:t>
      </w:r>
      <w:r>
        <w:rPr>
          <w:rFonts w:ascii="Times New Roman;Times;serif" w:hAnsi="Times New Roman;Times;serif"/>
          <w:sz w:val="22"/>
          <w:u w:val="single"/>
        </w:rPr>
        <w:t>Register</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10.06(c)</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Related Parties</w:t>
      </w:r>
      <w:r>
        <w:rPr>
          <w:rFonts w:ascii="Times New Roman;Times;serif" w:hAnsi="Times New Roman;Times;serif"/>
          <w:sz w:val="20"/>
        </w:rPr>
        <w:t xml:space="preserve">” </w:t>
      </w:r>
      <w:r>
        <w:rPr>
          <w:rFonts w:ascii="Times New Roman;Times;serif" w:hAnsi="Times New Roman;Times;serif"/>
          <w:sz w:val="22"/>
        </w:rPr>
        <w:t>means, with respect to any Person, such Person’s Affiliates and the partners, directors, officers, employees, agents, trustees, administrators, managers, advisors, consultants, service providers and representatives of such Person and of such Person’s Affiliates.</w:t>
      </w:r>
    </w:p>
    <w:p>
      <w:pPr>
        <w:pStyle w:val="TextBody"/>
        <w:bidi w:val="0"/>
        <w:spacing w:before="0" w:after="240"/>
        <w:ind w:left="0" w:right="0" w:firstLine="720"/>
        <w:jc w:val="both"/>
        <w:rPr/>
      </w:pPr>
      <w:r>
        <w:rPr/>
        <w:t>“</w:t>
      </w:r>
      <w:r>
        <w:rPr>
          <w:rFonts w:ascii="Times New Roman;Times;serif" w:hAnsi="Times New Roman;Times;serif"/>
          <w:sz w:val="22"/>
          <w:u w:val="single"/>
        </w:rPr>
        <w:t>Request for Credit Extension</w:t>
      </w:r>
      <w:r>
        <w:rPr>
          <w:rFonts w:ascii="Times New Roman;Times;serif" w:hAnsi="Times New Roman;Times;serif"/>
          <w:sz w:val="20"/>
        </w:rPr>
        <w:t xml:space="preserve">” </w:t>
      </w:r>
      <w:r>
        <w:rPr>
          <w:rFonts w:ascii="Times New Roman;Times;serif" w:hAnsi="Times New Roman;Times;serif"/>
          <w:sz w:val="22"/>
        </w:rPr>
        <w:t>means (a) with respect to a Borrowing, conversion or continuation of Committed Loans, a Committed Loan Notice, (b) with respect to an L/C Credit Extension, a Letter of Credit Application, and (c) with respect to a Swing Line Loan at any time an Autoborrow Agreement is not in effect, a Swing Line Loan Notice.</w:t>
      </w:r>
    </w:p>
    <w:p>
      <w:pPr>
        <w:pStyle w:val="TextBody"/>
        <w:bidi w:val="0"/>
        <w:spacing w:before="0" w:after="240"/>
        <w:ind w:left="0" w:right="0" w:firstLine="720"/>
        <w:jc w:val="both"/>
        <w:rPr/>
      </w:pPr>
      <w:r>
        <w:rPr/>
        <w:t>“</w:t>
      </w:r>
      <w:r>
        <w:rPr>
          <w:rFonts w:ascii="Times New Roman;Times;serif" w:hAnsi="Times New Roman;Times;serif"/>
          <w:sz w:val="22"/>
          <w:u w:val="single"/>
        </w:rPr>
        <w:t>Required Lenders</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Lenders having more than 50% of the Aggregate Commitments or, if the commitment of each Lender to make Loans and the obligation of the L/C Issuer to make L/C Credit Extensions have been terminated pursuant to </w:t>
      </w:r>
      <w:r>
        <w:rPr>
          <w:rFonts w:ascii="Times New Roman;Times;serif" w:hAnsi="Times New Roman;Times;serif"/>
          <w:sz w:val="22"/>
          <w:u w:val="single"/>
        </w:rPr>
        <w:t>Section 8.02</w:t>
      </w:r>
      <w:r>
        <w:rPr>
          <w:rFonts w:ascii="Times New Roman;Times;serif" w:hAnsi="Times New Roman;Times;serif"/>
          <w:sz w:val="22"/>
        </w:rPr>
        <w:t xml:space="preserv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Commitment of, and the portion of the Total Outstandings held or deemed held by, any Defaulting Lender shall be excluded for purposes of making a determination of Required Lenders (except that the amount of any participation in any Swing Line Loan and Unreimbursed Amounts that such Defaulting Lender has failed to fund that has not been reallocated to and funded by another Lender shall be deemed to be “held” by the Lender that is the Swing Line Lender or L/C Issuer, as the case may be, in making such determination).</w:t>
      </w:r>
    </w:p>
    <w:p>
      <w:pPr>
        <w:pStyle w:val="TextBody"/>
        <w:bidi w:val="0"/>
        <w:spacing w:before="0" w:after="240"/>
        <w:ind w:left="0" w:right="0" w:firstLine="720"/>
        <w:jc w:val="both"/>
        <w:rPr/>
      </w:pPr>
      <w:r>
        <w:rPr/>
        <w:t>“</w:t>
      </w:r>
      <w:r>
        <w:rPr>
          <w:rFonts w:ascii="Times New Roman;Times;serif" w:hAnsi="Times New Roman;Times;serif"/>
          <w:sz w:val="22"/>
          <w:u w:val="single"/>
        </w:rPr>
        <w:t>Rescindable Amount</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2.12(b)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Resolution Authority</w:t>
      </w:r>
      <w:r>
        <w:rPr>
          <w:rFonts w:ascii="Times New Roman;Times;serif" w:hAnsi="Times New Roman;Times;serif"/>
          <w:sz w:val="20"/>
        </w:rPr>
        <w:t xml:space="preserve">” </w:t>
      </w:r>
      <w:r>
        <w:rPr>
          <w:rFonts w:ascii="Times New Roman;Times;serif" w:hAnsi="Times New Roman;Times;serif"/>
          <w:sz w:val="22"/>
        </w:rPr>
        <w:t>means an EEA Resolution Authority or, with respect to any UK Financial Institution, a UK Resolution Authority.</w:t>
      </w:r>
    </w:p>
    <w:p>
      <w:pPr>
        <w:pStyle w:val="TextBody"/>
        <w:bidi w:val="0"/>
        <w:spacing w:before="0" w:after="240"/>
        <w:ind w:left="0" w:right="0" w:firstLine="720"/>
        <w:jc w:val="both"/>
        <w:rPr/>
      </w:pPr>
      <w:r>
        <w:rPr/>
        <w:t>“</w:t>
      </w:r>
      <w:r>
        <w:rPr>
          <w:rFonts w:ascii="Times New Roman;Times;serif" w:hAnsi="Times New Roman;Times;serif"/>
          <w:sz w:val="22"/>
          <w:u w:val="single"/>
        </w:rPr>
        <w:t>Responsible Officer</w:t>
      </w:r>
      <w:r>
        <w:rPr>
          <w:rFonts w:ascii="Times New Roman;Times;serif" w:hAnsi="Times New Roman;Times;serif"/>
          <w:sz w:val="20"/>
        </w:rPr>
        <w:t xml:space="preserve">” </w:t>
      </w:r>
      <w:r>
        <w:rPr>
          <w:rFonts w:ascii="Times New Roman;Times;serif" w:hAnsi="Times New Roman;Times;serif"/>
          <w:sz w:val="22"/>
        </w:rPr>
        <w:t xml:space="preserve">means each of the treasurer, the chief financial officer and chief legal officer of a Loan Party and any other officer of a Loan Party whose responsibilities include monitoring such Loan Party’s compliance with the provisions of this Agreement and the other Loan Documents to which it is a party, solely for purposes of the delivery of incumbency certificates pursuant to </w:t>
      </w:r>
      <w:r>
        <w:rPr>
          <w:rFonts w:ascii="Times New Roman;Times;serif" w:hAnsi="Times New Roman;Times;serif"/>
          <w:sz w:val="22"/>
          <w:u w:val="single"/>
        </w:rPr>
        <w:t>Section 4.01</w:t>
      </w:r>
      <w:r>
        <w:rPr>
          <w:rFonts w:ascii="Times New Roman;Times;serif" w:hAnsi="Times New Roman;Times;serif"/>
          <w:sz w:val="22"/>
        </w:rPr>
        <w:t xml:space="preserve">, the secretary or any assistant secretary of a Loan Party, and, solely for purposes of notices given pursuant to </w:t>
      </w:r>
      <w:r>
        <w:rPr>
          <w:rFonts w:ascii="Times New Roman;Times;serif" w:hAnsi="Times New Roman;Times;serif"/>
          <w:sz w:val="22"/>
          <w:u w:val="single"/>
        </w:rPr>
        <w:t>Article II</w:t>
      </w:r>
      <w:r>
        <w:rPr>
          <w:rFonts w:ascii="Times New Roman;Times;serif" w:hAnsi="Times New Roman;Times;serif"/>
          <w:sz w:val="22"/>
        </w:rPr>
        <w:t>, any other officer or employee of the applicable Loan Party so designated by any of the foregoing officers in a notice to the Agent or any other officer or employee of the applicable Loan Party designated in or pursuant to an agreement between the applicable Loan Party and the Agent.  Any document delivered hereunder that is signed by a Responsible Officer of a Loan Party shall be conclusively presumed to have been authorized by all necessary corporate, partnership and/or other action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on the part of such Loan Party and such Responsible Officer shall be conclusively presumed to have acted on behalf of such Loan Party.</w:t>
      </w:r>
    </w:p>
    <w:p>
      <w:pPr>
        <w:pStyle w:val="TextBody"/>
        <w:bidi w:val="0"/>
        <w:spacing w:before="0" w:after="240"/>
        <w:ind w:left="0" w:right="0" w:firstLine="720"/>
        <w:jc w:val="both"/>
        <w:rPr/>
      </w:pPr>
      <w:r>
        <w:rPr/>
        <w:t>“</w:t>
      </w:r>
      <w:r>
        <w:rPr>
          <w:rFonts w:ascii="Times New Roman;Times;serif" w:hAnsi="Times New Roman;Times;serif"/>
          <w:sz w:val="22"/>
          <w:u w:val="single"/>
        </w:rPr>
        <w:t>Restricted Payments</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7.08</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S&amp;P</w:t>
      </w:r>
      <w:r>
        <w:rPr>
          <w:rFonts w:ascii="Times New Roman;Times;serif" w:hAnsi="Times New Roman;Times;serif"/>
          <w:sz w:val="20"/>
        </w:rPr>
        <w:t xml:space="preserve">” </w:t>
      </w:r>
      <w:r>
        <w:rPr>
          <w:rFonts w:ascii="Times New Roman;Times;serif" w:hAnsi="Times New Roman;Times;serif"/>
          <w:sz w:val="22"/>
        </w:rPr>
        <w:t>means Standard &amp; Poor’s Financial Services LLC, a subsidiary of S&amp;P Global Inc., and any successor thereto.</w:t>
      </w:r>
    </w:p>
    <w:p>
      <w:pPr>
        <w:pStyle w:val="TextBody"/>
        <w:bidi w:val="0"/>
        <w:spacing w:before="0" w:after="240"/>
        <w:ind w:left="0" w:right="0" w:firstLine="720"/>
        <w:jc w:val="both"/>
        <w:rPr/>
      </w:pPr>
      <w:r>
        <w:rPr/>
        <w:t>“</w:t>
      </w:r>
      <w:r>
        <w:rPr>
          <w:rFonts w:ascii="Times New Roman;Times;serif" w:hAnsi="Times New Roman;Times;serif"/>
          <w:sz w:val="22"/>
          <w:u w:val="single"/>
        </w:rPr>
        <w:t>Sanction(s)</w:t>
      </w:r>
      <w:r>
        <w:rPr>
          <w:rFonts w:ascii="Times New Roman;Times;serif" w:hAnsi="Times New Roman;Times;serif"/>
          <w:sz w:val="20"/>
        </w:rPr>
        <w:t xml:space="preserve">” </w:t>
      </w:r>
      <w:r>
        <w:rPr>
          <w:rFonts w:ascii="Times New Roman;Times;serif" w:hAnsi="Times New Roman;Times;serif"/>
          <w:sz w:val="22"/>
        </w:rPr>
        <w:t>means any international economic sanction or trade embargo administered or enforced by the United States Government, including OFAC, or other relevant sanctions authority applicable to the Borrower and its Subsidiaries.</w:t>
      </w:r>
    </w:p>
    <w:p>
      <w:pPr>
        <w:pStyle w:val="TextBody"/>
        <w:bidi w:val="0"/>
        <w:spacing w:before="0" w:after="240"/>
        <w:ind w:left="0" w:right="0" w:firstLine="720"/>
        <w:jc w:val="both"/>
        <w:rPr/>
      </w:pPr>
      <w:r>
        <w:rPr/>
        <w:t>“</w:t>
      </w:r>
      <w:r>
        <w:rPr>
          <w:rFonts w:ascii="Times New Roman;Times;serif" w:hAnsi="Times New Roman;Times;serif"/>
          <w:sz w:val="22"/>
          <w:u w:val="single"/>
        </w:rPr>
        <w:t>Scheduled Unavailability Date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3.03(b)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SEC</w:t>
      </w:r>
      <w:r>
        <w:rPr>
          <w:rFonts w:ascii="Times New Roman;Times;serif" w:hAnsi="Times New Roman;Times;serif"/>
          <w:sz w:val="20"/>
        </w:rPr>
        <w:t xml:space="preserve">” </w:t>
      </w:r>
      <w:r>
        <w:rPr>
          <w:rFonts w:ascii="Times New Roman;Times;serif" w:hAnsi="Times New Roman;Times;serif"/>
          <w:sz w:val="22"/>
        </w:rPr>
        <w:t>means the Securities and Exchange Commission, or any Governmental Authority succeeding to any of its principal functions.</w:t>
      </w:r>
    </w:p>
    <w:p>
      <w:pPr>
        <w:pStyle w:val="TextBody"/>
        <w:bidi w:val="0"/>
        <w:spacing w:before="0" w:after="240"/>
        <w:ind w:left="0" w:right="0" w:firstLine="720"/>
        <w:jc w:val="both"/>
        <w:rPr/>
      </w:pPr>
      <w:r>
        <w:rPr/>
        <w:t>“</w:t>
      </w:r>
      <w:r>
        <w:rPr>
          <w:rFonts w:ascii="Times New Roman;Times;serif" w:hAnsi="Times New Roman;Times;serif"/>
          <w:sz w:val="22"/>
          <w:u w:val="single"/>
        </w:rPr>
        <w:t>Security Agreement</w:t>
      </w:r>
      <w:r>
        <w:rPr>
          <w:rFonts w:ascii="Times New Roman;Times;serif" w:hAnsi="Times New Roman;Times;serif"/>
          <w:sz w:val="20"/>
        </w:rPr>
        <w:t xml:space="preserve">” </w:t>
      </w:r>
      <w:r>
        <w:rPr>
          <w:rFonts w:ascii="Times New Roman;Times;serif" w:hAnsi="Times New Roman;Times;serif"/>
          <w:sz w:val="22"/>
        </w:rPr>
        <w:t xml:space="preserve">means any security agreement with respect to an applicable Vessel (or contract to build a Vessel) between a Loan Party and the Collateral Agent in substantially the form set forth as </w:t>
      </w:r>
      <w:r>
        <w:rPr>
          <w:rFonts w:ascii="Times New Roman;Times;serif" w:hAnsi="Times New Roman;Times;serif"/>
          <w:sz w:val="22"/>
          <w:u w:val="single"/>
        </w:rPr>
        <w:t>Exhibit H</w:t>
      </w:r>
      <w:r>
        <w:rPr>
          <w:rFonts w:ascii="Times New Roman;Times;serif" w:hAnsi="Times New Roman;Times;serif"/>
          <w:sz w:val="20"/>
        </w:rPr>
        <w:t xml:space="preserve"> </w:t>
      </w:r>
      <w:r>
        <w:rPr>
          <w:rFonts w:ascii="Times New Roman;Times;serif" w:hAnsi="Times New Roman;Times;serif"/>
          <w:sz w:val="22"/>
        </w:rPr>
        <w:t>with respect to such applicable Vessel (or contract to build a Vessel) and designated in writing from time to time by any Loan Party to the Collateral Agent as a “Security Agreement” hereunder.</w:t>
      </w:r>
    </w:p>
    <w:p>
      <w:pPr>
        <w:pStyle w:val="TextBody"/>
        <w:bidi w:val="0"/>
        <w:spacing w:before="0" w:after="240"/>
        <w:ind w:left="0" w:right="0" w:firstLine="720"/>
        <w:jc w:val="both"/>
        <w:rPr/>
      </w:pPr>
      <w:r>
        <w:rPr/>
        <w:t>“</w:t>
      </w:r>
      <w:r>
        <w:rPr>
          <w:rFonts w:ascii="Times New Roman;Times;serif" w:hAnsi="Times New Roman;Times;serif"/>
          <w:sz w:val="22"/>
          <w:u w:val="single"/>
        </w:rPr>
        <w:t>Senior Notes</w:t>
      </w:r>
      <w:r>
        <w:rPr>
          <w:rFonts w:ascii="Times New Roman;Times;serif" w:hAnsi="Times New Roman;Times;serif"/>
          <w:sz w:val="20"/>
        </w:rPr>
        <w:t xml:space="preserve">” </w:t>
      </w:r>
      <w:r>
        <w:rPr>
          <w:rFonts w:ascii="Times New Roman;Times;serif" w:hAnsi="Times New Roman;Times;serif"/>
          <w:sz w:val="22"/>
        </w:rPr>
        <w:t>means the notes issued pursuant to the Note Purchase Agreements.</w:t>
      </w:r>
    </w:p>
    <w:p>
      <w:pPr>
        <w:pStyle w:val="TextBody"/>
        <w:bidi w:val="0"/>
        <w:spacing w:before="0" w:after="240"/>
        <w:ind w:left="0" w:right="0" w:firstLine="720"/>
        <w:jc w:val="both"/>
        <w:rPr/>
      </w:pPr>
      <w:r>
        <w:rPr/>
        <w:t>“</w:t>
      </w:r>
      <w:r>
        <w:rPr>
          <w:rFonts w:ascii="Times New Roman;Times;serif" w:hAnsi="Times New Roman;Times;serif"/>
          <w:sz w:val="22"/>
          <w:u w:val="single"/>
        </w:rPr>
        <w:t>SOFR</w:t>
      </w:r>
      <w:r>
        <w:rPr>
          <w:rFonts w:ascii="Times New Roman;Times;serif" w:hAnsi="Times New Roman;Times;serif"/>
          <w:sz w:val="20"/>
        </w:rPr>
        <w:t xml:space="preserve">” </w:t>
      </w:r>
      <w:r>
        <w:rPr>
          <w:rFonts w:ascii="Times New Roman;Times;serif" w:hAnsi="Times New Roman;Times;serif"/>
          <w:sz w:val="22"/>
        </w:rPr>
        <w:t>means the Secured Overnight Financing Rate as administered by the Federal Reserve Bank of New York (or a successor administrator).</w:t>
      </w:r>
    </w:p>
    <w:p>
      <w:pPr>
        <w:pStyle w:val="TextBody"/>
        <w:bidi w:val="0"/>
        <w:spacing w:before="0" w:after="240"/>
        <w:ind w:left="0" w:right="0" w:firstLine="720"/>
        <w:jc w:val="both"/>
        <w:rPr/>
      </w:pPr>
      <w:r>
        <w:rPr/>
        <w:t>“</w:t>
      </w:r>
      <w:r>
        <w:rPr>
          <w:rFonts w:ascii="Times New Roman;Times;serif" w:hAnsi="Times New Roman;Times;serif"/>
          <w:sz w:val="22"/>
          <w:u w:val="single"/>
        </w:rPr>
        <w:t>Subsidiary</w:t>
      </w:r>
      <w:r>
        <w:rPr>
          <w:rFonts w:ascii="Times New Roman;Times;serif" w:hAnsi="Times New Roman;Times;serif"/>
          <w:sz w:val="20"/>
        </w:rPr>
        <w:t xml:space="preserve">” </w:t>
      </w:r>
      <w:r>
        <w:rPr>
          <w:rFonts w:ascii="Times New Roman;Times;serif" w:hAnsi="Times New Roman;Times;serif"/>
          <w:sz w:val="22"/>
        </w:rPr>
        <w:t>means, as to any Person, any company, whether operating as a corporation, joint venture, partnership, limited liability company or other entity, which is consolidated with such Person in accordance with GAAP.  Unless otherwise specified, all references herein to a “Subsidiary” or to “Subsidiaries” shall refer to a Subsidiary or Subsidiaries of the Borrower.</w:t>
      </w:r>
    </w:p>
    <w:p>
      <w:pPr>
        <w:pStyle w:val="TextBody"/>
        <w:bidi w:val="0"/>
        <w:spacing w:before="0" w:after="240"/>
        <w:ind w:left="0" w:right="0" w:firstLine="720"/>
        <w:jc w:val="both"/>
        <w:rPr/>
      </w:pPr>
      <w:r>
        <w:rPr/>
        <w:t>“</w:t>
      </w:r>
      <w:r>
        <w:rPr>
          <w:rFonts w:ascii="Times New Roman;Times;serif" w:hAnsi="Times New Roman;Times;serif"/>
          <w:sz w:val="22"/>
          <w:u w:val="single"/>
        </w:rPr>
        <w:t>Successor Rate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3.03(b)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Swing Line Borrowing</w:t>
      </w:r>
      <w:r>
        <w:rPr>
          <w:rFonts w:ascii="Times New Roman;Times;serif" w:hAnsi="Times New Roman;Times;serif"/>
          <w:sz w:val="20"/>
        </w:rPr>
        <w:t xml:space="preserve">” </w:t>
      </w:r>
      <w:r>
        <w:rPr>
          <w:rFonts w:ascii="Times New Roman;Times;serif" w:hAnsi="Times New Roman;Times;serif"/>
          <w:sz w:val="22"/>
        </w:rPr>
        <w:t xml:space="preserve">means a borrowing of a Swing Line Loan pursuant to </w:t>
      </w:r>
      <w:r>
        <w:rPr>
          <w:rFonts w:ascii="Times New Roman;Times;serif" w:hAnsi="Times New Roman;Times;serif"/>
          <w:sz w:val="22"/>
          <w:u w:val="single"/>
        </w:rPr>
        <w:t>Section 2.04</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Swing Line Lender</w:t>
      </w:r>
      <w:r>
        <w:rPr>
          <w:rFonts w:ascii="Times New Roman;Times;serif" w:hAnsi="Times New Roman;Times;serif"/>
          <w:sz w:val="20"/>
        </w:rPr>
        <w:t xml:space="preserve">” </w:t>
      </w:r>
      <w:r>
        <w:rPr>
          <w:rFonts w:ascii="Times New Roman;Times;serif" w:hAnsi="Times New Roman;Times;serif"/>
          <w:sz w:val="22"/>
        </w:rPr>
        <w:t>means Bank of America in its capacity as provider of Swing Line Loans, or any successor swing line lender hereunder.</w:t>
      </w:r>
    </w:p>
    <w:p>
      <w:pPr>
        <w:pStyle w:val="TextBody"/>
        <w:bidi w:val="0"/>
        <w:spacing w:before="0" w:after="240"/>
        <w:ind w:left="0" w:right="0" w:firstLine="720"/>
        <w:jc w:val="both"/>
        <w:rPr/>
      </w:pPr>
      <w:r>
        <w:rPr/>
        <w:t>“</w:t>
      </w:r>
      <w:r>
        <w:rPr>
          <w:rFonts w:ascii="Times New Roman;Times;serif" w:hAnsi="Times New Roman;Times;serif"/>
          <w:sz w:val="22"/>
          <w:u w:val="single"/>
        </w:rPr>
        <w:t>Swing Line Loan</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2.04(a)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Swing Line Loan Notice</w:t>
      </w:r>
      <w:r>
        <w:rPr>
          <w:rFonts w:ascii="Times New Roman;Times;serif" w:hAnsi="Times New Roman;Times;serif"/>
          <w:sz w:val="20"/>
        </w:rPr>
        <w:t xml:space="preserve">” </w:t>
      </w:r>
      <w:r>
        <w:rPr>
          <w:rFonts w:ascii="Times New Roman;Times;serif" w:hAnsi="Times New Roman;Times;serif"/>
          <w:sz w:val="22"/>
        </w:rPr>
        <w:t xml:space="preserve">means a notice of a Swing Line Borrowing pursuant to </w:t>
      </w:r>
      <w:r>
        <w:rPr>
          <w:rFonts w:ascii="Times New Roman;Times;serif" w:hAnsi="Times New Roman;Times;serif"/>
          <w:sz w:val="22"/>
          <w:u w:val="single"/>
        </w:rPr>
        <w:t>Section 2.04(b)</w:t>
      </w:r>
      <w:r>
        <w:rPr>
          <w:rFonts w:ascii="Times New Roman;Times;serif" w:hAnsi="Times New Roman;Times;serif"/>
          <w:sz w:val="22"/>
        </w:rPr>
        <w:t xml:space="preserve">, which shall be substantially in the form of </w:t>
      </w:r>
      <w:r>
        <w:rPr>
          <w:rFonts w:ascii="Times New Roman;Times;serif" w:hAnsi="Times New Roman;Times;serif"/>
          <w:sz w:val="22"/>
          <w:u w:val="single"/>
        </w:rPr>
        <w:t>Exhibit B</w:t>
      </w:r>
      <w:r>
        <w:rPr>
          <w:rFonts w:ascii="Times New Roman;Times;serif" w:hAnsi="Times New Roman;Times;serif"/>
          <w:sz w:val="20"/>
        </w:rPr>
        <w:t xml:space="preserve"> </w:t>
      </w:r>
      <w:r>
        <w:rPr>
          <w:rFonts w:ascii="Times New Roman;Times;serif" w:hAnsi="Times New Roman;Times;serif"/>
          <w:sz w:val="22"/>
        </w:rPr>
        <w:t>or such other form as approved by the Agent (including any form on an electronic platform or electronic transmission system as shall be approved by the Agent), appropriately completed and signed by an Authorized Officer of the Borrower.</w:t>
      </w:r>
    </w:p>
    <w:p>
      <w:pPr>
        <w:pStyle w:val="TextBody"/>
        <w:bidi w:val="0"/>
        <w:spacing w:before="0" w:after="240"/>
        <w:ind w:left="0" w:right="0" w:firstLine="720"/>
        <w:jc w:val="both"/>
        <w:rPr/>
      </w:pPr>
      <w:r>
        <w:rPr/>
        <w:t>“</w:t>
      </w:r>
      <w:r>
        <w:rPr>
          <w:rFonts w:ascii="Times New Roman;Times;serif" w:hAnsi="Times New Roman;Times;serif"/>
          <w:sz w:val="22"/>
          <w:u w:val="single"/>
        </w:rPr>
        <w:t>Swing Line Sublimit</w:t>
      </w:r>
      <w:r>
        <w:rPr>
          <w:rFonts w:ascii="Times New Roman;Times;serif" w:hAnsi="Times New Roman;Times;serif"/>
          <w:sz w:val="20"/>
        </w:rPr>
        <w:t xml:space="preserve">” </w:t>
      </w:r>
      <w:r>
        <w:rPr>
          <w:rFonts w:ascii="Times New Roman;Times;serif" w:hAnsi="Times New Roman;Times;serif"/>
          <w:sz w:val="22"/>
        </w:rPr>
        <w:t>means an amount equal to the lesser of (a) $50,000,000 and (b) the Aggregate Commitments.  The Swing Line Sublimit is part of, and not in addition to, the Aggregate Commitments.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19</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Taxes</w:t>
      </w:r>
      <w:r>
        <w:rPr>
          <w:rFonts w:ascii="Times New Roman;Times;serif" w:hAnsi="Times New Roman;Times;serif"/>
          <w:sz w:val="20"/>
        </w:rPr>
        <w:t xml:space="preserve">” </w:t>
      </w:r>
      <w:r>
        <w:rPr>
          <w:rFonts w:ascii="Times New Roman;Times;serif" w:hAnsi="Times New Roman;Times;serif"/>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ind w:left="0" w:right="0" w:firstLine="720"/>
        <w:jc w:val="both"/>
        <w:rPr/>
      </w:pPr>
      <w:r>
        <w:rPr/>
        <w:t>“</w:t>
      </w:r>
      <w:r>
        <w:rPr>
          <w:rFonts w:ascii="Times New Roman;Times;serif" w:hAnsi="Times New Roman;Times;serif"/>
          <w:sz w:val="22"/>
          <w:u w:val="single"/>
        </w:rPr>
        <w:t>Term SOFR</w:t>
      </w:r>
      <w:r>
        <w:rPr>
          <w:rFonts w:ascii="Times New Roman;Times;serif" w:hAnsi="Times New Roman;Times;serif"/>
          <w:sz w:val="20"/>
        </w:rPr>
        <w:t xml:space="preserve">” </w:t>
      </w:r>
      <w:r>
        <w:rPr>
          <w:rFonts w:ascii="Times New Roman;Times;serif" w:hAnsi="Times New Roman;Times;serif"/>
          <w:sz w:val="22"/>
        </w:rPr>
        <w:t>means: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the rate is not published prior to 11:00 a.m. on such determination date then Term SOFR means the Term SOFR Screen Rate on the first U.S. Government Securities Business Day immediately prior thereto;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for any interest calculation with respect to a Base Rate Loan on any date, the rate per annum equal to the Term SOFR Screen Rate two U.S. Government Securities Business Days prior to such date with a term of one month commencing that day;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the rate is not published prior to 11:00 a.m. on such determination date then Term SOFR means the Term SOFR Screen Rate on the first U.S. Government Securities Business Day immediately prior thereto;</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Term SOFR determined in accordance with either of the foregoing provisions (a) or (b) of this definition would otherwise be less than zero, Term SOFR shall be deemed zero for purposes 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Term SOFR Daily Floating Rate</w:t>
      </w:r>
      <w:r>
        <w:rPr>
          <w:rFonts w:ascii="Times New Roman;Times;serif" w:hAnsi="Times New Roman;Times;serif"/>
          <w:sz w:val="20"/>
        </w:rPr>
        <w:t xml:space="preserve">” </w:t>
      </w:r>
      <w:r>
        <w:rPr>
          <w:rFonts w:ascii="Times New Roman;Times;serif" w:hAnsi="Times New Roman;Times;serif"/>
          <w:sz w:val="22"/>
        </w:rPr>
        <w:t xml:space="preserve">means a fluctuating rate of interest which can change on each Business Day, equal to the Term SOFR Screen Rate two (2) U.S. Government Securities Business Days prior to such day, with a term equivalent to one (1) month beginning on that date;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that</w:t>
      </w:r>
      <w:r>
        <w:rPr>
          <w:rFonts w:ascii="Times New Roman;Times;serif" w:hAnsi="Times New Roman;Times;serif"/>
          <w:sz w:val="22"/>
        </w:rPr>
        <w:t>, if the rate is not published prior to 11:00 a.m. on such determination date then the Term SOFR Daily Floating Rate means such Term SOFR Screen Rate on the first (1</w:t>
      </w:r>
      <w:r>
        <w:rPr>
          <w:rFonts w:ascii="Times New Roman;Times;serif" w:hAnsi="Times New Roman;Times;serif"/>
          <w:sz w:val="17"/>
        </w:rPr>
        <w:t>st</w:t>
      </w:r>
      <w:r>
        <w:rPr>
          <w:rFonts w:ascii="Times New Roman;Times;serif" w:hAnsi="Times New Roman;Times;serif"/>
          <w:sz w:val="22"/>
        </w:rPr>
        <w:t xml:space="preserve">) U.S. Government Securities Business Day immediately prior thereto;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xml:space="preserve">, </w:t>
      </w:r>
      <w:r>
        <w:rPr>
          <w:rFonts w:ascii="Times New Roman;Times;serif" w:hAnsi="Times New Roman;Times;serif"/>
          <w:sz w:val="22"/>
          <w:u w:val="single"/>
        </w:rPr>
        <w:t>that</w:t>
      </w:r>
      <w:r>
        <w:rPr>
          <w:rFonts w:ascii="Times New Roman;Times;serif" w:hAnsi="Times New Roman;Times;serif"/>
          <w:sz w:val="22"/>
        </w:rPr>
        <w:t>, if the Term SOFR Daily Floating Rate shall be less than zero such rate shall be deemed zero for purposes 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Term SOFR Daily Floating Rate Loan</w:t>
      </w:r>
      <w:r>
        <w:rPr>
          <w:rFonts w:ascii="Times New Roman;Times;serif" w:hAnsi="Times New Roman;Times;serif"/>
          <w:sz w:val="20"/>
        </w:rPr>
        <w:t xml:space="preserve">” </w:t>
      </w:r>
      <w:r>
        <w:rPr>
          <w:rFonts w:ascii="Times New Roman;Times;serif" w:hAnsi="Times New Roman;Times;serif"/>
          <w:sz w:val="22"/>
        </w:rPr>
        <w:t>means a Swing Line Loan that bears interest at the Term SOFR Daily Floating Rate.</w:t>
      </w:r>
    </w:p>
    <w:p>
      <w:pPr>
        <w:pStyle w:val="TextBody"/>
        <w:bidi w:val="0"/>
        <w:spacing w:before="0" w:after="240"/>
        <w:ind w:left="0" w:right="0" w:firstLine="720"/>
        <w:jc w:val="both"/>
        <w:rPr/>
      </w:pPr>
      <w:r>
        <w:rPr/>
        <w:t>“</w:t>
      </w:r>
      <w:r>
        <w:rPr>
          <w:rFonts w:ascii="Times New Roman;Times;serif" w:hAnsi="Times New Roman;Times;serif"/>
          <w:sz w:val="22"/>
          <w:u w:val="single"/>
        </w:rPr>
        <w:t>Term SOFR Loan</w:t>
      </w:r>
      <w:r>
        <w:rPr>
          <w:rFonts w:ascii="Times New Roman;Times;serif" w:hAnsi="Times New Roman;Times;serif"/>
          <w:sz w:val="20"/>
        </w:rPr>
        <w:t xml:space="preserve">” </w:t>
      </w:r>
      <w:r>
        <w:rPr>
          <w:rFonts w:ascii="Times New Roman;Times;serif" w:hAnsi="Times New Roman;Times;serif"/>
          <w:sz w:val="22"/>
        </w:rPr>
        <w:t>means a Loan that bears interest at a rate based on clause (a) of the definition of Term SOFR.</w:t>
      </w:r>
    </w:p>
    <w:p>
      <w:pPr>
        <w:pStyle w:val="TextBody"/>
        <w:bidi w:val="0"/>
        <w:spacing w:before="0" w:after="240"/>
        <w:ind w:left="0" w:right="0" w:firstLine="720"/>
        <w:jc w:val="both"/>
        <w:rPr/>
      </w:pPr>
      <w:r>
        <w:rPr/>
        <w:t>“</w:t>
      </w:r>
      <w:r>
        <w:rPr>
          <w:rFonts w:ascii="Times New Roman;Times;serif" w:hAnsi="Times New Roman;Times;serif"/>
          <w:sz w:val="22"/>
          <w:u w:val="single"/>
        </w:rPr>
        <w:t>Term SOFR Screen Rate</w:t>
      </w:r>
      <w:r>
        <w:rPr>
          <w:rFonts w:ascii="Times New Roman;Times;serif" w:hAnsi="Times New Roman;Times;serif"/>
          <w:sz w:val="20"/>
        </w:rPr>
        <w:t xml:space="preserve">” </w:t>
      </w:r>
      <w:r>
        <w:rPr>
          <w:rFonts w:ascii="Times New Roman;Times;serif" w:hAnsi="Times New Roman;Times;serif"/>
          <w:sz w:val="22"/>
        </w:rPr>
        <w:t>means the forward-looking SOFR term rate administered by CME (or any successor administrator satisfactory to the Agent) and published on the applicable Reuters screen page (or such other commercially available source providing such quotations as may be designated by the Agent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Title XI Debt</w:t>
      </w:r>
      <w:r>
        <w:rPr>
          <w:rFonts w:ascii="Times New Roman;Times;serif" w:hAnsi="Times New Roman;Times;serif"/>
          <w:sz w:val="20"/>
        </w:rPr>
        <w:t xml:space="preserve">” </w:t>
      </w:r>
      <w:r>
        <w:rPr>
          <w:rFonts w:ascii="Times New Roman;Times;serif" w:hAnsi="Times New Roman;Times;serif"/>
          <w:sz w:val="22"/>
        </w:rPr>
        <w:t>means all Debt of the Borrower or any Subsidiary that is guaranteed by the United States pursuant to 46 USC Chapter 537.</w:t>
      </w:r>
    </w:p>
    <w:p>
      <w:pPr>
        <w:pStyle w:val="TextBody"/>
        <w:bidi w:val="0"/>
        <w:spacing w:before="0" w:after="240"/>
        <w:ind w:left="0" w:right="0" w:firstLine="720"/>
        <w:jc w:val="both"/>
        <w:rPr/>
      </w:pPr>
      <w:r>
        <w:rPr/>
        <w:t>“</w:t>
      </w:r>
      <w:r>
        <w:rPr>
          <w:rFonts w:ascii="Times New Roman;Times;serif" w:hAnsi="Times New Roman;Times;serif"/>
          <w:sz w:val="22"/>
          <w:u w:val="single"/>
        </w:rPr>
        <w:t>Total Outstandings</w:t>
      </w:r>
      <w:r>
        <w:rPr>
          <w:rFonts w:ascii="Times New Roman;Times;serif" w:hAnsi="Times New Roman;Times;serif"/>
          <w:sz w:val="20"/>
        </w:rPr>
        <w:t xml:space="preserve">” </w:t>
      </w:r>
      <w:r>
        <w:rPr>
          <w:rFonts w:ascii="Times New Roman;Times;serif" w:hAnsi="Times New Roman;Times;serif"/>
          <w:sz w:val="22"/>
        </w:rPr>
        <w:t>means the aggregate Outstanding Amount of all Loans and all L/C Obligations.</w:t>
      </w:r>
    </w:p>
    <w:p>
      <w:pPr>
        <w:pStyle w:val="TextBody"/>
        <w:bidi w:val="0"/>
        <w:spacing w:before="0" w:after="240"/>
        <w:ind w:left="0" w:right="0" w:firstLine="720"/>
        <w:jc w:val="both"/>
        <w:rPr/>
      </w:pPr>
      <w:r>
        <w:rPr/>
        <w:t>“</w:t>
      </w:r>
      <w:r>
        <w:rPr>
          <w:rFonts w:ascii="Times New Roman;Times;serif" w:hAnsi="Times New Roman;Times;serif"/>
          <w:sz w:val="22"/>
          <w:u w:val="single"/>
        </w:rPr>
        <w:t>Type</w:t>
      </w:r>
      <w:r>
        <w:rPr>
          <w:rFonts w:ascii="Times New Roman;Times;serif" w:hAnsi="Times New Roman;Times;serif"/>
          <w:sz w:val="20"/>
        </w:rPr>
        <w:t xml:space="preserve">” </w:t>
      </w:r>
      <w:r>
        <w:rPr>
          <w:rFonts w:ascii="Times New Roman;Times;serif" w:hAnsi="Times New Roman;Times;serif"/>
          <w:sz w:val="22"/>
        </w:rPr>
        <w:t>means, with respect to a Committed Loan, its character as a Base Rate Loan or a Term SOFR Loan.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20</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UCP</w:t>
      </w:r>
      <w:r>
        <w:rPr>
          <w:rFonts w:ascii="Times New Roman;Times;serif" w:hAnsi="Times New Roman;Times;serif"/>
          <w:sz w:val="20"/>
        </w:rPr>
        <w:t xml:space="preserve">” </w:t>
      </w:r>
      <w:r>
        <w:rPr>
          <w:rFonts w:ascii="Times New Roman;Times;serif" w:hAnsi="Times New Roman;Times;serif"/>
          <w:sz w:val="22"/>
        </w:rPr>
        <w:t>means the Uniform Customs and Practice for Documentary Credits, International Chamber of Commerce Publication No. 600 (or such later version thereof as may be in effect at the applicable time).</w:t>
      </w:r>
    </w:p>
    <w:p>
      <w:pPr>
        <w:pStyle w:val="TextBody"/>
        <w:bidi w:val="0"/>
        <w:spacing w:before="0" w:after="240"/>
        <w:ind w:left="0" w:right="0" w:firstLine="720"/>
        <w:jc w:val="both"/>
        <w:rPr/>
      </w:pPr>
      <w:r>
        <w:rPr/>
        <w:t>“</w:t>
      </w:r>
      <w:r>
        <w:rPr>
          <w:rFonts w:ascii="Times New Roman;Times;serif" w:hAnsi="Times New Roman;Times;serif"/>
          <w:sz w:val="22"/>
          <w:u w:val="single"/>
        </w:rPr>
        <w:t>UK Financial Institution</w:t>
      </w:r>
      <w:r>
        <w:rPr>
          <w:rFonts w:ascii="Times New Roman;Times;serif" w:hAnsi="Times New Roman;Times;serif"/>
          <w:sz w:val="20"/>
        </w:rPr>
        <w:t xml:space="preserve">” </w:t>
      </w:r>
      <w:r>
        <w:rPr>
          <w:rFonts w:ascii="Times New Roman;Times;serif" w:hAnsi="Times New Roman;Times;serif"/>
          <w:sz w:val="22"/>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720"/>
        <w:jc w:val="both"/>
        <w:rPr/>
      </w:pPr>
      <w:r>
        <w:rPr/>
        <w:t>“</w:t>
      </w:r>
      <w:r>
        <w:rPr>
          <w:rFonts w:ascii="Times New Roman;Times;serif" w:hAnsi="Times New Roman;Times;serif"/>
          <w:sz w:val="22"/>
          <w:u w:val="single"/>
        </w:rPr>
        <w:t>UK Resolution Authority</w:t>
      </w:r>
      <w:r>
        <w:rPr>
          <w:rFonts w:ascii="Times New Roman;Times;serif" w:hAnsi="Times New Roman;Times;serif"/>
          <w:sz w:val="20"/>
        </w:rPr>
        <w:t xml:space="preserve">” </w:t>
      </w:r>
      <w:r>
        <w:rPr>
          <w:rFonts w:ascii="Times New Roman;Times;serif" w:hAnsi="Times New Roman;Times;serif"/>
          <w:sz w:val="22"/>
        </w:rPr>
        <w:t>means the Bank of England or any other public administrative authority having responsibility for the resolution of any UK Financial Institution.</w:t>
      </w:r>
    </w:p>
    <w:p>
      <w:pPr>
        <w:pStyle w:val="TextBody"/>
        <w:bidi w:val="0"/>
        <w:spacing w:before="0" w:after="240"/>
        <w:ind w:left="0" w:right="0" w:firstLine="720"/>
        <w:jc w:val="both"/>
        <w:rPr/>
      </w:pPr>
      <w:r>
        <w:rPr/>
        <w:t>“</w:t>
      </w:r>
      <w:r>
        <w:rPr>
          <w:rFonts w:ascii="Times New Roman;Times;serif" w:hAnsi="Times New Roman;Times;serif"/>
          <w:sz w:val="22"/>
          <w:u w:val="single"/>
        </w:rPr>
        <w:t>United States</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U.S.</w:t>
      </w:r>
      <w:r>
        <w:rPr>
          <w:rFonts w:ascii="Times New Roman;Times;serif" w:hAnsi="Times New Roman;Times;serif"/>
          <w:sz w:val="20"/>
        </w:rPr>
        <w:t xml:space="preserve">” </w:t>
      </w:r>
      <w:r>
        <w:rPr>
          <w:rFonts w:ascii="Times New Roman;Times;serif" w:hAnsi="Times New Roman;Times;serif"/>
          <w:sz w:val="22"/>
        </w:rPr>
        <w:t>mean the United States of America.</w:t>
      </w:r>
    </w:p>
    <w:p>
      <w:pPr>
        <w:pStyle w:val="TextBody"/>
        <w:bidi w:val="0"/>
        <w:spacing w:before="0" w:after="240"/>
        <w:ind w:left="0" w:right="0" w:firstLine="720"/>
        <w:jc w:val="both"/>
        <w:rPr/>
      </w:pPr>
      <w:r>
        <w:rPr/>
        <w:t>“</w:t>
      </w:r>
      <w:r>
        <w:rPr>
          <w:rFonts w:ascii="Times New Roman;Times;serif" w:hAnsi="Times New Roman;Times;serif"/>
          <w:sz w:val="22"/>
          <w:u w:val="single"/>
        </w:rPr>
        <w:t>United States Person</w:t>
      </w:r>
      <w:r>
        <w:rPr>
          <w:rFonts w:ascii="Times New Roman;Times;serif" w:hAnsi="Times New Roman;Times;serif"/>
          <w:sz w:val="20"/>
        </w:rPr>
        <w:t xml:space="preserve">” </w:t>
      </w:r>
      <w:r>
        <w:rPr>
          <w:rFonts w:ascii="Times New Roman;Times;serif" w:hAnsi="Times New Roman;Times;serif"/>
          <w:sz w:val="22"/>
        </w:rPr>
        <w:t>means any United States citizen, lawful permanent resident, Person organized under the laws of the United States or any jurisdiction within the United States, including any foreign branch of any such entity, or any Person in the United States.</w:t>
      </w:r>
    </w:p>
    <w:p>
      <w:pPr>
        <w:pStyle w:val="TextBody"/>
        <w:bidi w:val="0"/>
        <w:spacing w:before="0" w:after="240"/>
        <w:ind w:left="0" w:right="0" w:firstLine="720"/>
        <w:jc w:val="both"/>
        <w:rPr/>
      </w:pPr>
      <w:r>
        <w:rPr/>
        <w:t>“</w:t>
      </w:r>
      <w:r>
        <w:rPr>
          <w:rFonts w:ascii="Times New Roman;Times;serif" w:hAnsi="Times New Roman;Times;serif"/>
          <w:sz w:val="22"/>
          <w:u w:val="single"/>
        </w:rPr>
        <w:t>Unreimbursed Amount</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2.03(c)(i)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U.S. Government Securities Business Day</w:t>
      </w:r>
      <w:r>
        <w:rPr>
          <w:rFonts w:ascii="Times New Roman;Times;serif" w:hAnsi="Times New Roman;Times;serif"/>
          <w:sz w:val="20"/>
        </w:rPr>
        <w:t xml:space="preserve">” </w:t>
      </w:r>
      <w:r>
        <w:rPr>
          <w:rFonts w:ascii="Times New Roman;Times;serif" w:hAnsi="Times New Roman;Times;serif"/>
          <w:sz w:val="22"/>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ind w:left="0" w:right="0" w:firstLine="720"/>
        <w:jc w:val="both"/>
        <w:rPr/>
      </w:pPr>
      <w:r>
        <w:rPr/>
        <w:t>“</w:t>
      </w:r>
      <w:r>
        <w:rPr>
          <w:rFonts w:ascii="Times New Roman;Times;serif" w:hAnsi="Times New Roman;Times;serif"/>
          <w:sz w:val="22"/>
          <w:u w:val="single"/>
        </w:rPr>
        <w:t>U.S. Person</w:t>
      </w:r>
      <w:r>
        <w:rPr>
          <w:rFonts w:ascii="Times New Roman;Times;serif" w:hAnsi="Times New Roman;Times;serif"/>
          <w:sz w:val="20"/>
        </w:rPr>
        <w:t xml:space="preserve">” </w:t>
      </w:r>
      <w:r>
        <w:rPr>
          <w:rFonts w:ascii="Times New Roman;Times;serif" w:hAnsi="Times New Roman;Times;serif"/>
          <w:sz w:val="22"/>
        </w:rPr>
        <w:t>means any Person that is a “United States Person” as defined in Section 7701(a)(30) of the Code.</w:t>
      </w:r>
    </w:p>
    <w:p>
      <w:pPr>
        <w:pStyle w:val="TextBody"/>
        <w:bidi w:val="0"/>
        <w:spacing w:before="0" w:after="240"/>
        <w:ind w:left="0" w:right="0" w:firstLine="720"/>
        <w:jc w:val="both"/>
        <w:rPr/>
      </w:pPr>
      <w:r>
        <w:rPr/>
        <w:t>“</w:t>
      </w:r>
      <w:r>
        <w:rPr>
          <w:rFonts w:ascii="Times New Roman;Times;serif" w:hAnsi="Times New Roman;Times;serif"/>
          <w:sz w:val="22"/>
          <w:u w:val="single"/>
        </w:rPr>
        <w:t>U.S. Tax Compliance Certificate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3.01(e)(ii)(B)(III)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Vessel</w:t>
      </w:r>
      <w:r>
        <w:rPr>
          <w:rFonts w:ascii="Times New Roman;Times;serif" w:hAnsi="Times New Roman;Times;serif"/>
          <w:sz w:val="20"/>
        </w:rPr>
        <w:t xml:space="preserve">” </w:t>
      </w:r>
      <w:r>
        <w:rPr>
          <w:rFonts w:ascii="Times New Roman;Times;serif" w:hAnsi="Times New Roman;Times;serif"/>
          <w:sz w:val="22"/>
        </w:rPr>
        <w:t>means each vessel that is (or is required to be) documented under and pursuant to the laws of the United States with a coastwise endorsement owned or operated by the Borrower or any Subsidiary.</w:t>
      </w:r>
    </w:p>
    <w:p>
      <w:pPr>
        <w:pStyle w:val="TextBody"/>
        <w:bidi w:val="0"/>
        <w:spacing w:before="0" w:after="240"/>
        <w:ind w:left="0" w:right="0" w:firstLine="720"/>
        <w:jc w:val="both"/>
        <w:rPr/>
      </w:pPr>
      <w:r>
        <w:rPr/>
        <w:t>“</w:t>
      </w:r>
      <w:r>
        <w:rPr>
          <w:rFonts w:ascii="Times New Roman;Times;serif" w:hAnsi="Times New Roman;Times;serif"/>
          <w:sz w:val="22"/>
          <w:u w:val="single"/>
        </w:rPr>
        <w:t>Withholding Agent</w:t>
      </w:r>
      <w:r>
        <w:rPr>
          <w:rFonts w:ascii="Times New Roman;Times;serif" w:hAnsi="Times New Roman;Times;serif"/>
          <w:sz w:val="20"/>
        </w:rPr>
        <w:t xml:space="preserve">” </w:t>
      </w:r>
      <w:r>
        <w:rPr>
          <w:rFonts w:ascii="Times New Roman;Times;serif" w:hAnsi="Times New Roman;Times;serif"/>
          <w:sz w:val="22"/>
        </w:rPr>
        <w:t>means the Borrower, any Loan Party and the Agent.</w:t>
      </w:r>
    </w:p>
    <w:p>
      <w:pPr>
        <w:pStyle w:val="TextBody"/>
        <w:bidi w:val="0"/>
        <w:spacing w:before="0" w:after="240"/>
        <w:ind w:left="90" w:right="0" w:firstLine="630"/>
        <w:jc w:val="both"/>
        <w:rPr/>
      </w:pPr>
      <w:r>
        <w:rPr/>
        <w:t>“</w:t>
      </w:r>
      <w:r>
        <w:rPr>
          <w:rFonts w:ascii="Times New Roman;Times;serif" w:hAnsi="Times New Roman;Times;serif"/>
          <w:sz w:val="22"/>
          <w:u w:val="single"/>
        </w:rPr>
        <w:t>Write-Down and Conversion Powers</w:t>
      </w:r>
      <w:r>
        <w:rPr>
          <w:rFonts w:ascii="Times New Roman;Times;serif" w:hAnsi="Times New Roman;Times;serif"/>
          <w:sz w:val="20"/>
        </w:rPr>
        <w:t xml:space="preserve">” </w:t>
      </w:r>
      <w:r>
        <w:rPr>
          <w:rFonts w:ascii="Times New Roman;Times;serif" w:hAnsi="Times New Roman;Times;serif"/>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90" w:right="0" w:firstLine="630"/>
        <w:jc w:val="both"/>
        <w:rPr/>
      </w:pPr>
      <w:r>
        <w:rPr/>
        <w:t>“</w:t>
      </w:r>
      <w:r>
        <w:rPr>
          <w:rFonts w:ascii="Times New Roman;Times;serif" w:hAnsi="Times New Roman;Times;serif"/>
          <w:sz w:val="22"/>
          <w:u w:val="single"/>
        </w:rPr>
        <w:t>2016 Met Life Note Purchase Agreement</w:t>
      </w:r>
      <w:r>
        <w:rPr>
          <w:rFonts w:ascii="Times New Roman;Times;serif" w:hAnsi="Times New Roman;Times;serif"/>
          <w:sz w:val="20"/>
        </w:rPr>
        <w:t xml:space="preserve">” </w:t>
      </w:r>
      <w:r>
        <w:rPr>
          <w:rFonts w:ascii="Times New Roman;Times;serif" w:hAnsi="Times New Roman;Times;serif"/>
          <w:sz w:val="22"/>
        </w:rPr>
        <w:t>means that certain Note Purchase Agreement, dated as of December 21, 2016, by and among the Borrower and the purchasers party thereto.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21</w:t>
      </w:r>
    </w:p>
    <w:p>
      <w:pPr>
        <w:pStyle w:val="HorizontalLine"/>
        <w:pBdr>
          <w:bottom w:val="double" w:sz="2" w:space="0" w:color="808080"/>
        </w:pBdr>
        <w:bidi w:val="0"/>
        <w:spacing w:before="0" w:after="283"/>
        <w:jc w:val="left"/>
        <w:rPr/>
      </w:pPr>
      <w:r>
        <w:rPr/>
      </w:r>
    </w:p>
    <w:p>
      <w:pPr>
        <w:pStyle w:val="TextBody"/>
        <w:bidi w:val="0"/>
        <w:spacing w:before="0" w:after="240"/>
        <w:ind w:left="90" w:right="0" w:firstLine="630"/>
        <w:jc w:val="both"/>
        <w:rPr/>
      </w:pPr>
      <w:r>
        <w:rPr/>
        <w:t>“</w:t>
      </w:r>
      <w:r>
        <w:rPr>
          <w:rFonts w:ascii="Times New Roman;Times;serif" w:hAnsi="Times New Roman;Times;serif"/>
          <w:sz w:val="22"/>
          <w:u w:val="single"/>
        </w:rPr>
        <w:t>2016 Pru Note Purchase Agreement</w:t>
      </w:r>
      <w:r>
        <w:rPr>
          <w:rFonts w:ascii="Times New Roman;Times;serif" w:hAnsi="Times New Roman;Times;serif"/>
          <w:sz w:val="20"/>
        </w:rPr>
        <w:t xml:space="preserve">” </w:t>
      </w:r>
      <w:r>
        <w:rPr>
          <w:rFonts w:ascii="Times New Roman;Times;serif" w:hAnsi="Times New Roman;Times;serif"/>
          <w:sz w:val="22"/>
        </w:rPr>
        <w:t>means that certain Third Amended and Restated Note Purchase and Private Shelf Agreement, dated as of September 14, 2016, by and among the Borrower and the purchasers party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1.02</w:t>
      </w:r>
      <w:r>
        <w:rPr>
          <w:rFonts w:ascii="Times New Roman;Times;serif" w:hAnsi="Times New Roman;Times;serif"/>
          <w:b/>
          <w:sz w:val="22"/>
        </w:rPr>
        <w:t>Other Interpretive Provisions.  </w:t>
      </w:r>
      <w:r>
        <w:rPr>
          <w:rFonts w:ascii="Times New Roman;Times;serif" w:hAnsi="Times New Roman;Times;serif"/>
          <w:sz w:val="22"/>
        </w:rPr>
        <w:t>With reference to this Agreement and each other Loan Document, unless otherwise specified herein or in such other Loan Document: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Times;serif" w:hAnsi="Times New Roman;Times;serif"/>
          <w:sz w:val="22"/>
          <w:u w:val="single"/>
        </w:rPr>
        <w:t>include</w:t>
      </w:r>
      <w:r>
        <w:rPr>
          <w:rFonts w:ascii="Times New Roman;Times;serif" w:hAnsi="Times New Roman;Times;serif"/>
          <w:sz w:val="22"/>
        </w:rPr>
        <w:t>,” “</w:t>
      </w:r>
      <w:r>
        <w:rPr>
          <w:rFonts w:ascii="Times New Roman;Times;serif" w:hAnsi="Times New Roman;Times;serif"/>
          <w:sz w:val="22"/>
          <w:u w:val="single"/>
        </w:rPr>
        <w:t>includes</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including</w:t>
      </w:r>
      <w:r>
        <w:rPr>
          <w:rFonts w:ascii="Times New Roman;Times;serif" w:hAnsi="Times New Roman;Times;serif"/>
          <w:sz w:val="20"/>
        </w:rPr>
        <w:t xml:space="preserve">” </w:t>
      </w:r>
      <w:r>
        <w:rPr>
          <w:rFonts w:ascii="Times New Roman;Times;serif" w:hAnsi="Times New Roman;Times;serif"/>
          <w:sz w:val="22"/>
        </w:rPr>
        <w:t>shall be deemed to be followed by the phrase “without limitation.”  The word “</w:t>
      </w:r>
      <w:r>
        <w:rPr>
          <w:rFonts w:ascii="Times New Roman;Times;serif" w:hAnsi="Times New Roman;Times;serif"/>
          <w:sz w:val="22"/>
          <w:u w:val="single"/>
        </w:rPr>
        <w:t>will</w:t>
      </w:r>
      <w:r>
        <w:rPr>
          <w:rFonts w:ascii="Times New Roman;Times;serif" w:hAnsi="Times New Roman;Times;serif"/>
          <w:sz w:val="20"/>
        </w:rPr>
        <w:t xml:space="preserve">” </w:t>
      </w:r>
      <w:r>
        <w:rPr>
          <w:rFonts w:ascii="Times New Roman;Times;serif" w:hAnsi="Times New Roman;Times;serif"/>
          <w:sz w:val="22"/>
        </w:rPr>
        <w:t>shall be construed to have the same meaning and effect as the word “</w:t>
      </w:r>
      <w:r>
        <w:rPr>
          <w:rFonts w:ascii="Times New Roman;Times;serif" w:hAnsi="Times New Roman;Times;serif"/>
          <w:sz w:val="22"/>
          <w:u w:val="single"/>
        </w:rPr>
        <w:t>shall</w:t>
      </w:r>
      <w:r>
        <w:rPr>
          <w:rFonts w:ascii="Times New Roman;Times;serif" w:hAnsi="Times New Roman;Times;serif"/>
          <w:sz w:val="22"/>
        </w:rPr>
        <w:t>.”  Unless the context requires otherwise, (i) any definition of or reference to any agreement, instrument or other document (including any articles of incorporation, bylaws or similar organizational documents)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Times;serif" w:hAnsi="Times New Roman;Times;serif"/>
          <w:sz w:val="22"/>
          <w:u w:val="single"/>
        </w:rPr>
        <w:t>hereto</w:t>
      </w:r>
      <w:r>
        <w:rPr>
          <w:rFonts w:ascii="Times New Roman;Times;serif" w:hAnsi="Times New Roman;Times;serif"/>
          <w:sz w:val="22"/>
        </w:rPr>
        <w:t>,”  “</w:t>
      </w:r>
      <w:r>
        <w:rPr>
          <w:rFonts w:ascii="Times New Roman;Times;serif" w:hAnsi="Times New Roman;Times;serif"/>
          <w:sz w:val="22"/>
          <w:u w:val="single"/>
        </w:rPr>
        <w:t>herein</w:t>
      </w:r>
      <w:r>
        <w:rPr>
          <w:rFonts w:ascii="Times New Roman;Times;serif" w:hAnsi="Times New Roman;Times;serif"/>
          <w:sz w:val="22"/>
        </w:rPr>
        <w:t>,” “</w:t>
      </w:r>
      <w:r>
        <w:rPr>
          <w:rFonts w:ascii="Times New Roman;Times;serif" w:hAnsi="Times New Roman;Times;serif"/>
          <w:sz w:val="22"/>
          <w:u w:val="single"/>
        </w:rPr>
        <w:t>hereof</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hereunder</w:t>
      </w:r>
      <w:r>
        <w:rPr>
          <w:rFonts w:ascii="Times New Roman;Times;serif" w:hAnsi="Times New Roman;Times;serif"/>
          <w:sz w:val="22"/>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Times;serif" w:hAnsi="Times New Roman;Times;serif"/>
          <w:sz w:val="22"/>
          <w:u w:val="single"/>
        </w:rPr>
        <w:t>asset</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property</w:t>
      </w:r>
      <w:r>
        <w:rPr>
          <w:rFonts w:ascii="Times New Roman;Times;serif" w:hAnsi="Times New Roman;Times;serif"/>
          <w:sz w:val="20"/>
        </w:rPr>
        <w:t xml:space="preserve">” </w:t>
      </w:r>
      <w:r>
        <w:rPr>
          <w:rFonts w:ascii="Times New Roman;Times;serif" w:hAnsi="Times New Roman;Times;serif"/>
          <w:sz w:val="22"/>
        </w:rPr>
        <w:t>shall be construed to have the same meaning and effect and to refer to any and all tangible and intangible assets and properties, including cash, securities, accounts and contract rights.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In the computation of periods of time from a specified date to a later specified date, the word “</w:t>
      </w:r>
      <w:r>
        <w:rPr>
          <w:rFonts w:ascii="Times New Roman;Times;serif" w:hAnsi="Times New Roman;Times;serif"/>
          <w:sz w:val="22"/>
          <w:u w:val="single"/>
        </w:rPr>
        <w:t>from</w:t>
      </w:r>
      <w:r>
        <w:rPr>
          <w:rFonts w:ascii="Times New Roman;Times;serif" w:hAnsi="Times New Roman;Times;serif"/>
          <w:sz w:val="20"/>
        </w:rPr>
        <w:t xml:space="preserve">” </w:t>
      </w:r>
      <w:r>
        <w:rPr>
          <w:rFonts w:ascii="Times New Roman;Times;serif" w:hAnsi="Times New Roman;Times;serif"/>
          <w:sz w:val="22"/>
        </w:rPr>
        <w:t>means “</w:t>
      </w:r>
      <w:r>
        <w:rPr>
          <w:rFonts w:ascii="Times New Roman;Times;serif" w:hAnsi="Times New Roman;Times;serif"/>
          <w:sz w:val="22"/>
          <w:u w:val="single"/>
        </w:rPr>
        <w:t>from and including</w:t>
      </w:r>
      <w:r>
        <w:rPr>
          <w:rFonts w:ascii="Times New Roman;Times;serif" w:hAnsi="Times New Roman;Times;serif"/>
          <w:sz w:val="22"/>
        </w:rPr>
        <w:t>;” the words “</w:t>
      </w:r>
      <w:r>
        <w:rPr>
          <w:rFonts w:ascii="Times New Roman;Times;serif" w:hAnsi="Times New Roman;Times;serif"/>
          <w:sz w:val="22"/>
          <w:u w:val="single"/>
        </w:rPr>
        <w:t>to</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until</w:t>
      </w:r>
      <w:r>
        <w:rPr>
          <w:rFonts w:ascii="Times New Roman;Times;serif" w:hAnsi="Times New Roman;Times;serif"/>
          <w:sz w:val="20"/>
        </w:rPr>
        <w:t xml:space="preserve">” </w:t>
      </w:r>
      <w:r>
        <w:rPr>
          <w:rFonts w:ascii="Times New Roman;Times;serif" w:hAnsi="Times New Roman;Times;serif"/>
          <w:sz w:val="22"/>
        </w:rPr>
        <w:t>each mean “</w:t>
      </w:r>
      <w:r>
        <w:rPr>
          <w:rFonts w:ascii="Times New Roman;Times;serif" w:hAnsi="Times New Roman;Times;serif"/>
          <w:sz w:val="22"/>
          <w:u w:val="single"/>
        </w:rPr>
        <w:t>to but excluding</w:t>
      </w:r>
      <w:r>
        <w:rPr>
          <w:rFonts w:ascii="Times New Roman;Times;serif" w:hAnsi="Times New Roman;Times;serif"/>
          <w:sz w:val="22"/>
        </w:rPr>
        <w:t>;” and the word “</w:t>
      </w:r>
      <w:r>
        <w:rPr>
          <w:rFonts w:ascii="Times New Roman;Times;serif" w:hAnsi="Times New Roman;Times;serif"/>
          <w:sz w:val="22"/>
          <w:u w:val="single"/>
        </w:rPr>
        <w:t>through</w:t>
      </w:r>
      <w:r>
        <w:rPr>
          <w:rFonts w:ascii="Times New Roman;Times;serif" w:hAnsi="Times New Roman;Times;serif"/>
          <w:sz w:val="20"/>
        </w:rPr>
        <w:t xml:space="preserve">” </w:t>
      </w:r>
      <w:r>
        <w:rPr>
          <w:rFonts w:ascii="Times New Roman;Times;serif" w:hAnsi="Times New Roman;Times;serif"/>
          <w:sz w:val="22"/>
        </w:rPr>
        <w:t>means “</w:t>
      </w:r>
      <w:r>
        <w:rPr>
          <w:rFonts w:ascii="Times New Roman;Times;serif" w:hAnsi="Times New Roman;Times;serif"/>
          <w:sz w:val="22"/>
          <w:u w:val="single"/>
        </w:rPr>
        <w:t>to and including</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Section headings herein and in the other Loan Documents are included for convenience of reference only and shall not affect the interpretation of this Agreement or any other Loan Document.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All covenants hereunder shall be given independent effect so that if a particular action or condition is prohibited by any one of such covenants, the fact that it would be permitted by an exception to, or otherwise be in compliance within the limitations of, another covenant shall not (i) avoid the occurrence of a Default if such action is taken or such condition exists or (ii) in any way prejudice an attempt by the Agent to prohibit, through equitable action or otherwise the taking of any action by the Borrower or any Subsidiary that would result in a Default.  For the avoidance of doubt, if a particular action or condition is expressly permitted by an exception to a covenant and is not expressly prohibited by another provision in the same covenant, the taking of such action or the existence of such condition shall not result in a Default under such covenant.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Any reference herein to a merger, transfer, consolidation, amalgamation, assignment, sale, disposition or transfer, or similar term, shall be deemed to apply to a division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1.03</w:t>
      </w:r>
      <w:r>
        <w:rPr>
          <w:rFonts w:ascii="Times New Roman;Times;serif" w:hAnsi="Times New Roman;Times;serif"/>
          <w:b/>
          <w:sz w:val="22"/>
        </w:rPr>
        <w:t>Accounting Terms.</w:t>
      </w:r>
    </w:p>
    <w:p>
      <w:pPr>
        <w:pStyle w:val="TextBody"/>
        <w:bidi w:val="0"/>
        <w:spacing w:before="0" w:after="240"/>
        <w:ind w:left="9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Generally</w:t>
      </w:r>
      <w:r>
        <w:rPr>
          <w:rFonts w:ascii="Times New Roman;Times;serif" w:hAnsi="Times New Roman;Times;serif"/>
          <w:sz w:val="22"/>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w:t>
      </w:r>
      <w:r>
        <w:rPr>
          <w:rFonts w:ascii="Times New Roman;Times;serif" w:hAnsi="Times New Roman;Times;serif"/>
          <w:sz w:val="22"/>
          <w:u w:val="single"/>
        </w:rPr>
        <w:t>except</w:t>
      </w:r>
      <w:r>
        <w:rPr>
          <w:rFonts w:ascii="Times New Roman;Times;serif" w:hAnsi="Times New Roman;Times;serif"/>
          <w:sz w:val="20"/>
        </w:rPr>
        <w:t xml:space="preserve"> </w:t>
      </w:r>
      <w:r>
        <w:rPr>
          <w:rFonts w:ascii="Times New Roman;Times;serif" w:hAnsi="Times New Roman;Times;serif"/>
          <w:sz w:val="22"/>
        </w:rPr>
        <w:t>as otherwise specifically prescribed herein.  Notwithstanding the foregoing, for purposes of determining compliance with any covenant (including the computation of any financial covenant) contained herein, (i) Debt of the Borrower and its Subsidiaries shall be deemed to be carried at 100% of the outstanding principal amount thereof, and the effects of FASB ASC 825 on financial liabilities shall be disregarded,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 and (iii)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any Loan Party or any Subsidiary at “fair value”, as defined therein. For purposes of determining the amount of any outstanding Indebtedness, no effect shall be given to any election by the Borrower to measure an item of Indebtedness using fair value (as permitted by Financial Accounting Standards Board Accounting Standards Codification 825–10–25 (formerly known as FASB 159) or any similar accounting standard).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Changes in GAAP</w:t>
      </w:r>
      <w:r>
        <w:rPr>
          <w:rFonts w:ascii="Times New Roman;Times;serif" w:hAnsi="Times New Roman;Times;serif"/>
          <w:sz w:val="22"/>
        </w:rPr>
        <w:t xml:space="preserve">.  If at any time any change in GAAP would affect the computation of any financial ratio or requirement set forth in any Loan Document, and either the Borrower or the Required Lenders shall so request, the Agent, the Lenders and the Borrower shall negotiate in good faith to amend such ratio or requirement to preserve the original intent thereof in light of such change in GAAP (subject to the approval of the Required Lenders); </w:t>
      </w:r>
      <w:r>
        <w:rPr>
          <w:rFonts w:ascii="Times New Roman;Times;serif" w:hAnsi="Times New Roman;Times;serif"/>
          <w:sz w:val="22"/>
          <w:u w:val="single"/>
        </w:rPr>
        <w:t>provided that</w:t>
      </w:r>
      <w:r>
        <w:rPr>
          <w:rFonts w:ascii="Times New Roman;Times;serif" w:hAnsi="Times New Roman;Times;serif"/>
          <w:sz w:val="22"/>
        </w:rPr>
        <w:t>, until so amended, (i) such ratio or requirement shall continue to be computed in accordance with GAAP prior to such change therein and (ii) the Borrower shall provide to the Agent and the Lenders financial statements and other documents reasonably requested by the Agent hereunder setting forth a reconciliation between calculations of such ratio or requirement made before and after giving effect to such change in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1.04</w:t>
      </w:r>
      <w:r>
        <w:rPr>
          <w:rFonts w:ascii="Times New Roman;Times;serif" w:hAnsi="Times New Roman;Times;serif"/>
          <w:b/>
          <w:sz w:val="22"/>
        </w:rPr>
        <w:t>Rounding.  </w:t>
      </w:r>
      <w:r>
        <w:rPr>
          <w:rFonts w:ascii="Times New Roman;Times;serif" w:hAnsi="Times New Roman;Times;serif"/>
          <w:sz w:val="22"/>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and rounding the result up or down to the nearest number (with a rounding-up if there is no nearest number).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1.05</w:t>
      </w:r>
      <w:r>
        <w:rPr>
          <w:rFonts w:ascii="Times New Roman;Times;serif" w:hAnsi="Times New Roman;Times;serif"/>
          <w:b/>
          <w:sz w:val="22"/>
        </w:rPr>
        <w:t>Times of Day.  </w:t>
      </w:r>
      <w:r>
        <w:rPr>
          <w:rFonts w:ascii="Times New Roman;Times;serif" w:hAnsi="Times New Roman;Times;serif"/>
          <w:sz w:val="22"/>
        </w:rPr>
        <w:t>Unless otherwise specified, all references herein to times of day shall be references to Pacific time (daylight or standard,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1.06</w:t>
      </w:r>
      <w:r>
        <w:rPr>
          <w:rFonts w:ascii="Times New Roman;Times;serif" w:hAnsi="Times New Roman;Times;serif"/>
          <w:b/>
          <w:sz w:val="22"/>
        </w:rPr>
        <w:t>Letter of Credit Amounts.  </w:t>
      </w:r>
      <w:r>
        <w:rPr>
          <w:rFonts w:ascii="Times New Roman;Times;serif" w:hAnsi="Times New Roman;Times;serif"/>
          <w:sz w:val="22"/>
        </w:rPr>
        <w:t xml:space="preserve">Unless otherwise specified herein, the amount of an outstanding Letter of Credit at any time shall be deemed to be the stated amount of such Letter of Credit in effect at such time;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1.07</w:t>
      </w:r>
      <w:r>
        <w:rPr>
          <w:rFonts w:ascii="Times New Roman;Times;serif" w:hAnsi="Times New Roman;Times;serif"/>
          <w:b/>
          <w:sz w:val="22"/>
        </w:rPr>
        <w:t>Rates.  </w:t>
      </w:r>
      <w:r>
        <w:rPr>
          <w:rFonts w:ascii="Times New Roman;Times;serif" w:hAnsi="Times New Roman;Times;serif"/>
          <w:sz w:val="22"/>
        </w:rPr>
        <w:t xml:space="preserve">The Agent does not warrant, nor accept responsibility, nor shall the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Agent may select information sources or services in its reasonable discretion to ascertain any reference rate referred to herein or any alternative, successor or replacement rate (including, without limitation, any Successor Rate) </w:t>
      </w:r>
      <w:r>
        <w:rPr>
          <w:rFonts w:ascii="Times New Roman;Times;serif" w:hAnsi="Times New Roman;Times;serif"/>
          <w:b/>
          <w:sz w:val="22"/>
        </w:rPr>
        <w:t>(</w:t>
      </w:r>
      <w:r>
        <w:rPr>
          <w:rFonts w:ascii="Times New Roman;Times;serif" w:hAnsi="Times New Roman;Times;serif"/>
          <w:sz w:val="22"/>
        </w:rPr>
        <w:t>or any component of any of the foregoing), in each case pursuant to the terms of this Agreement, and shall have no liability to the Borrower, any Lender</w:t>
      </w:r>
      <w:r>
        <w:rPr>
          <w:rFonts w:ascii="Times New Roman;Times;serif" w:hAnsi="Times New Roman;Times;serif"/>
          <w:sz w:val="20"/>
        </w:rPr>
        <w:t xml:space="preserve"> </w:t>
      </w:r>
      <w:r>
        <w:rPr>
          <w:rFonts w:ascii="Times New Roman;Times;serif" w:hAnsi="Times New Roman;Times;serif"/>
          <w:sz w:val="22"/>
        </w:rPr>
        <w:t>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the COMMITMENTS and Credit Extensions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2.01</w:t>
      </w:r>
      <w:r>
        <w:rPr>
          <w:rFonts w:ascii="Times New Roman;Times;serif" w:hAnsi="Times New Roman;Times;serif"/>
          <w:b/>
          <w:sz w:val="22"/>
        </w:rPr>
        <w:t>Committed Loans.  </w:t>
      </w:r>
      <w:r>
        <w:rPr>
          <w:rFonts w:ascii="Times New Roman;Times;serif" w:hAnsi="Times New Roman;Times;serif"/>
          <w:sz w:val="22"/>
        </w:rPr>
        <w:t>Subject to the terms and conditions set forth herein, each Lender severally agrees to make loans (each such loan, a “</w:t>
      </w:r>
      <w:r>
        <w:rPr>
          <w:rFonts w:ascii="Times New Roman;Times;serif" w:hAnsi="Times New Roman;Times;serif"/>
          <w:sz w:val="22"/>
          <w:u w:val="single"/>
        </w:rPr>
        <w:t>Committed Loan</w:t>
      </w:r>
      <w:r>
        <w:rPr>
          <w:rFonts w:ascii="Times New Roman;Times;serif" w:hAnsi="Times New Roman;Times;serif"/>
          <w:sz w:val="20"/>
        </w:rPr>
        <w:t>”</w:t>
      </w:r>
      <w:r>
        <w:rPr>
          <w:rFonts w:ascii="Times New Roman;Times;serif" w:hAnsi="Times New Roman;Times;serif"/>
          <w:sz w:val="22"/>
        </w:rPr>
        <w:t xml:space="preserve">) in Dollars to the Borrower from time to time, on any Business Day during the Availability Period, in an aggregate amount not to exceed at any time outstanding the amount of such Lender’s Commitment;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after giving effect to any Committed Borrowing, (i) the Total Outstandings shall not exceed the Aggregate Commitments, and (ii) the aggregate Outstanding Amount of the Committed Loans of any Lender,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such Lender’s Applicable Percentage of the Outstanding Amount of all L/C Obligations,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such Lender’s Applicable Percentage of the Outstanding Amount of all Swing Line Loans shall not exceed the amount of such Lender’s Commitment.  Subject to the terms and conditions hereof, the Borrower may borrow Committed Loans under this </w:t>
      </w:r>
      <w:r>
        <w:rPr>
          <w:rFonts w:ascii="Times New Roman;Times;serif" w:hAnsi="Times New Roman;Times;serif"/>
          <w:sz w:val="22"/>
          <w:u w:val="single"/>
        </w:rPr>
        <w:t>Section 2.01</w:t>
      </w:r>
      <w:r>
        <w:rPr>
          <w:rFonts w:ascii="Times New Roman;Times;serif" w:hAnsi="Times New Roman;Times;serif"/>
          <w:sz w:val="22"/>
        </w:rPr>
        <w:t xml:space="preserve">, repay or prepay such Committed Loans under </w:t>
      </w:r>
      <w:r>
        <w:rPr>
          <w:rFonts w:ascii="Times New Roman;Times;serif" w:hAnsi="Times New Roman;Times;serif"/>
          <w:sz w:val="22"/>
          <w:u w:val="single"/>
        </w:rPr>
        <w:t>Section 2.05</w:t>
      </w:r>
      <w:r>
        <w:rPr>
          <w:rFonts w:ascii="Times New Roman;Times;serif" w:hAnsi="Times New Roman;Times;serif"/>
          <w:sz w:val="22"/>
        </w:rPr>
        <w:t xml:space="preserve">, reborrow such Committed Loans and borrow other Committed Loans under this </w:t>
      </w:r>
      <w:r>
        <w:rPr>
          <w:rFonts w:ascii="Times New Roman;Times;serif" w:hAnsi="Times New Roman;Times;serif"/>
          <w:sz w:val="22"/>
          <w:u w:val="single"/>
        </w:rPr>
        <w:t>Section 2.01</w:t>
      </w:r>
      <w:r>
        <w:rPr>
          <w:rFonts w:ascii="Times New Roman;Times;serif" w:hAnsi="Times New Roman;Times;serif"/>
          <w:sz w:val="22"/>
        </w:rPr>
        <w:t>.  Committed Loans may be Base Rate Loans or Term SOFR Loans, as further provided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2.02</w:t>
      </w:r>
      <w:r>
        <w:rPr>
          <w:rFonts w:ascii="Times New Roman;Times;serif" w:hAnsi="Times New Roman;Times;serif"/>
          <w:b/>
          <w:sz w:val="22"/>
        </w:rPr>
        <w:t>Borrowings, Conversions and Continuations of Committed Loans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Each Committed Borrowing, each conversion of Committed Loans from one Type to the other, and each continuation of Term SOFR Loans shall be made upon the Borrower’s irrevocable notice to the Agent, which may be given by: (A) telephone or (B) a Committed Loan Notice;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any telephonic notice must be confirmed immediately by delivery to the Agent of a Committed Loan Notice.  Each such notice must be received by the Agent not later than 11:00 a.m. (i) two Business Days prior to the requested date of any Borrowing of Term SOFR Loans or any conversion to or continuation of Term SOFR Loans or of any conversion of Term SOFR Loans to Base Rate Loans and (ii) one Business Day prior to the requested date of any Borrowing of Base Rate Loans.  Each Borrowing of, conversion to or continuation of Term SOFR Loans shall be in a principal amount of $1,000,000 or a whole multiple of $100,000 in excess thereof.  Except as provided in </w:t>
      </w:r>
      <w:r>
        <w:rPr>
          <w:rFonts w:ascii="Times New Roman;Times;serif" w:hAnsi="Times New Roman;Times;serif"/>
          <w:sz w:val="22"/>
          <w:u w:val="single"/>
        </w:rPr>
        <w:t>Sections 2.03(c)</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2.04(c)</w:t>
      </w:r>
      <w:r>
        <w:rPr>
          <w:rFonts w:ascii="Times New Roman;Times;serif" w:hAnsi="Times New Roman;Times;serif"/>
          <w:sz w:val="22"/>
        </w:rPr>
        <w:t>, each Borrowing of or conversion to Base Rate Loans shall be in a principal amount of $1,000,000 or a whole multiple of $100,000 in excess thereof.  Each Committed Loan Notice (whether telephonic or written) shall specify (1) whether the Borrower is requesting a Committed Borrowing, a conversion of Committed Loans from one Type to the other, or a continuation of Loans, (2) the requested date of the Borrowing, conversion or continuation, as the case may be (which shall be a Business Day), (3) the principal amount of Committed Loans to be borrowed, converted or continued, (4) the Type of Committed Loans to be borrowed or to which existing Committed Loans are to be converted, and (5) if applicable, the duration of the Interest Period with respect thereto.  If the Borrower fails to specify a Type of Committed Loan in a Committed Loan Notice or if the Borrower fails to give a timely notice requesting a conversion or continuation of a Term SOFR Loan, then the applicable Committed Loan shall be made as, or converted to, Base Rate Loans, unless such Committed Loan was a Term SOFR Loan, in which case such Committed Loan shall be continued as a Term SOFR Loan with an Interest Period of one month.  Any such automatic conversion to a Base Rate Loan and any such continuation of a Term SOFR Loan, in either case, shall be effective as of the last day of the Interest Period then in effect with respect to the applicable Term SOFR Loans.  If the Borrower requests a Borrowing of, conversion to, or continuation of Term SOFR Loans in any such Committed Loan Notice, but the Borrower fails to specify an Interest Period for such Committed Loan or continuation of a Term SOFR Loan, it will be deemed to have specified an Interest Period of one month.</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Following receipt of a Committed Loan Notice, the Agent shall promptly notify each Lender of the amount of its Applicable Percentage of the applicable Committed Loans, and if no timely notice of a conversion or continuation is provided by the Borrower, the Agent shall notify each Lender of the details of any automatic conversion to Base Rate Loans or continuation of Term SOFR Loans described in the preceding subsection.  In the case of a Committed Borrowing, each Lender shall make the amount of its Committed Loan available to the Agent in immediately available funds at the Agent’s Office not later than 12:00 p.m. on the Business Day specified in the applicable Committed Loan Notice.  Upon satisfaction of the applicable conditions set forth in </w:t>
      </w:r>
      <w:r>
        <w:rPr>
          <w:rFonts w:ascii="Times New Roman;Times;serif" w:hAnsi="Times New Roman;Times;serif"/>
          <w:sz w:val="22"/>
          <w:u w:val="single"/>
        </w:rPr>
        <w:t>Section 4.02</w:t>
      </w:r>
      <w:r>
        <w:rPr>
          <w:rFonts w:ascii="Times New Roman;Times;serif" w:hAnsi="Times New Roman;Times;serif"/>
          <w:sz w:val="20"/>
        </w:rPr>
        <w:t xml:space="preserve"> </w:t>
      </w:r>
      <w:r>
        <w:rPr>
          <w:rFonts w:ascii="Times New Roman;Times;serif" w:hAnsi="Times New Roman;Times;serif"/>
          <w:sz w:val="22"/>
        </w:rPr>
        <w:t xml:space="preserve">(and, if such Borrowing is the initial Credit Extension, </w:t>
      </w:r>
      <w:r>
        <w:rPr>
          <w:rFonts w:ascii="Times New Roman;Times;serif" w:hAnsi="Times New Roman;Times;serif"/>
          <w:sz w:val="22"/>
          <w:u w:val="single"/>
        </w:rPr>
        <w:t>Section 4.01</w:t>
      </w:r>
      <w:r>
        <w:rPr>
          <w:rFonts w:ascii="Times New Roman;Times;serif" w:hAnsi="Times New Roman;Times;serif"/>
          <w:sz w:val="22"/>
        </w:rPr>
        <w:t xml:space="preserve">), the Agent shall make all funds so received available to the Borrower in like funds as received by the Agent either by (i) crediting the account of the Borrower on the books of Bank of America with the amount of such funds or (ii) wire transfer of such funds, in each case in accordance with instructions provided to (and reasonably acceptable to) the Agent by the Borrower;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if, on the date the Committed Loan Notice with respect to such Borrowing is given by the Borrower, there are L/C Borrowings outstanding, then the proceeds of such Borrowing, first, shall be applied to the payment in full of any such L/C Borrowings, and second, shall be made available to the Borrower as provided above.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Except as otherwise provided herein, a Term SOFR Loan may be continued or converted only on the last day of an Interest Period for such Term SOFR Loan.  During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existence of a Default, no Loans may be requested as, converted to or continued as Term SOFR Loans without the consent of the Required Lenders.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Each determination of an interest rate by the Agent pursuant to any provision of this Agreement shall be conclusive and binding on the Borrower and the Lenders in the absence of manifest error.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After giving effect to all Committed Borrowings, all conversions of Committed Loans from one Type to the other, and all continuations of Committed Loans as the same Type, there shall not be more than ten Interest Periods in effect at any single time with respect to Term SOFR Loans.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Notwithstanding anything to the contrary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Agent and such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 xml:space="preserve">This </w:t>
      </w:r>
      <w:r>
        <w:rPr>
          <w:rFonts w:ascii="Times New Roman;Times;serif" w:hAnsi="Times New Roman;Times;serif"/>
          <w:sz w:val="22"/>
          <w:u w:val="single"/>
        </w:rPr>
        <w:t>Section 2.02</w:t>
      </w:r>
      <w:r>
        <w:rPr>
          <w:rFonts w:ascii="Times New Roman;Times;serif" w:hAnsi="Times New Roman;Times;serif"/>
          <w:sz w:val="20"/>
        </w:rPr>
        <w:t xml:space="preserve"> </w:t>
      </w:r>
      <w:r>
        <w:rPr>
          <w:rFonts w:ascii="Times New Roman;Times;serif" w:hAnsi="Times New Roman;Times;serif"/>
          <w:sz w:val="22"/>
        </w:rPr>
        <w:t>shall not apply to Swing Line Loans.</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 xml:space="preserve">With respect to SOFR or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with respect to any such amendment effected, the Agent shall post each such amendment implementing such Conforming Changes to the Borrower and the Lenders reasonably promptly after such amendment becomes effective.</w:t>
      </w:r>
    </w:p>
    <w:p>
      <w:pPr>
        <w:pStyle w:val="TextBody"/>
        <w:bidi w:val="0"/>
        <w:spacing w:before="0" w:after="0"/>
        <w:ind w:left="144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2.03</w:t>
      </w:r>
      <w:r>
        <w:rPr>
          <w:rFonts w:ascii="Times New Roman;Times;serif" w:hAnsi="Times New Roman;Times;serif"/>
          <w:b/>
          <w:sz w:val="22"/>
        </w:rPr>
        <w:t>Letters of Credit</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The Letter of Credit Commitment</w:t>
      </w:r>
      <w:r>
        <w:rPr>
          <w:rFonts w:ascii="Times New Roman;Times;serif" w:hAnsi="Times New Roman;Times;serif"/>
          <w:sz w:val="22"/>
        </w:rPr>
        <w:t>.</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(i)Subject to the terms and conditions set forth herein, (A) the L/C Issuer agrees, in reliance upon the agreements of the Lenders set forth in this </w:t>
      </w:r>
      <w:r>
        <w:rPr>
          <w:rFonts w:ascii="Times New Roman;Times;serif" w:hAnsi="Times New Roman;Times;serif"/>
          <w:sz w:val="22"/>
          <w:u w:val="single"/>
        </w:rPr>
        <w:t>Section 2.03</w:t>
      </w:r>
      <w:r>
        <w:rPr>
          <w:rFonts w:ascii="Times New Roman;Times;serif" w:hAnsi="Times New Roman;Times;serif"/>
          <w:sz w:val="22"/>
        </w:rPr>
        <w:t xml:space="preserve">, (1) from time to time on any Business Day during the period from the Closing Date until the Letter of Credit Expiration Date, to issue Letters of Credit in Dollars for the account of the Borrower or any of its Subsidiaries, and to amend or extend Letters of Credit previously issued by it, in accordance with subsection (b) below, and (2) to honor drawings under the Letters of Credit; and (B) the Lenders severally agree to participate in Letters of Credit issued for the account of the Borrower or its Subsidiaries and any drawings thereunder;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after giving effect to any L/C Credit Extension with respect to any Letter of Credit, (w) the aggregate amount of the outstanding Letters of Credit issued by the L/C Issuer shall not exceed its L/C Commitment, (x) the Total Outstandings shall not exceed the Aggregate Commitments, (y) the aggregate Outstanding Amount of the Committed Loans of any Lender,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such Lender’s Applicable Percentage of the Outstanding Amount of all L/C Obligations,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such Lender’s Applicable Percentage of the Outstanding Amount of all Swing Line Loans shall not exceed such Lender’s Commitment, and (z) the Outstanding Amount of the L/C Obligations shall not exceed the Letter of Credit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26</w:t>
      </w:r>
    </w:p>
    <w:p>
      <w:pPr>
        <w:pStyle w:val="HorizontalLine"/>
        <w:pBdr>
          <w:bottom w:val="double" w:sz="2" w:space="0" w:color="808080"/>
        </w:pBdr>
        <w:bidi w:val="0"/>
        <w:spacing w:before="0" w:after="283"/>
        <w:jc w:val="left"/>
        <w:rPr/>
      </w:pPr>
      <w:r>
        <w:rPr/>
      </w:r>
    </w:p>
    <w:p>
      <w:pPr>
        <w:pStyle w:val="TextBody"/>
        <w:bidi w:val="0"/>
        <w:spacing w:before="0" w:after="240"/>
        <w:ind w:left="2556" w:right="0" w:hanging="0"/>
        <w:jc w:val="both"/>
        <w:rPr>
          <w:rFonts w:ascii="Times New Roman;Times;serif" w:hAnsi="Times New Roman;Times;serif"/>
          <w:sz w:val="22"/>
        </w:rPr>
      </w:pPr>
      <w:r>
        <w:rPr>
          <w:rFonts w:ascii="Times New Roman;Times;serif" w:hAnsi="Times New Roman;Times;serif"/>
          <w:sz w:val="22"/>
        </w:rPr>
        <w:t>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(ii)The L/C Issuer shall not issue any Letter of Credit if:</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2"/>
        </w:rPr>
        <w:t xml:space="preserve">(A)subject to </w:t>
      </w:r>
      <w:r>
        <w:rPr>
          <w:rFonts w:ascii="Times New Roman;Times;serif" w:hAnsi="Times New Roman;Times;serif"/>
          <w:sz w:val="22"/>
          <w:u w:val="single"/>
        </w:rPr>
        <w:t>Section 2.03(b)(iii)</w:t>
      </w:r>
      <w:r>
        <w:rPr>
          <w:rFonts w:ascii="Times New Roman;Times;serif" w:hAnsi="Times New Roman;Times;serif"/>
          <w:sz w:val="22"/>
        </w:rPr>
        <w:t>, the expiry date of such requested Letter of Credit would occur more than twelve months after the date of issuance or last extension, unless the Required Lenders have approved such expiry date; or</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2"/>
        </w:rPr>
        <w:t xml:space="preserve">(B)the expiry date of such requested Letter of Credit would occur after the Letter of Credit Expiration Date, unless all the Lenders have approved such expiry date;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Letters of Credit with an expiry date after the Letter of Credit Expiration Date may be issued (but the L/C Issuer shall have no obligation to issue) so long as the Borrower agrees to Cash Collateralize such Letter of Credit in an amount equal to at least 103% of the face amount of such Letter of Credit prior to the Letter of Credit Expiration Date in accordance with the terms of this Agreement.  The Borrower hereby agrees that on or before the Letter of Credit Expiration Date it shall Cash Collateralize any Letter of Credit existing and not expiring on the Letter of Credit Expiration Date in an amount equal to at least 103% of the face amount of such Letter of Credit (and in the event the Borrower fails to do so, the Agent may require each Lender to fund its participation interest in an amount equal to such Lender’s Applicable Percentage of the outstanding Letters of Credit for purposes of Cash Collateralizing the Letters of Credit).  For the avoidance of doubt, the parties hereto agree that the obligations of the Lenders hereunder to reimburse the L/C Issuer for any Unreimbursed Amount with respect to any Letter of Credit shall terminate on the Maturity Date with respect to drawings occurring after that date.</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(iii)The L/C Issuer shall not be under any obligation to issue any Letter of Credit if:</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(A)any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27</w:t>
      </w:r>
    </w:p>
    <w:p>
      <w:pPr>
        <w:pStyle w:val="HorizontalLine"/>
        <w:pBdr>
          <w:bottom w:val="double" w:sz="2" w:space="0" w:color="808080"/>
        </w:pBdr>
        <w:bidi w:val="0"/>
        <w:spacing w:before="0" w:after="283"/>
        <w:jc w:val="left"/>
        <w:rPr/>
      </w:pPr>
      <w:r>
        <w:rPr/>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cost or expense which was not applicable on the Closing Date and which the L/C Issuer in good faith deems material to it;</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(B)the issuance of such Letter of Credit would violate one or more policies of the L/C Issuer applicable to letters of credit generally;</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(C)such Letter of Credit is to be denominated in a currency other than Dollars; or</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2"/>
        </w:rPr>
        <w:t xml:space="preserve">(D)any Lender is at that time a Defaulting Lender, unless the L/C Issuer has entered into arrangements, including the delivery of Cash Collateral, satisfactory to the L/C Issuer (in its sole discretion) with the Borrower or such Defaulting Lender to eliminate the L/C Issuer’s actual or potential Fronting Exposure (after giving effect to </w:t>
      </w:r>
      <w:r>
        <w:rPr>
          <w:rFonts w:ascii="Times New Roman;Times;serif" w:hAnsi="Times New Roman;Times;serif"/>
          <w:sz w:val="22"/>
          <w:u w:val="single"/>
        </w:rPr>
        <w:t>Section 2.16(a)(iv)</w:t>
      </w:r>
      <w:r>
        <w:rPr>
          <w:rFonts w:ascii="Times New Roman;Times;serif" w:hAnsi="Times New Roman;Times;serif"/>
          <w:sz w:val="22"/>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(iv)The L/C Issuer shall not amend any Letter of Credit if the L/C Issuer would not be permitted at such time to issue such Letter of Credit in its amended form under the terms hereof.</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(v)The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(vi)The L/C Issuer shall act on behalf of the Lenders with respect to any Letters of Credit issued by it and the documents associated therewith, and the L/C Issuer shall have all of the benefits and immunities (A) provided to the Agent in </w:t>
      </w:r>
      <w:r>
        <w:rPr>
          <w:rFonts w:ascii="Times New Roman;Times;serif" w:hAnsi="Times New Roman;Times;serif"/>
          <w:sz w:val="22"/>
          <w:u w:val="single"/>
        </w:rPr>
        <w:t>Article IX</w:t>
      </w:r>
      <w:r>
        <w:rPr>
          <w:rFonts w:ascii="Times New Roman;Times;serif" w:hAnsi="Times New Roman;Times;serif"/>
          <w:sz w:val="20"/>
        </w:rPr>
        <w:t xml:space="preserve"> </w:t>
      </w:r>
      <w:r>
        <w:rPr>
          <w:rFonts w:ascii="Times New Roman;Times;serif" w:hAnsi="Times New Roman;Times;serif"/>
          <w:sz w:val="22"/>
        </w:rPr>
        <w:t xml:space="preserve">with respect to any acts taken or omissions suffered by the L/C Issuer in connection with Letters of Credit issued by it or proposed to be issued by it and Issuer Documents pertaining to such Letters of Credit as fully as if the term “Agent” as used in </w:t>
      </w:r>
      <w:r>
        <w:rPr>
          <w:rFonts w:ascii="Times New Roman;Times;serif" w:hAnsi="Times New Roman;Times;serif"/>
          <w:sz w:val="22"/>
          <w:u w:val="single"/>
        </w:rPr>
        <w:t>Article IX</w:t>
      </w:r>
      <w:r>
        <w:rPr>
          <w:rFonts w:ascii="Times New Roman;Times;serif" w:hAnsi="Times New Roman;Times;serif"/>
          <w:sz w:val="20"/>
        </w:rPr>
        <w:t xml:space="preserve"> </w:t>
      </w:r>
      <w:r>
        <w:rPr>
          <w:rFonts w:ascii="Times New Roman;Times;serif" w:hAnsi="Times New Roman;Times;serif"/>
          <w:sz w:val="22"/>
        </w:rPr>
        <w:t>included the L/C Issuer with respect to such acts or omissions, and (B) as additionally provided herein with respect to the L/C Issuer.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Procedures for Issuance and Amendment of Letters of Credit; Auto-Extension Letters of Credit</w:t>
      </w:r>
      <w:r>
        <w:rPr>
          <w:rFonts w:ascii="Times New Roman;Times;serif" w:hAnsi="Times New Roman;Times;serif"/>
          <w:sz w:val="22"/>
        </w:rPr>
        <w:t>.</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(i)Each Letter of Credit shall be issued or amended, as the case may be, upon the request of the Borrower delivered to the L/C Issuer (with a copy to the Agent) in the form of a Letter of Credit Application, appropriately completed and signed by an Authorized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Agent not later than 11:00 a.m. at least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28</w:t>
      </w:r>
    </w:p>
    <w:p>
      <w:pPr>
        <w:pStyle w:val="HorizontalLine"/>
        <w:pBdr>
          <w:bottom w:val="double" w:sz="2" w:space="0" w:color="808080"/>
        </w:pBdr>
        <w:bidi w:val="0"/>
        <w:spacing w:before="0" w:after="283"/>
        <w:jc w:val="left"/>
        <w:rPr/>
      </w:pPr>
      <w:r>
        <w:rPr/>
      </w:r>
    </w:p>
    <w:p>
      <w:pPr>
        <w:pStyle w:val="TextBody"/>
        <w:bidi w:val="0"/>
        <w:spacing w:before="0" w:after="240"/>
        <w:ind w:left="2556" w:right="0" w:hanging="0"/>
        <w:jc w:val="both"/>
        <w:rPr>
          <w:rFonts w:ascii="Times New Roman;Times;serif" w:hAnsi="Times New Roman;Times;serif"/>
          <w:sz w:val="22"/>
        </w:rPr>
      </w:pPr>
      <w:r>
        <w:rPr>
          <w:rFonts w:ascii="Times New Roman;Times;serif" w:hAnsi="Times New Roman;Times;serif"/>
          <w:sz w:val="22"/>
        </w:rPr>
        <w:t>three Business Days (or such later date and time as the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satisfactory to the L/C Issuer (1) the Letter of Credit to be amended; (2) the proposed date of amendment thereof (which shall be a Business Day); (3) the nature of the proposed amendment; and (4) such other matters as the L/C Issuer may reasonably require.  Additionally, the Borrower shall furnish to the L/C Issuer and the Agent such other documents and information pertaining to such requested Letter of Credit issuance or amendment, including any Issuer Documents, as the L/C Issuer or the Agent may reasonably require.</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(ii)Promptly after receipt of any Letter of Credit Application, the L/C Issuer will confirm with the Agent (by telephone or in writing) that the Agent has received a copy of such Letter of Credit Application from the Borrower and, if not, the L/C Issuer will provide the Agent with a copy thereof.  Unless the L/C Issuer has received written notice from any Lender, the Agent or the Borrower, at least one Business Day prior to the requested date of issuance or amendment of the applicable Letter of Credit, that one or more applicable conditions contained in </w:t>
      </w:r>
      <w:r>
        <w:rPr>
          <w:rFonts w:ascii="Times New Roman;Times;serif" w:hAnsi="Times New Roman;Times;serif"/>
          <w:sz w:val="22"/>
          <w:u w:val="single"/>
        </w:rPr>
        <w:t>Article IV</w:t>
      </w:r>
      <w:r>
        <w:rPr>
          <w:rFonts w:ascii="Times New Roman;Times;serif" w:hAnsi="Times New Roman;Times;serif"/>
          <w:sz w:val="20"/>
        </w:rPr>
        <w:t xml:space="preserve"> </w:t>
      </w:r>
      <w:r>
        <w:rPr>
          <w:rFonts w:ascii="Times New Roman;Times;serif" w:hAnsi="Times New Roman;Times;serif"/>
          <w:sz w:val="22"/>
        </w:rPr>
        <w:t xml:space="preserve">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w:t>
      </w:r>
      <w:r>
        <w:rPr>
          <w:rFonts w:ascii="Times New Roman;Times;serif" w:hAnsi="Times New Roman;Times;serif"/>
          <w:sz w:val="22"/>
          <w:u w:val="single"/>
        </w:rPr>
        <w:t>times</w:t>
      </w:r>
      <w:r>
        <w:rPr>
          <w:rFonts w:ascii="Times New Roman;Times;serif" w:hAnsi="Times New Roman;Times;serif"/>
          <w:sz w:val="20"/>
        </w:rPr>
        <w:t xml:space="preserve"> </w:t>
      </w:r>
      <w:r>
        <w:rPr>
          <w:rFonts w:ascii="Times New Roman;Times;serif" w:hAnsi="Times New Roman;Times;serif"/>
          <w:sz w:val="22"/>
        </w:rPr>
        <w:t>the amount of such Letter of Credit.</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(iii)If the Borrower so requests in any applicable Letter of Credit Application, the L/C Issuer may, in its sole discretion, agree to issue a Letter of Credit that has automatic extension provisions (each, an “</w:t>
      </w:r>
      <w:r>
        <w:rPr>
          <w:rFonts w:ascii="Times New Roman;Times;serif" w:hAnsi="Times New Roman;Times;serif"/>
          <w:sz w:val="22"/>
          <w:u w:val="single"/>
        </w:rPr>
        <w:t>Auto-Extension Letter of Credit</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Times;serif" w:hAnsi="Times New Roman;Times;serif"/>
          <w:sz w:val="22"/>
          <w:u w:val="single"/>
        </w:rPr>
        <w:t>Non-Extension Notice Date</w:t>
      </w:r>
      <w:r>
        <w:rPr>
          <w:rFonts w:ascii="Times New Roman;Times;serif" w:hAnsi="Times New Roman;Times;serif"/>
          <w:sz w:val="20"/>
        </w:rPr>
        <w:t>”</w:t>
      </w:r>
      <w:r>
        <w:rPr>
          <w:rFonts w:ascii="Times New Roman;Times;serif" w:hAnsi="Times New Roman;Times;serif"/>
          <w:sz w:val="22"/>
        </w:rPr>
        <w:t>) in each such twelve-month period to be agreed upon at the time such Letter of Credit 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29</w:t>
      </w:r>
    </w:p>
    <w:p>
      <w:pPr>
        <w:pStyle w:val="HorizontalLine"/>
        <w:pBdr>
          <w:bottom w:val="double" w:sz="2" w:space="0" w:color="808080"/>
        </w:pBdr>
        <w:bidi w:val="0"/>
        <w:spacing w:before="0" w:after="283"/>
        <w:jc w:val="left"/>
        <w:rPr/>
      </w:pPr>
      <w:r>
        <w:rPr/>
      </w:r>
    </w:p>
    <w:p>
      <w:pPr>
        <w:pStyle w:val="TextBody"/>
        <w:bidi w:val="0"/>
        <w:spacing w:before="0" w:after="240"/>
        <w:ind w:left="2556" w:right="0" w:hanging="0"/>
        <w:jc w:val="both"/>
        <w:rPr>
          <w:rFonts w:ascii="Times New Roman;Times;serif" w:hAnsi="Times New Roman;Times;serif"/>
          <w:sz w:val="20"/>
        </w:rPr>
      </w:pPr>
      <w:r>
        <w:rPr>
          <w:rFonts w:ascii="Times New Roman;Times;serif" w:hAnsi="Times New Roman;Times;serif"/>
          <w:sz w:val="22"/>
        </w:rPr>
        <w:t xml:space="preserve">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Times New Roman;Times;serif" w:hAnsi="Times New Roman;Times;serif"/>
          <w:sz w:val="22"/>
          <w:u w:val="single"/>
        </w:rPr>
        <w:t>Section 2.03(a)</w:t>
      </w:r>
      <w:r>
        <w:rPr>
          <w:rFonts w:ascii="Times New Roman;Times;serif" w:hAnsi="Times New Roman;Times;serif"/>
          <w:sz w:val="20"/>
        </w:rPr>
        <w:t xml:space="preserve"> </w:t>
      </w:r>
      <w:r>
        <w:rPr>
          <w:rFonts w:ascii="Times New Roman;Times;serif" w:hAnsi="Times New Roman;Times;serif"/>
          <w:sz w:val="22"/>
        </w:rPr>
        <w:t xml:space="preserve">or otherwise), or (B) it has received notice (which may be by telephone or in writing) on or before the day that is seven Business Days before the Non-Extension Notice Date (1) from the Agent that the Required Lenders have elected not to permit such extension or (2) from the Agent, any Lender or the Borrower that one or more of the applicable conditions specified in </w:t>
      </w:r>
      <w:r>
        <w:rPr>
          <w:rFonts w:ascii="Times New Roman;Times;serif" w:hAnsi="Times New Roman;Times;serif"/>
          <w:sz w:val="22"/>
          <w:u w:val="single"/>
        </w:rPr>
        <w:t>Section 4.02</w:t>
      </w:r>
      <w:r>
        <w:rPr>
          <w:rFonts w:ascii="Times New Roman;Times;serif" w:hAnsi="Times New Roman;Times;serif"/>
          <w:sz w:val="20"/>
        </w:rPr>
        <w:t xml:space="preserve"> </w:t>
      </w:r>
      <w:r>
        <w:rPr>
          <w:rFonts w:ascii="Times New Roman;Times;serif" w:hAnsi="Times New Roman;Times;serif"/>
          <w:sz w:val="22"/>
        </w:rPr>
        <w:t>is not then satisfied, and in each such case directing the L/C Issuer not to permit such extension.</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(iv)If the Borrower so requests in any applicable Letter of Credit Application, the L/C Issuer may, in its sole discretion, agree to issue a Letter of Credit that permits the automatic reinstatement of all or a portion of the stated amount thereof after any drawing thereunder (each, an “</w:t>
      </w:r>
      <w:r>
        <w:rPr>
          <w:rFonts w:ascii="Times New Roman;Times;serif" w:hAnsi="Times New Roman;Times;serif"/>
          <w:sz w:val="22"/>
          <w:u w:val="single"/>
        </w:rPr>
        <w:t>Auto-Reinstatement Letter of Credit</w:t>
      </w:r>
      <w:r>
        <w:rPr>
          <w:rFonts w:ascii="Times New Roman;Times;serif" w:hAnsi="Times New Roman;Times;serif"/>
          <w:sz w:val="20"/>
        </w:rPr>
        <w:t>”</w:t>
      </w:r>
      <w:r>
        <w:rPr>
          <w:rFonts w:ascii="Times New Roman;Times;serif" w:hAnsi="Times New Roman;Times;serif"/>
          <w:sz w:val="22"/>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Times New Roman;Times;serif" w:hAnsi="Times New Roman;Times;serif"/>
          <w:sz w:val="22"/>
          <w:u w:val="single"/>
        </w:rPr>
        <w:t>Non-Reinstatement Deadline</w:t>
      </w:r>
      <w:r>
        <w:rPr>
          <w:rFonts w:ascii="Times New Roman;Times;serif" w:hAnsi="Times New Roman;Times;serif"/>
          <w:sz w:val="20"/>
        </w:rPr>
        <w:t>”</w:t>
      </w:r>
      <w:r>
        <w:rPr>
          <w:rFonts w:ascii="Times New Roman;Times;serif" w:hAnsi="Times New Roman;Times;serif"/>
          <w:sz w:val="22"/>
        </w:rPr>
        <w:t xml:space="preserve">), the L/C Issuer shall not permit such reinstatement if it has received a notice (which may be by telephone or in writing) on or before the day that is seven Business Days before the Non-Reinstatement Deadline (A) from the Agent that the Required Lenders have elected not to permit such reinstatement or (B) from the Agent, any Lender or the Borrower that one or more of the applicable conditions specified in </w:t>
      </w:r>
      <w:r>
        <w:rPr>
          <w:rFonts w:ascii="Times New Roman;Times;serif" w:hAnsi="Times New Roman;Times;serif"/>
          <w:sz w:val="22"/>
          <w:u w:val="single"/>
        </w:rPr>
        <w:t>Section 4.02</w:t>
      </w:r>
      <w:r>
        <w:rPr>
          <w:rFonts w:ascii="Times New Roman;Times;serif" w:hAnsi="Times New Roman;Times;serif"/>
          <w:sz w:val="20"/>
        </w:rPr>
        <w:t xml:space="preserve"> </w:t>
      </w:r>
      <w:r>
        <w:rPr>
          <w:rFonts w:ascii="Times New Roman;Times;serif" w:hAnsi="Times New Roman;Times;serif"/>
          <w:sz w:val="22"/>
        </w:rPr>
        <w:t>is not then satisfied (treating such reinstatement as an L/C Credit Extension for purposes of this clause) and, in each case, directing the L/C Issuer not to permit such reinstatement.</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(v)Promptly after its delivery of any Letter of Credit or any amendment to a Letter of Credit to an advising bank with respect thereto or to the beneficiary thereof, the L/C Issuer will also deliver to the Borrower and the Agent a true and complete copy of such Letter of Credit or amendment and any other Issuer Documents related thereto.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Drawings and Reimbursements; Funding of Participations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30</w:t>
      </w:r>
    </w:p>
    <w:p>
      <w:pPr>
        <w:pStyle w:val="HorizontalLine"/>
        <w:pBdr>
          <w:bottom w:val="double" w:sz="2" w:space="0" w:color="808080"/>
        </w:pBdr>
        <w:bidi w:val="0"/>
        <w:spacing w:before="0" w:after="283"/>
        <w:jc w:val="left"/>
        <w:rPr/>
      </w:pPr>
      <w:r>
        <w:rPr/>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(i)Upon receipt from the beneficiary of any Letter of Credit of any notice of a drawing under such Letter of Credit, the L/C Issuer shall notify the Borrower and the Agent thereof.  Not later than 11:00 a.m. on the date of any payment by the L/C Issuer under a Letter of Credit (each such date, an “</w:t>
      </w:r>
      <w:r>
        <w:rPr>
          <w:rFonts w:ascii="Times New Roman;Times;serif" w:hAnsi="Times New Roman;Times;serif"/>
          <w:sz w:val="22"/>
          <w:u w:val="single"/>
        </w:rPr>
        <w:t>Honor Date</w:t>
      </w:r>
      <w:r>
        <w:rPr>
          <w:rFonts w:ascii="Times New Roman;Times;serif" w:hAnsi="Times New Roman;Times;serif"/>
          <w:sz w:val="20"/>
        </w:rPr>
        <w:t>”</w:t>
      </w:r>
      <w:r>
        <w:rPr>
          <w:rFonts w:ascii="Times New Roman;Times;serif" w:hAnsi="Times New Roman;Times;serif"/>
          <w:sz w:val="22"/>
        </w:rPr>
        <w:t xml:space="preserve">), the Borrower shall reimburse the L/C Issuer through the Agent in an amount equal to the amount of such drawing;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Borrower has received notice of such payment by 9:00 a.m. on such Honor Date, otherwise the Borrower shall make such payment not later than 11:00 a.m. on the following Business Day (together with interest thereon).  If the Borrower fails to so reimburse the L/C Issuer by such time, the Agent shall promptly notify each Lender of the Honor Date, the amount of the unreimbursed drawing (the “</w:t>
      </w:r>
      <w:r>
        <w:rPr>
          <w:rFonts w:ascii="Times New Roman;Times;serif" w:hAnsi="Times New Roman;Times;serif"/>
          <w:sz w:val="22"/>
          <w:u w:val="single"/>
        </w:rPr>
        <w:t>Unreimbursed Amount</w:t>
      </w:r>
      <w:r>
        <w:rPr>
          <w:rFonts w:ascii="Times New Roman;Times;serif" w:hAnsi="Times New Roman;Times;serif"/>
          <w:sz w:val="20"/>
        </w:rPr>
        <w:t>”</w:t>
      </w:r>
      <w:r>
        <w:rPr>
          <w:rFonts w:ascii="Times New Roman;Times;serif" w:hAnsi="Times New Roman;Times;serif"/>
          <w:sz w:val="22"/>
        </w:rPr>
        <w:t xml:space="preserve">), and the amount of such Lender’s Applicable Percentage thereof.  In such event, and in lieu of the obligation of the Borrower to reimburse the L/C Issuer as provided in the two immediately preceding sentences, the Borrower shall be deemed to have requested a Committed Borrowing of Base Rate Loans to be disbursed on the Honor Date in an amount equal to the Unreimbursed Amount, without regard to the minimum and multiples specified in </w:t>
      </w:r>
      <w:r>
        <w:rPr>
          <w:rFonts w:ascii="Times New Roman;Times;serif" w:hAnsi="Times New Roman;Times;serif"/>
          <w:sz w:val="22"/>
          <w:u w:val="single"/>
        </w:rPr>
        <w:t>Section 2.02</w:t>
      </w:r>
      <w:r>
        <w:rPr>
          <w:rFonts w:ascii="Times New Roman;Times;serif" w:hAnsi="Times New Roman;Times;serif"/>
          <w:sz w:val="20"/>
        </w:rPr>
        <w:t xml:space="preserve"> </w:t>
      </w:r>
      <w:r>
        <w:rPr>
          <w:rFonts w:ascii="Times New Roman;Times;serif" w:hAnsi="Times New Roman;Times;serif"/>
          <w:sz w:val="22"/>
        </w:rPr>
        <w:t xml:space="preserve">for the principal amount of Base Rate Loans, but subject to the amount of the unutilized portion of the Aggregate Commitments and the conditions set forth in </w:t>
      </w:r>
      <w:r>
        <w:rPr>
          <w:rFonts w:ascii="Times New Roman;Times;serif" w:hAnsi="Times New Roman;Times;serif"/>
          <w:sz w:val="22"/>
          <w:u w:val="single"/>
        </w:rPr>
        <w:t>Section 4.02</w:t>
      </w:r>
      <w:r>
        <w:rPr>
          <w:rFonts w:ascii="Times New Roman;Times;serif" w:hAnsi="Times New Roman;Times;serif"/>
          <w:sz w:val="20"/>
        </w:rPr>
        <w:t xml:space="preserve"> </w:t>
      </w:r>
      <w:r>
        <w:rPr>
          <w:rFonts w:ascii="Times New Roman;Times;serif" w:hAnsi="Times New Roman;Times;serif"/>
          <w:sz w:val="22"/>
        </w:rPr>
        <w:t xml:space="preserve">(other than the delivery of a Committed Loan Notice).  Any notice given by the L/C Issuer or the Agent pursuant to this </w:t>
      </w:r>
      <w:r>
        <w:rPr>
          <w:rFonts w:ascii="Times New Roman;Times;serif" w:hAnsi="Times New Roman;Times;serif"/>
          <w:sz w:val="22"/>
          <w:u w:val="single"/>
        </w:rPr>
        <w:t>Section 2.03(c)(i)</w:t>
      </w:r>
      <w:r>
        <w:rPr>
          <w:rFonts w:ascii="Times New Roman;Times;serif" w:hAnsi="Times New Roman;Times;serif"/>
          <w:sz w:val="20"/>
        </w:rPr>
        <w:t xml:space="preserve"> </w:t>
      </w:r>
      <w:r>
        <w:rPr>
          <w:rFonts w:ascii="Times New Roman;Times;serif" w:hAnsi="Times New Roman;Times;serif"/>
          <w:sz w:val="22"/>
        </w:rPr>
        <w:t xml:space="preserve">may be given by telephone if immediately confirmed in writing;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lack of such an immediate confirmation shall not affect the conclusiveness or binding effect of such notice.</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(ii)Each Lender shall upon any notice pursuant to </w:t>
      </w:r>
      <w:r>
        <w:rPr>
          <w:rFonts w:ascii="Times New Roman;Times;serif" w:hAnsi="Times New Roman;Times;serif"/>
          <w:sz w:val="22"/>
          <w:u w:val="single"/>
        </w:rPr>
        <w:t>Section 2.03(c)(i)</w:t>
      </w:r>
      <w:r>
        <w:rPr>
          <w:rFonts w:ascii="Times New Roman;Times;serif" w:hAnsi="Times New Roman;Times;serif"/>
          <w:sz w:val="20"/>
        </w:rPr>
        <w:t xml:space="preserve"> </w:t>
      </w:r>
      <w:r>
        <w:rPr>
          <w:rFonts w:ascii="Times New Roman;Times;serif" w:hAnsi="Times New Roman;Times;serif"/>
          <w:sz w:val="22"/>
        </w:rPr>
        <w:t xml:space="preserve">make funds available (and the Agent may apply Cash Collateral provided for this purpose) for the account of the L/C Issuer at the Agent’s Office in an amount equal to its Applicable Percentage of the Unreimbursed Amount not later than 1:00 p.m. on the Business Day specified in such notice by the Agent, whereupon, subject to the provisions of </w:t>
      </w:r>
      <w:r>
        <w:rPr>
          <w:rFonts w:ascii="Times New Roman;Times;serif" w:hAnsi="Times New Roman;Times;serif"/>
          <w:sz w:val="22"/>
          <w:u w:val="single"/>
        </w:rPr>
        <w:t>Section 2.03(c)(iii)</w:t>
      </w:r>
      <w:r>
        <w:rPr>
          <w:rFonts w:ascii="Times New Roman;Times;serif" w:hAnsi="Times New Roman;Times;serif"/>
          <w:sz w:val="22"/>
        </w:rPr>
        <w:t>, each Lender that so makes funds available shall be deemed to have made a Base Rate Loan to the Borrower in such amount.  The Agent shall remit the funds so received to the L/C Issuer.</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(iii)With respect to any Unreimbursed Amount that is not fully refinanced by a Committed Borrowing of Base Rate Loans because the conditions set forth in </w:t>
      </w:r>
      <w:r>
        <w:rPr>
          <w:rFonts w:ascii="Times New Roman;Times;serif" w:hAnsi="Times New Roman;Times;serif"/>
          <w:sz w:val="22"/>
          <w:u w:val="single"/>
        </w:rPr>
        <w:t>Section 4.02</w:t>
      </w:r>
      <w:r>
        <w:rPr>
          <w:rFonts w:ascii="Times New Roman;Times;serif" w:hAnsi="Times New Roman;Times;serif"/>
          <w:sz w:val="20"/>
        </w:rPr>
        <w:t xml:space="preserve"> </w:t>
      </w:r>
      <w:r>
        <w:rPr>
          <w:rFonts w:ascii="Times New Roman;Times;serif" w:hAnsi="Times New Roman;Times;serif"/>
          <w:sz w:val="22"/>
        </w:rPr>
        <w:t xml:space="preserve">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Agent for the account of the L/C Issuer pursuant to </w:t>
      </w:r>
      <w:r>
        <w:rPr>
          <w:rFonts w:ascii="Times New Roman;Times;serif" w:hAnsi="Times New Roman;Times;serif"/>
          <w:sz w:val="22"/>
          <w:u w:val="single"/>
        </w:rPr>
        <w:t>Section 2.03(c)(ii)</w:t>
      </w:r>
      <w:r>
        <w:rPr>
          <w:rFonts w:ascii="Times New Roman;Times;serif" w:hAnsi="Times New Roman;Times;serif"/>
          <w:sz w:val="20"/>
        </w:rPr>
        <w:t xml:space="preserve"> </w:t>
      </w:r>
      <w:r>
        <w:rPr>
          <w:rFonts w:ascii="Times New Roman;Times;serif" w:hAnsi="Times New Roman;Times;serif"/>
          <w:sz w:val="22"/>
        </w:rPr>
        <w:t xml:space="preserve">shall be deemed payment in respect of its participation in such L/C Borrowing and shall constitute an L/C Advance from such Lender in satisfaction of its participation obligation under this </w:t>
      </w:r>
      <w:r>
        <w:rPr>
          <w:rFonts w:ascii="Times New Roman;Times;serif" w:hAnsi="Times New Roman;Times;serif"/>
          <w:sz w:val="22"/>
          <w:u w:val="single"/>
        </w:rPr>
        <w:t>Section 2.03</w:t>
      </w:r>
      <w:r>
        <w:rPr>
          <w:rFonts w:ascii="Times New Roman;Times;serif" w:hAnsi="Times New Roman;Times;serif"/>
          <w:sz w:val="22"/>
        </w:rPr>
        <w:t>.</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(iv)Until each Lender funds its Committed Loan or its L/C Advance pursuant to this </w:t>
      </w:r>
      <w:r>
        <w:rPr>
          <w:rFonts w:ascii="Times New Roman;Times;serif" w:hAnsi="Times New Roman;Times;serif"/>
          <w:sz w:val="22"/>
          <w:u w:val="single"/>
        </w:rPr>
        <w:t>Section 2.03(c)</w:t>
      </w:r>
      <w:r>
        <w:rPr>
          <w:rFonts w:ascii="Times New Roman;Times;serif" w:hAnsi="Times New Roman;Times;serif"/>
          <w:sz w:val="20"/>
        </w:rPr>
        <w:t xml:space="preserve"> </w:t>
      </w:r>
      <w:r>
        <w:rPr>
          <w:rFonts w:ascii="Times New Roman;Times;serif" w:hAnsi="Times New Roman;Times;serif"/>
          <w:sz w:val="22"/>
        </w:rPr>
        <w:t>to reimburse the L/C Issuer for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31</w:t>
      </w:r>
    </w:p>
    <w:p>
      <w:pPr>
        <w:pStyle w:val="HorizontalLine"/>
        <w:pBdr>
          <w:bottom w:val="double" w:sz="2" w:space="0" w:color="808080"/>
        </w:pBdr>
        <w:bidi w:val="0"/>
        <w:spacing w:before="0" w:after="283"/>
        <w:jc w:val="left"/>
        <w:rPr/>
      </w:pPr>
      <w:r>
        <w:rPr/>
      </w:r>
    </w:p>
    <w:p>
      <w:pPr>
        <w:pStyle w:val="TextBody"/>
        <w:bidi w:val="0"/>
        <w:spacing w:before="0" w:after="240"/>
        <w:ind w:left="2556" w:right="0" w:hanging="0"/>
        <w:jc w:val="both"/>
        <w:rPr>
          <w:rFonts w:ascii="Times New Roman;Times;serif" w:hAnsi="Times New Roman;Times;serif"/>
          <w:sz w:val="22"/>
        </w:rPr>
      </w:pPr>
      <w:r>
        <w:rPr>
          <w:rFonts w:ascii="Times New Roman;Times;serif" w:hAnsi="Times New Roman;Times;serif"/>
          <w:sz w:val="22"/>
        </w:rPr>
        <w:t>amount drawn under any Letter of Credit, interest in respect of such Lender’s Applicable Percentage of such amount shall be solely for the account of the L/C Issuer.</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(v)Each Lender’s obligation to make Committed Loans or L/C Advances to reimburse the L/C Issuer for amounts drawn under Letters of Credit, as contemplated by this </w:t>
      </w:r>
      <w:r>
        <w:rPr>
          <w:rFonts w:ascii="Times New Roman;Times;serif" w:hAnsi="Times New Roman;Times;serif"/>
          <w:sz w:val="22"/>
          <w:u w:val="single"/>
        </w:rPr>
        <w:t>Section 2.03(c)</w:t>
      </w:r>
      <w:r>
        <w:rPr>
          <w:rFonts w:ascii="Times New Roman;Times;serif" w:hAnsi="Times New Roman;Times;serif"/>
          <w:sz w:val="22"/>
        </w:rPr>
        <w:t xml:space="preserve">, shall be absolute and unconditional and shall not be affected by any circumstance, including (A) any setoff, counterclaim, recoupment, defense or other right which such Lender may have against the L/C Issuer, the Borrower or any other Person for any reason whatsoever; (B) the occurrence or continuance of a Default, or (C) any other occurrence, event or condition, whether or not similar to any of the foregoing;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each Lender’s obligation to make Committed Loans pursuant to this </w:t>
      </w:r>
      <w:r>
        <w:rPr>
          <w:rFonts w:ascii="Times New Roman;Times;serif" w:hAnsi="Times New Roman;Times;serif"/>
          <w:sz w:val="22"/>
          <w:u w:val="single"/>
        </w:rPr>
        <w:t>Section 2.03(c)</w:t>
      </w:r>
      <w:r>
        <w:rPr>
          <w:rFonts w:ascii="Times New Roman;Times;serif" w:hAnsi="Times New Roman;Times;serif"/>
          <w:sz w:val="20"/>
        </w:rPr>
        <w:t xml:space="preserve"> </w:t>
      </w:r>
      <w:r>
        <w:rPr>
          <w:rFonts w:ascii="Times New Roman;Times;serif" w:hAnsi="Times New Roman;Times;serif"/>
          <w:sz w:val="22"/>
        </w:rPr>
        <w:t xml:space="preserve">is subject to the conditions set forth in </w:t>
      </w:r>
      <w:r>
        <w:rPr>
          <w:rFonts w:ascii="Times New Roman;Times;serif" w:hAnsi="Times New Roman;Times;serif"/>
          <w:sz w:val="22"/>
          <w:u w:val="single"/>
        </w:rPr>
        <w:t>Section 4.02</w:t>
      </w:r>
      <w:r>
        <w:rPr>
          <w:rFonts w:ascii="Times New Roman;Times;serif" w:hAnsi="Times New Roman;Times;serif"/>
          <w:sz w:val="20"/>
        </w:rPr>
        <w:t xml:space="preserve"> </w:t>
      </w:r>
      <w:r>
        <w:rPr>
          <w:rFonts w:ascii="Times New Roman;Times;serif" w:hAnsi="Times New Roman;Times;serif"/>
          <w:sz w:val="22"/>
        </w:rPr>
        <w:t>(other than delivery by the Borrower of a Committed Loan Notice).  No such making of an L/C Advance shall relieve or otherwise impair the obligation of the Borrower to reimburse the L/C Issuer for the amount of any payment made by the L/C Issuer under any Letter of Credit, together with interest as provided herein.</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(vi)If any Lender fails to make available to the Agent for the account of the L/C Issuer any amount required to be paid by such Lender pursuant to the foregoing provisions of this </w:t>
      </w:r>
      <w:r>
        <w:rPr>
          <w:rFonts w:ascii="Times New Roman;Times;serif" w:hAnsi="Times New Roman;Times;serif"/>
          <w:sz w:val="22"/>
          <w:u w:val="single"/>
        </w:rPr>
        <w:t>Section 2.03(c)</w:t>
      </w:r>
      <w:r>
        <w:rPr>
          <w:rFonts w:ascii="Times New Roman;Times;serif" w:hAnsi="Times New Roman;Times;serif"/>
          <w:sz w:val="20"/>
        </w:rPr>
        <w:t xml:space="preserve"> </w:t>
      </w:r>
      <w:r>
        <w:rPr>
          <w:rFonts w:ascii="Times New Roman;Times;serif" w:hAnsi="Times New Roman;Times;serif"/>
          <w:sz w:val="22"/>
        </w:rPr>
        <w:t xml:space="preserve">by the time specified in </w:t>
      </w:r>
      <w:r>
        <w:rPr>
          <w:rFonts w:ascii="Times New Roman;Times;serif" w:hAnsi="Times New Roman;Times;serif"/>
          <w:sz w:val="22"/>
          <w:u w:val="single"/>
        </w:rPr>
        <w:t>Section 2.03(c)(ii)</w:t>
      </w:r>
      <w:r>
        <w:rPr>
          <w:rFonts w:ascii="Times New Roman;Times;serif" w:hAnsi="Times New Roman;Times;serif"/>
          <w:sz w:val="22"/>
        </w:rPr>
        <w:t>, then, without limiting the other provisions of this Agreement, the L/C Issuer shall be entitled to recover from such Lender (acting through the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L/C Issuer submitted to any Lender (through the Agent) with respect to any amounts owing under this clause (vi) shall be conclusive absent manifest error.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Repayment of Participations by the Lenders</w:t>
      </w:r>
      <w:r>
        <w:rPr>
          <w:rFonts w:ascii="Times New Roman;Times;serif" w:hAnsi="Times New Roman;Times;serif"/>
          <w:sz w:val="22"/>
        </w:rPr>
        <w:t>.</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(i)At any time after the L/C Issuer has made a payment under any Letter of Credit and has received from any Lender such Lender’s L/C Advance in respect of such payment in accordance with </w:t>
      </w:r>
      <w:r>
        <w:rPr>
          <w:rFonts w:ascii="Times New Roman;Times;serif" w:hAnsi="Times New Roman;Times;serif"/>
          <w:sz w:val="22"/>
          <w:u w:val="single"/>
        </w:rPr>
        <w:t>Section 2.03(c)</w:t>
      </w:r>
      <w:r>
        <w:rPr>
          <w:rFonts w:ascii="Times New Roman;Times;serif" w:hAnsi="Times New Roman;Times;serif"/>
          <w:sz w:val="22"/>
        </w:rPr>
        <w:t>, if the Agent receives for the account of the L/C Issuer any payment in respect of the related Unreimbursed Amount or interest thereon (whether directly from the Borrower or otherwise, including proceeds of Cash Collateral applied thereto by the Agent), the Agent will distribute to such Lender its Applicable Percentage thereof in the same funds as those received by the Agent.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32</w:t>
      </w:r>
    </w:p>
    <w:p>
      <w:pPr>
        <w:pStyle w:val="HorizontalLine"/>
        <w:pBdr>
          <w:bottom w:val="double" w:sz="2" w:space="0" w:color="808080"/>
        </w:pBdr>
        <w:bidi w:val="0"/>
        <w:spacing w:before="0" w:after="283"/>
        <w:jc w:val="left"/>
        <w:rPr/>
      </w:pPr>
      <w:r>
        <w:rPr/>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(ii)If any payment received by the Agent for the account of the L/C Issuer pursuant to </w:t>
      </w:r>
      <w:r>
        <w:rPr>
          <w:rFonts w:ascii="Times New Roman;Times;serif" w:hAnsi="Times New Roman;Times;serif"/>
          <w:sz w:val="22"/>
          <w:u w:val="single"/>
        </w:rPr>
        <w:t>Section 2.03(c)(i)</w:t>
      </w:r>
      <w:r>
        <w:rPr>
          <w:rFonts w:ascii="Times New Roman;Times;serif" w:hAnsi="Times New Roman;Times;serif"/>
          <w:sz w:val="20"/>
        </w:rPr>
        <w:t xml:space="preserve"> </w:t>
      </w:r>
      <w:r>
        <w:rPr>
          <w:rFonts w:ascii="Times New Roman;Times;serif" w:hAnsi="Times New Roman;Times;serif"/>
          <w:sz w:val="22"/>
        </w:rPr>
        <w:t xml:space="preserve">is required to be returned under any of the circumstances described in </w:t>
      </w:r>
      <w:r>
        <w:rPr>
          <w:rFonts w:ascii="Times New Roman;Times;serif" w:hAnsi="Times New Roman;Times;serif"/>
          <w:sz w:val="22"/>
          <w:u w:val="single"/>
        </w:rPr>
        <w:t>Section 10.05</w:t>
      </w:r>
      <w:r>
        <w:rPr>
          <w:rFonts w:ascii="Times New Roman;Times;serif" w:hAnsi="Times New Roman;Times;serif"/>
          <w:sz w:val="20"/>
        </w:rPr>
        <w:t xml:space="preserve"> </w:t>
      </w:r>
      <w:r>
        <w:rPr>
          <w:rFonts w:ascii="Times New Roman;Times;serif" w:hAnsi="Times New Roman;Times;serif"/>
          <w:sz w:val="22"/>
        </w:rPr>
        <w:t>(including pursuant to any settlement entered into by the L/C Issuer in its discretion), each Lender shall pay to the Agent for the account of the L/C Issuer its Applicable Percentage thereof on demand of the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Obligations Absolute</w:t>
      </w:r>
      <w:r>
        <w:rPr>
          <w:rFonts w:ascii="Times New Roman;Times;serif" w:hAnsi="Times New Roman;Times;serif"/>
          <w:sz w:val="22"/>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(i)any lack of validity or enforceability of such Letter of Credit, this Agreement, or any other Loan Document;</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(ii)the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(iii)any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(iv)waiver by the L/C Issuer of any requirement that exists for the L/C Issuer’s protection and not the protection of the Borrower or any waiver by the L/C Issuer which does not in fact materially prejudice the Borrower;</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(v)honor of a demand for payment presented electronically even if such Letter of Credit requires that demand be in the form of a draft;</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(vi)any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(vii)any payment by the L/C Issuer under such Letter of Credit against presentation of a draft or certificate that does not strictly comply with the terms of such Letter of Credit; or any payment made by the L/C Issuer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33</w:t>
      </w:r>
    </w:p>
    <w:p>
      <w:pPr>
        <w:pStyle w:val="HorizontalLine"/>
        <w:pBdr>
          <w:bottom w:val="double" w:sz="2" w:space="0" w:color="808080"/>
        </w:pBdr>
        <w:bidi w:val="0"/>
        <w:spacing w:before="0" w:after="283"/>
        <w:jc w:val="left"/>
        <w:rPr/>
      </w:pPr>
      <w:r>
        <w:rPr/>
      </w:r>
    </w:p>
    <w:p>
      <w:pPr>
        <w:pStyle w:val="TextBody"/>
        <w:bidi w:val="0"/>
        <w:spacing w:before="0" w:after="240"/>
        <w:ind w:left="2556" w:right="0" w:hanging="0"/>
        <w:jc w:val="both"/>
        <w:rPr>
          <w:rFonts w:ascii="Times New Roman;Times;serif" w:hAnsi="Times New Roman;Times;serif"/>
          <w:sz w:val="22"/>
        </w:rPr>
      </w:pPr>
      <w:r>
        <w:rPr>
          <w:rFonts w:ascii="Times New Roman;Times;serif" w:hAnsi="Times New Roman;Times;serif"/>
          <w:sz w:val="22"/>
        </w:rPr>
        <w:t>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(viii)any other circumstance or happening whatsoever, whether or not similar to any of the foregoing, including any other circumstance that might otherwise constitute a defense available to, or a discharge of, the Borrower or any Subsidiary.</w:t>
      </w:r>
    </w:p>
    <w:p>
      <w:pPr>
        <w:pStyle w:val="TextBody"/>
        <w:bidi w:val="0"/>
        <w:spacing w:before="0" w:after="240"/>
        <w:ind w:left="720" w:right="0" w:firstLine="720"/>
        <w:jc w:val="both"/>
        <w:rPr>
          <w:rFonts w:ascii="Times New Roman;Times;serif" w:hAnsi="Times New Roman;Times;serif"/>
          <w:sz w:val="22"/>
        </w:rPr>
      </w:pPr>
      <w:r>
        <w:rPr>
          <w:rFonts w:ascii="Times New Roman;Times;serif" w:hAnsi="Times New Roman;Times;serif"/>
          <w:sz w:val="22"/>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Role of L/C Issuer</w:t>
      </w:r>
      <w:r>
        <w:rPr>
          <w:rFonts w:ascii="Times New Roman;Times;serif" w:hAnsi="Times New Roman;Times;serif"/>
          <w:sz w:val="22"/>
        </w:rPr>
        <w:t xml:space="preserve">.  Each Lender and the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this assumption is not intended to, and shall not, preclude the Borrower’s pursuing such rights and remedies as it may have against the beneficiary or transferee at law or under any other agreement.  None of the L/C Issuer, the Agent, any of their respective Related Parties nor any correspondent, participant or assignee of the L/C Issuer shall be liable or responsible for any of the matters described in clauses (i) through (viii) of </w:t>
      </w:r>
      <w:r>
        <w:rPr>
          <w:rFonts w:ascii="Times New Roman;Times;serif" w:hAnsi="Times New Roman;Times;serif"/>
          <w:sz w:val="22"/>
          <w:u w:val="single"/>
        </w:rPr>
        <w:t>Section 2.03(e)</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anything in such clauses to the contrary notwithstanding, the Borrower and any applicable Subsidiary of the Borrower may have a claim against the L/C Issuer, and the L/C Issuer may be liable to the Borrower and any applicable Subsidiary of the Borrower, to the extent, but only to the extent, of any direct, as opposed to consequential or exemplary, damages suffered by the Borrower or such Subsidiary which the Borrower or such Subsidiary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Times New Roman;Times;serif" w:hAnsi="Times New Roman;Times;serif"/>
          <w:sz w:val="22"/>
          <w:u w:val="single"/>
        </w:rPr>
        <w:t>SWIFT</w:t>
      </w:r>
      <w:r>
        <w:rPr>
          <w:rFonts w:ascii="Times New Roman;Times;serif" w:hAnsi="Times New Roman;Times;serif"/>
          <w:sz w:val="20"/>
        </w:rPr>
        <w:t>”</w:t>
      </w:r>
      <w:r>
        <w:rPr>
          <w:rFonts w:ascii="Times New Roman;Times;serif" w:hAnsi="Times New Roman;Times;serif"/>
          <w:sz w:val="22"/>
        </w:rPr>
        <w:t>) message or overnight courier, or any other commercially reasonable means of communicating with a beneficiary.  The L/C Issuer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shall provide to the Agent a list of outstanding Letters of Credit (together with type, amounts and denominated currency) issued by it on a monthly basis.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u w:val="single"/>
        </w:rPr>
        <w:t>Letters of Credit Issued for Subsidiaries</w:t>
      </w:r>
      <w:r>
        <w:rPr>
          <w:rFonts w:ascii="Times New Roman;Times;serif" w:hAnsi="Times New Roman;Times;serif"/>
          <w:sz w:val="22"/>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u w:val="single"/>
        </w:rPr>
        <w:t>Applicability of ISP and UCP</w:t>
      </w:r>
      <w:r>
        <w:rPr>
          <w:rFonts w:ascii="Times New Roman;Times;serif" w:hAnsi="Times New Roman;Times;serif"/>
          <w:sz w:val="22"/>
        </w:rPr>
        <w:t>.  Unless otherwise expressly agreed by the L/C Issuer and the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under any law or practice that is required to be applied to any Letter of Credit, including the law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u w:val="single"/>
        </w:rPr>
        <w:t>Letter of Credit Fees</w:t>
      </w:r>
      <w:r>
        <w:rPr>
          <w:rFonts w:ascii="Times New Roman;Times;serif" w:hAnsi="Times New Roman;Times;serif"/>
          <w:sz w:val="22"/>
        </w:rPr>
        <w:t xml:space="preserve">.  The Borrower shall pay to the Agent for the account of each Lender in accordance, subject to </w:t>
      </w:r>
      <w:r>
        <w:rPr>
          <w:rFonts w:ascii="Times New Roman;Times;serif" w:hAnsi="Times New Roman;Times;serif"/>
          <w:sz w:val="22"/>
          <w:u w:val="single"/>
        </w:rPr>
        <w:t>Section 2.16</w:t>
      </w:r>
      <w:r>
        <w:rPr>
          <w:rFonts w:ascii="Times New Roman;Times;serif" w:hAnsi="Times New Roman;Times;serif"/>
          <w:sz w:val="22"/>
        </w:rPr>
        <w:t>, with its Applicable Percentage a Letter of Credit fee (the “</w:t>
      </w:r>
      <w:r>
        <w:rPr>
          <w:rFonts w:ascii="Times New Roman;Times;serif" w:hAnsi="Times New Roman;Times;serif"/>
          <w:sz w:val="22"/>
          <w:u w:val="single"/>
        </w:rPr>
        <w:t>Letter of Credit Fee</w:t>
      </w:r>
      <w:r>
        <w:rPr>
          <w:rFonts w:ascii="Times New Roman;Times;serif" w:hAnsi="Times New Roman;Times;serif"/>
          <w:sz w:val="20"/>
        </w:rPr>
        <w:t>”</w:t>
      </w:r>
      <w:r>
        <w:rPr>
          <w:rFonts w:ascii="Times New Roman;Times;serif" w:hAnsi="Times New Roman;Times;serif"/>
          <w:sz w:val="22"/>
        </w:rPr>
        <w:t xml:space="preserve">) for each Letter of Credit equal to the Applicable Rate </w:t>
      </w:r>
      <w:r>
        <w:rPr>
          <w:rFonts w:ascii="Times New Roman;Times;serif" w:hAnsi="Times New Roman;Times;serif"/>
          <w:sz w:val="22"/>
          <w:u w:val="single"/>
        </w:rPr>
        <w:t>times</w:t>
      </w:r>
      <w:r>
        <w:rPr>
          <w:rFonts w:ascii="Times New Roman;Times;serif" w:hAnsi="Times New Roman;Times;serif"/>
          <w:sz w:val="20"/>
        </w:rPr>
        <w:t xml:space="preserve"> </w:t>
      </w:r>
      <w:r>
        <w:rPr>
          <w:rFonts w:ascii="Times New Roman;Times;serif" w:hAnsi="Times New Roman;Times;serif"/>
          <w:sz w:val="22"/>
        </w:rPr>
        <w:t>the daily amount available to be drawn under such Letter of Credit.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(ii) computed on a quarterly basis in arrears and (iii) computed for the actual number of days that such Letters of Credit are outstanding during the applicable quarter.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(j)</w:t>
      </w:r>
      <w:r>
        <w:rPr>
          <w:rFonts w:ascii="Times New Roman;Times;serif" w:hAnsi="Times New Roman;Times;serif"/>
          <w:sz w:val="22"/>
          <w:u w:val="single"/>
        </w:rPr>
        <w:t>Fronting Fee and Documentary and Processing Charges Payable to L/C Issuer</w:t>
      </w:r>
      <w:r>
        <w:rPr>
          <w:rFonts w:ascii="Times New Roman;Times;serif" w:hAnsi="Times New Roman;Times;serif"/>
          <w:sz w:val="22"/>
        </w:rPr>
        <w:t>.  The Borrower shall pay directly to the L/C Issuer for its own account a fronting fee with respect to each issuance or amendment of a Letter of Credit, at a rate and at the times separately agreed between the Borrower and the L/C Issuer.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(k)</w:t>
      </w:r>
      <w:r>
        <w:rPr>
          <w:rFonts w:ascii="Times New Roman;Times;serif" w:hAnsi="Times New Roman;Times;serif"/>
          <w:sz w:val="22"/>
          <w:u w:val="single"/>
        </w:rPr>
        <w:t>Conflict with Issuer Documents</w:t>
      </w:r>
      <w:r>
        <w:rPr>
          <w:rFonts w:ascii="Times New Roman;Times;serif" w:hAnsi="Times New Roman;Times;serif"/>
          <w:sz w:val="22"/>
        </w:rPr>
        <w:t>.  In the event of any conflict between the terms hereof and the terms of any Issuer Document, the terms hereof shall control.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(l)</w:t>
      </w:r>
      <w:r>
        <w:rPr>
          <w:rFonts w:ascii="Times New Roman;Times;serif" w:hAnsi="Times New Roman;Times;serif"/>
          <w:sz w:val="22"/>
          <w:u w:val="single"/>
        </w:rPr>
        <w:t>Additional L/C Issuers</w:t>
      </w:r>
      <w:r>
        <w:rPr>
          <w:rFonts w:ascii="Times New Roman;Times;serif" w:hAnsi="Times New Roman;Times;serif"/>
          <w:sz w:val="22"/>
        </w:rPr>
        <w:t>.  The Borrower may from time to time, upon not less than five (5) Business Days’ notice from the Borrower to the Agent (or such shorter period of time as may be agreed by the Agent in its sole discretion), designate a Lender hereunder as an L/C Issuer (upon obtaining such Lender’s prior consent thereto).  The Agent will promptly notify the Lenders of any designation of any such additional L/C Issuers by the Borrower.  Upon (i) notification to the Lenders of any additional L/C Issuer by the Agent and (ii) delivery by the Borrower of such contact and other information regarding such L/C Issuer as the Agent shall reasonably request, such Lender shall become an L/C Issuer for all purposes of this Agreement, and references to “L/C Issuer” shall mean and include such Lender in its capacity as an L/C Issuer.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(m)</w:t>
      </w:r>
      <w:r>
        <w:rPr>
          <w:rFonts w:ascii="Times New Roman;Times;serif" w:hAnsi="Times New Roman;Times;serif"/>
          <w:sz w:val="22"/>
          <w:u w:val="single"/>
        </w:rPr>
        <w:t>L/C Issuer Reports to the Agent</w:t>
      </w:r>
      <w:r>
        <w:rPr>
          <w:rFonts w:ascii="Times New Roman;Times;serif" w:hAnsi="Times New Roman;Times;serif"/>
          <w:sz w:val="22"/>
        </w:rPr>
        <w:t>.  Unless otherwise agreed by the Agent, each L/C Issuer shall, in addition to its notification obligations set forth elsewhere in this Section, provide the Agent, the following:</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(ii)on each Business Day on which such L/C Issuer makes a payment pursuant to a Letter of Credit, the date and amount of such payment;</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(iii)on any Business Day on which the Borrower fails to reimburse a payment made pursuant to a Letter of Credit required to be reimbursed to such L/C Issuer on such day, the date of such failure and the amount of such payment;</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(iv)on any other Business Day, such other information as the Agent shall reasonably request as to the Letters of Credit issued by such L/C Issuer; and</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(v)for so long as any Letter of Credit issued by an L/C Issuer is outstanding, such L/C Issuer shall deliver to the Agent (A) on the last Business Day of each calendar month, and (B) on each date that (1) an L/C Credit Extension occurs or (2) there is any expiration, cancellation and/or disbursement, in each case, with respect to any such Letter of Credit, a such information as the Agent shall reasonably request, including, the letter of credit number, maximum face amount, current face amount, beneficiary name, issuance date, expiry date and whether such Letter of Credit is may be automatically renewed or extended.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2"/>
        </w:rPr>
        <w:t xml:space="preserve">The Agent shall maintain a record of all outstanding Letters of Credit based upon information provided by the Borrower and the L/C Issuers pursuant to this </w:t>
      </w:r>
      <w:r>
        <w:rPr>
          <w:rFonts w:ascii="Times New Roman;Times;serif" w:hAnsi="Times New Roman;Times;serif"/>
          <w:sz w:val="22"/>
          <w:u w:val="single"/>
        </w:rPr>
        <w:t>Section 2.03(m)</w:t>
      </w:r>
      <w:r>
        <w:rPr>
          <w:rFonts w:ascii="Times New Roman;Times;serif" w:hAnsi="Times New Roman;Times;serif"/>
          <w:sz w:val="22"/>
        </w:rPr>
        <w:t>, and such record of the Agent shall, absent manifest error, be deemed a correct and conclusive record of all Letters of Credit outstanding from time to time hereunder.  Notwithstanding the foregoing, if and to the extent the Agent determines that there are one or more discrepancies between information provided by the Borrower and any L/C Issuer hereunder, the Agent will notify the Borrower and such L/C Issuer thereof and the Borrower and such L/C Issuer shall endeavor to reconcile any such discrepancy.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2.04</w:t>
      </w:r>
      <w:r>
        <w:rPr>
          <w:rFonts w:ascii="Times New Roman;Times;serif" w:hAnsi="Times New Roman;Times;serif"/>
          <w:b/>
          <w:sz w:val="22"/>
        </w:rPr>
        <w:t>Swing Line Loans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The Swing Line</w:t>
      </w:r>
      <w:r>
        <w:rPr>
          <w:rFonts w:ascii="Times New Roman;Times;serif" w:hAnsi="Times New Roman;Times;serif"/>
          <w:sz w:val="22"/>
        </w:rPr>
        <w:t xml:space="preserve">.  Subject to the terms and conditions set forth herein and in any Autoborrow Agreement then in effect, the Swing Line Lender agrees, in reliance upon the agreements of the other Lenders set forth in this </w:t>
      </w:r>
      <w:r>
        <w:rPr>
          <w:rFonts w:ascii="Times New Roman;Times;serif" w:hAnsi="Times New Roman;Times;serif"/>
          <w:sz w:val="22"/>
          <w:u w:val="single"/>
        </w:rPr>
        <w:t>Section 2.04</w:t>
      </w:r>
      <w:r>
        <w:rPr>
          <w:rFonts w:ascii="Times New Roman;Times;serif" w:hAnsi="Times New Roman;Times;serif"/>
          <w:sz w:val="22"/>
        </w:rPr>
        <w:t>, to make loans (each such loan, a “</w:t>
      </w:r>
      <w:r>
        <w:rPr>
          <w:rFonts w:ascii="Times New Roman;Times;serif" w:hAnsi="Times New Roman;Times;serif"/>
          <w:sz w:val="22"/>
          <w:u w:val="single"/>
        </w:rPr>
        <w:t>Swing Line Loan</w:t>
      </w:r>
      <w:r>
        <w:rPr>
          <w:rFonts w:ascii="Times New Roman;Times;serif" w:hAnsi="Times New Roman;Times;serif"/>
          <w:sz w:val="20"/>
        </w:rPr>
        <w:t>”</w:t>
      </w:r>
      <w:r>
        <w:rPr>
          <w:rFonts w:ascii="Times New Roman;Times;serif" w:hAnsi="Times New Roman;Times;serif"/>
          <w:sz w:val="22"/>
        </w:rPr>
        <w:t xml:space="preserve">) to the Borrower in Dollars from time to time on any Business Day during the Availability Period in an aggregate amount not to exceed at any time outstanding the amount of the Swing Line Sublimit;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(i) after giving effect to any Swing Line Loan, (A) the Total Outstandings shall not exceed the Aggregate Commitments and (B) the aggregate Outstanding Amount of the Committed Loans of any Lender,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such Lender’s Applicable Percentage of the Outstanding Amount of all L/C Obligations,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such Lender’s Applicable Percentage of the Outstanding Amount of all Swing Line Loans shall not exceed such Lender’s Commitment, (ii) the Borrower shall not use the proceeds of any Swing Line Loan to refinance any outstanding Swing Line Loan and (iii) the Swing Line Lender shall not be under any obligation to make any Swing Line Loan if it shall determine (which determination shall be conclusive and binding absent manifest error) that it has, or by such Credit Extension may have, Fronting Exposure.  Prior to a refinancing of a Swing Line Loan or the funding of a risk participation in Swing Line Loans, in either case, pursuant to </w:t>
      </w:r>
      <w:r>
        <w:rPr>
          <w:rFonts w:ascii="Times New Roman;Times;serif" w:hAnsi="Times New Roman;Times;serif"/>
          <w:sz w:val="22"/>
          <w:u w:val="single"/>
        </w:rPr>
        <w:t>Section 2.04(c)</w:t>
      </w:r>
      <w:r>
        <w:rPr>
          <w:rFonts w:ascii="Times New Roman;Times;serif" w:hAnsi="Times New Roman;Times;serif"/>
          <w:sz w:val="22"/>
        </w:rPr>
        <w:t xml:space="preserve">, it is understood and agreed that the outstanding Swing Line Loans, when aggregated with the Applicable Percentage of the Outstanding Amount of Committed Loans and L/C Obligations of the Swing Line Lender, may exceed the amount of such Lender’s Commitment.  Subject to the other terms and conditions hereof, the Borrower may borrow Swing Line Loans under this </w:t>
      </w:r>
      <w:r>
        <w:rPr>
          <w:rFonts w:ascii="Times New Roman;Times;serif" w:hAnsi="Times New Roman;Times;serif"/>
          <w:sz w:val="22"/>
          <w:u w:val="single"/>
        </w:rPr>
        <w:t>Section 2.04</w:t>
      </w:r>
      <w:r>
        <w:rPr>
          <w:rFonts w:ascii="Times New Roman;Times;serif" w:hAnsi="Times New Roman;Times;serif"/>
          <w:sz w:val="22"/>
        </w:rPr>
        <w:t xml:space="preserve">, repay or prepay such Swing Line Loans, reborrow such Swing Line Loans and borrow other Swing Line Loans under this </w:t>
      </w:r>
      <w:r>
        <w:rPr>
          <w:rFonts w:ascii="Times New Roman;Times;serif" w:hAnsi="Times New Roman;Times;serif"/>
          <w:sz w:val="22"/>
          <w:u w:val="single"/>
        </w:rPr>
        <w:t>Section 2.04</w:t>
      </w:r>
      <w:r>
        <w:rPr>
          <w:rFonts w:ascii="Times New Roman;Times;serif" w:hAnsi="Times New Roman;Times;serif"/>
          <w:sz w:val="22"/>
        </w:rPr>
        <w:t xml:space="preserve">.  Each Swing Line Loan shall be a Base Rate Loan or a Term SOFR Daily Floating Rate Loan;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if an Autoborrow Agreement is in effect, the Swing Line Lender and the Borrower may agree to an alternate rate of interest on Swing Line Loans under the Autoborrow Agreement with respect to any Swing Line Loans for which the Swing Line Lender has not requested that the Lenders fund Loans to refinance, or to purchase and fund risk participations in, such Swing Line Loans pursuant to </w:t>
      </w:r>
      <w:r>
        <w:rPr>
          <w:rFonts w:ascii="Times New Roman;Times;serif" w:hAnsi="Times New Roman;Times;serif"/>
          <w:sz w:val="22"/>
          <w:u w:val="single"/>
        </w:rPr>
        <w:t>Section 2.04(c</w:t>
      </w:r>
      <w:r>
        <w:rPr>
          <w:rFonts w:ascii="Times New Roman;Times;serif" w:hAnsi="Times New Roman;Times;serif"/>
          <w:sz w:val="22"/>
        </w:rPr>
        <w:t xml:space="preserve">).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Times New Roman;Times;serif" w:hAnsi="Times New Roman;Times;serif"/>
          <w:sz w:val="22"/>
          <w:u w:val="single"/>
        </w:rPr>
        <w:t>times</w:t>
      </w:r>
      <w:r>
        <w:rPr>
          <w:rFonts w:ascii="Times New Roman;Times;serif" w:hAnsi="Times New Roman;Times;serif"/>
          <w:sz w:val="20"/>
        </w:rPr>
        <w:t xml:space="preserve"> </w:t>
      </w:r>
      <w:r>
        <w:rPr>
          <w:rFonts w:ascii="Times New Roman;Times;serif" w:hAnsi="Times New Roman;Times;serif"/>
          <w:sz w:val="22"/>
        </w:rPr>
        <w:t>the amount of such Swing Line Loan.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Borrowing Procedures</w:t>
      </w:r>
      <w:r>
        <w:rPr>
          <w:rFonts w:ascii="Times New Roman;Times;serif" w:hAnsi="Times New Roman;Times;serif"/>
          <w:sz w:val="22"/>
        </w:rPr>
        <w:t xml:space="preserve">.  Each Swing Line Borrowing shall be made upon the Borrower’s irrevocable notice to the Swing Line Lender and the Agent, which may be given by:  (A) telephone or (B) a Swing Line Loan Notice;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any telephonic notice must be confirmed immediately by delivery to the Swing Line Lender and the Agent of a Swing Line Loan Notice.  Each such notice must be received by the Swing Line Lender and the Agent not later than 1:00 p.m. on the requested borrowing date, and shall specify (i) the amount to be borrowed, which shall be a minimum of $100,000, and (ii) the requested borrowing date, which shall be a Business Day.  Promptly after receipt by the Swing Line Lender of any telephonic Swing Line Loan Notice, the Swing Line Lender will confirm with the Agent (by telephone or in writing) that the Agent has also received such Swing Line Loan Notice and, if not, the Swing Line Lender will notify the Agent (by telephone or in writing) of the contents thereof.  Unless the Swing Line Lender has received notice (by telephone or in writing) from the Agent (including at the request of any Lender) prior to 2:00 p.m. on the date of the proposed Swing Line Borrowing (1) directing the Swing Line Lender not to make such Swing Line Loan as a result of the limitations set forth in the proviso to the first sentence of </w:t>
      </w:r>
      <w:r>
        <w:rPr>
          <w:rFonts w:ascii="Times New Roman;Times;serif" w:hAnsi="Times New Roman;Times;serif"/>
          <w:sz w:val="22"/>
          <w:u w:val="single"/>
        </w:rPr>
        <w:t>Section 2.04(a)</w:t>
      </w:r>
      <w:r>
        <w:rPr>
          <w:rFonts w:ascii="Times New Roman;Times;serif" w:hAnsi="Times New Roman;Times;serif"/>
          <w:sz w:val="22"/>
        </w:rPr>
        <w:t xml:space="preserve">, or (2) that one or more of the applicable conditions specified in </w:t>
      </w:r>
      <w:r>
        <w:rPr>
          <w:rFonts w:ascii="Times New Roman;Times;serif" w:hAnsi="Times New Roman;Times;serif"/>
          <w:sz w:val="22"/>
          <w:u w:val="single"/>
        </w:rPr>
        <w:t>Article IV</w:t>
      </w:r>
      <w:r>
        <w:rPr>
          <w:rFonts w:ascii="Times New Roman;Times;serif" w:hAnsi="Times New Roman;Times;serif"/>
          <w:sz w:val="20"/>
        </w:rPr>
        <w:t xml:space="preserve"> </w:t>
      </w:r>
      <w:r>
        <w:rPr>
          <w:rFonts w:ascii="Times New Roman;Times;serif" w:hAnsi="Times New Roman;Times;serif"/>
          <w:sz w:val="22"/>
        </w:rPr>
        <w:t>is not then satisfied, then, subject to the terms and conditions hereof, the Swing Line Lender will, not later than 3:00 p.m. on the borrowing date specified in such Swing Line Loan Notice, make the amount of its Swing Line Loan available to the Borrower.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37</w:t>
      </w:r>
    </w:p>
    <w:p>
      <w:pPr>
        <w:pStyle w:val="HorizontalLine"/>
        <w:pBdr>
          <w:bottom w:val="double" w:sz="2" w:space="0" w:color="808080"/>
        </w:pBdr>
        <w:bidi w:val="0"/>
        <w:spacing w:before="0" w:after="283"/>
        <w:jc w:val="left"/>
        <w:rPr/>
      </w:pPr>
      <w:r>
        <w:rPr/>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2"/>
        </w:rPr>
        <w:t>In order to facilitate the borrowing of Swing Line Loans, the Borrower and the Swing Line Lender may mutually agree to, and are hereby authorized to, enter into an Autoborrow Agreement in form and substance satisfactory to the Agent, the Borrower and the Swing Line Lender (the “</w:t>
      </w:r>
      <w:r>
        <w:rPr>
          <w:rFonts w:ascii="Times New Roman;Times;serif" w:hAnsi="Times New Roman;Times;serif"/>
          <w:sz w:val="22"/>
          <w:u w:val="single"/>
        </w:rPr>
        <w:t>Autoborrow Agreement</w:t>
      </w:r>
      <w:r>
        <w:rPr>
          <w:rFonts w:ascii="Times New Roman;Times;serif" w:hAnsi="Times New Roman;Times;serif"/>
          <w:sz w:val="20"/>
        </w:rPr>
        <w:t>”</w:t>
      </w:r>
      <w:r>
        <w:rPr>
          <w:rFonts w:ascii="Times New Roman;Times;serif" w:hAnsi="Times New Roman;Times;serif"/>
          <w:sz w:val="22"/>
        </w:rPr>
        <w:t xml:space="preserve">) providing for the automatic advance by the Swing Line Lender of Swing Line Loans under the conditions set forth in such agreement, which shall be in addition to the conditions set forth herein. At any time an Autoborrow Agreement is in effect, the requirements for Swing Line Borrowings set forth in the immediately preceding paragraph shall not apply, and all such Swing Line Borrowings shall be made in accordance with the Autoborrow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any automatic advance made by Bank of America in reliance of the Autoborrow Agreement shall be deemed a Swing Line Loan as of the time such automatic advance is made notwithstanding any provision in the Autoborrow Agreement to the contrary. For purposes of determining the aggregate Outstanding Amount of all Committed Loans, Swing Line Loans and L/C Obligations at any time during which an Autoborrow Agreement is in effect (other than for purposes of calculating commitment fees), the Outstanding Amount of all Swing Line Loans shall be deemed to be the amount of the Swing Line Sublimit. For purposes of any Borrowing pursuant to the Autoborrow Agreement, all references to Bank of America in the Autoborrow Agreement shall be deemed to be a reference to Bank of America, in its capacity as Swing Line Lender hereunder.</w:t>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Refinancing of Swing Line Loans</w:t>
      </w:r>
      <w:r>
        <w:rPr>
          <w:rFonts w:ascii="Times New Roman;Times;serif" w:hAnsi="Times New Roman;Times;serif"/>
          <w:sz w:val="22"/>
        </w:rPr>
        <w:t>.</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(i)The Swing Line Lender at any time in its sole discretion may request, on behalf of the Borrower (which hereby irrevocably authorizes the Swing Line Lender to so request on its behalf), that each Lender make a Base Rate Loan in an amount equal to such Lender’s Applicable Percentage of the amount of Swing Line Loans then outstanding (which Base Rate Loans shall be used to refinance such Swing Line Loans).  Such request shall be made in writing (which written request shall be deemed to be a Committed Loan Notice for purposes hereof) and in accordance with the requirements of </w:t>
      </w:r>
      <w:r>
        <w:rPr>
          <w:rFonts w:ascii="Times New Roman;Times;serif" w:hAnsi="Times New Roman;Times;serif"/>
          <w:sz w:val="22"/>
          <w:u w:val="single"/>
        </w:rPr>
        <w:t>Section 2.02</w:t>
      </w:r>
      <w:r>
        <w:rPr>
          <w:rFonts w:ascii="Times New Roman;Times;serif" w:hAnsi="Times New Roman;Times;serif"/>
          <w:sz w:val="22"/>
        </w:rPr>
        <w:t xml:space="preserve">, without regard to the minimum and multiples specified therein for the principal amount of Base Rate Loans, but subject to the unutilized portion of the Aggregate Commitments and the conditions set forth in </w:t>
      </w:r>
      <w:r>
        <w:rPr>
          <w:rFonts w:ascii="Times New Roman;Times;serif" w:hAnsi="Times New Roman;Times;serif"/>
          <w:sz w:val="22"/>
          <w:u w:val="single"/>
        </w:rPr>
        <w:t>Section 4.02</w:t>
      </w:r>
      <w:r>
        <w:rPr>
          <w:rFonts w:ascii="Times New Roman;Times;serif" w:hAnsi="Times New Roman;Times;serif"/>
          <w:sz w:val="22"/>
        </w:rPr>
        <w:t xml:space="preserve">.  The Swing Line Lender shall furnish the Borrower with a copy of the applicable Committed Loan Notice promptly after delivering such notice to the Agent.  Each Lender shall make an amount equal to its Applicable Percentage of the amount specified in such Committed Loan Notice available to the Agent in immediately available funds (and the Agent may apply Cash Collateral available with respect to the applicable Swing Line Loan) for the account of the Swing Line Lender at the Agent’s Office not later than 1:00 p.m. on the day specified in such Committed Loan Notice, whereupon, subject to </w:t>
      </w:r>
      <w:r>
        <w:rPr>
          <w:rFonts w:ascii="Times New Roman;Times;serif" w:hAnsi="Times New Roman;Times;serif"/>
          <w:sz w:val="22"/>
          <w:u w:val="single"/>
        </w:rPr>
        <w:t>Section 2.04(c)(ii)</w:t>
      </w:r>
      <w:r>
        <w:rPr>
          <w:rFonts w:ascii="Times New Roman;Times;serif" w:hAnsi="Times New Roman;Times;serif"/>
          <w:sz w:val="22"/>
        </w:rPr>
        <w:t xml:space="preserve">, each Lender that so makes funds available shall be deemed to have made a Base Rate Loan to the Borrower in such amount.  The Agent shall remit the funds so received to the Swing Line Lender.  To the extent that a Swing Line Loan has been refinanced with a Borrowing of Base Rate Loans pursuant to this </w:t>
      </w:r>
      <w:r>
        <w:rPr>
          <w:rFonts w:ascii="Times New Roman;Times;serif" w:hAnsi="Times New Roman;Times;serif"/>
          <w:sz w:val="22"/>
          <w:u w:val="single"/>
        </w:rPr>
        <w:t>Section 2.04(c)(i)</w:t>
      </w:r>
      <w:r>
        <w:rPr>
          <w:rFonts w:ascii="Times New Roman;Times;serif" w:hAnsi="Times New Roman;Times;serif"/>
          <w:sz w:val="22"/>
        </w:rPr>
        <w:t>, such Swing Line Loan shall be deemed repaid for all purposes herein.</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(ii)If for any reason any Swing Line Loan cannot be refinanced by such a Committed Borrowing in accordance with </w:t>
      </w:r>
      <w:r>
        <w:rPr>
          <w:rFonts w:ascii="Times New Roman;Times;serif" w:hAnsi="Times New Roman;Times;serif"/>
          <w:sz w:val="22"/>
          <w:u w:val="single"/>
        </w:rPr>
        <w:t>Section 2.04(c)(i)</w:t>
      </w:r>
      <w:r>
        <w:rPr>
          <w:rFonts w:ascii="Times New Roman;Times;serif" w:hAnsi="Times New Roman;Times;serif"/>
          <w:sz w:val="22"/>
        </w:rPr>
        <w:t>, the request for Base Rate Loans submitted by the Swing Line Lender as set forth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38</w:t>
      </w:r>
    </w:p>
    <w:p>
      <w:pPr>
        <w:pStyle w:val="HorizontalLine"/>
        <w:pBdr>
          <w:bottom w:val="double" w:sz="2" w:space="0" w:color="808080"/>
        </w:pBdr>
        <w:bidi w:val="0"/>
        <w:spacing w:before="0" w:after="283"/>
        <w:jc w:val="left"/>
        <w:rPr/>
      </w:pPr>
      <w:r>
        <w:rPr/>
      </w:r>
    </w:p>
    <w:p>
      <w:pPr>
        <w:pStyle w:val="TextBody"/>
        <w:bidi w:val="0"/>
        <w:spacing w:before="0" w:after="240"/>
        <w:ind w:left="2556" w:right="0" w:hanging="0"/>
        <w:jc w:val="both"/>
        <w:rPr>
          <w:rFonts w:ascii="Times New Roman;Times;serif" w:hAnsi="Times New Roman;Times;serif"/>
          <w:sz w:val="20"/>
        </w:rPr>
      </w:pPr>
      <w:r>
        <w:rPr>
          <w:rFonts w:ascii="Times New Roman;Times;serif" w:hAnsi="Times New Roman;Times;serif"/>
          <w:sz w:val="22"/>
        </w:rPr>
        <w:t xml:space="preserve">herein shall be deemed to be a request by the Swing Line Lender that each of the Lenders fund its risk participation in the relevant Swing Line Loan and each Lender’s payment to the Agent for the account of the Swing Line Lender pursuant to </w:t>
      </w:r>
      <w:r>
        <w:rPr>
          <w:rFonts w:ascii="Times New Roman;Times;serif" w:hAnsi="Times New Roman;Times;serif"/>
          <w:sz w:val="22"/>
          <w:u w:val="single"/>
        </w:rPr>
        <w:t>Section 2.04(c)(i)</w:t>
      </w:r>
      <w:r>
        <w:rPr>
          <w:rFonts w:ascii="Times New Roman;Times;serif" w:hAnsi="Times New Roman;Times;serif"/>
          <w:sz w:val="20"/>
        </w:rPr>
        <w:t xml:space="preserve"> </w:t>
      </w:r>
      <w:r>
        <w:rPr>
          <w:rFonts w:ascii="Times New Roman;Times;serif" w:hAnsi="Times New Roman;Times;serif"/>
          <w:sz w:val="22"/>
        </w:rPr>
        <w:t>shall be deemed payment in respect of such participation.</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(iii)If any Lender fails to make available to the Agent for the account of the Swing Line Lender any amount required to be paid by such Lender pursuant to the foregoing provisions of this </w:t>
      </w:r>
      <w:r>
        <w:rPr>
          <w:rFonts w:ascii="Times New Roman;Times;serif" w:hAnsi="Times New Roman;Times;serif"/>
          <w:sz w:val="22"/>
          <w:u w:val="single"/>
        </w:rPr>
        <w:t>Section 2.04(c)</w:t>
      </w:r>
      <w:r>
        <w:rPr>
          <w:rFonts w:ascii="Times New Roman;Times;serif" w:hAnsi="Times New Roman;Times;serif"/>
          <w:sz w:val="20"/>
        </w:rPr>
        <w:t xml:space="preserve"> </w:t>
      </w:r>
      <w:r>
        <w:rPr>
          <w:rFonts w:ascii="Times New Roman;Times;serif" w:hAnsi="Times New Roman;Times;serif"/>
          <w:sz w:val="22"/>
        </w:rPr>
        <w:t xml:space="preserve">by the time specified in </w:t>
      </w:r>
      <w:r>
        <w:rPr>
          <w:rFonts w:ascii="Times New Roman;Times;serif" w:hAnsi="Times New Roman;Times;serif"/>
          <w:sz w:val="22"/>
          <w:u w:val="single"/>
        </w:rPr>
        <w:t>Section 2.04(c)(i)</w:t>
      </w:r>
      <w:r>
        <w:rPr>
          <w:rFonts w:ascii="Times New Roman;Times;serif" w:hAnsi="Times New Roman;Times;serif"/>
          <w:sz w:val="22"/>
        </w:rPr>
        <w:t>, the Swing Line Lender shall be entitled to recover from such Lender (acting through the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Committed Loan included in the relevant Committed Borrowing or funded participation in the relevant Swing Line Loan, as the case may be.  A certificate of the Swing Line Lender submitted to any Lender (through the Agent) with respect to any amounts owing under this clause (iii) shall be conclusive absent manifest error.</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(iv)Each Lender’s obligation to make Committed Loans or to purchase and fund risk participations in Swing Line Loans pursuant to this </w:t>
      </w:r>
      <w:r>
        <w:rPr>
          <w:rFonts w:ascii="Times New Roman;Times;serif" w:hAnsi="Times New Roman;Times;serif"/>
          <w:sz w:val="22"/>
          <w:u w:val="single"/>
        </w:rPr>
        <w:t>Section 2.04(c)</w:t>
      </w:r>
      <w:r>
        <w:rPr>
          <w:rFonts w:ascii="Times New Roman;Times;serif" w:hAnsi="Times New Roman;Times;serif"/>
          <w:sz w:val="20"/>
        </w:rPr>
        <w:t xml:space="preserve"> </w:t>
      </w:r>
      <w:r>
        <w:rPr>
          <w:rFonts w:ascii="Times New Roman;Times;serif" w:hAnsi="Times New Roman;Times;serif"/>
          <w:sz w:val="22"/>
        </w:rPr>
        <w:t xml:space="preserve">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each Lender’s obligation to make Committed Loans pursuant to this </w:t>
      </w:r>
      <w:r>
        <w:rPr>
          <w:rFonts w:ascii="Times New Roman;Times;serif" w:hAnsi="Times New Roman;Times;serif"/>
          <w:sz w:val="22"/>
          <w:u w:val="single"/>
        </w:rPr>
        <w:t>Section 2.04(c)</w:t>
      </w:r>
      <w:r>
        <w:rPr>
          <w:rFonts w:ascii="Times New Roman;Times;serif" w:hAnsi="Times New Roman;Times;serif"/>
          <w:sz w:val="20"/>
        </w:rPr>
        <w:t xml:space="preserve"> </w:t>
      </w:r>
      <w:r>
        <w:rPr>
          <w:rFonts w:ascii="Times New Roman;Times;serif" w:hAnsi="Times New Roman;Times;serif"/>
          <w:sz w:val="22"/>
        </w:rPr>
        <w:t xml:space="preserve">is subject to the conditions set forth in </w:t>
      </w:r>
      <w:r>
        <w:rPr>
          <w:rFonts w:ascii="Times New Roman;Times;serif" w:hAnsi="Times New Roman;Times;serif"/>
          <w:sz w:val="22"/>
          <w:u w:val="single"/>
        </w:rPr>
        <w:t>Section 4.02</w:t>
      </w:r>
      <w:r>
        <w:rPr>
          <w:rFonts w:ascii="Times New Roman;Times;serif" w:hAnsi="Times New Roman;Times;serif"/>
          <w:sz w:val="22"/>
        </w:rPr>
        <w:t>.  No such funding of risk participations shall relieve or otherwise impair the obligation of the Borrower to repay Swing Line Loans, together with interest as provided herein.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Repayment of Participations</w:t>
      </w:r>
      <w:r>
        <w:rPr>
          <w:rFonts w:ascii="Times New Roman;Times;serif" w:hAnsi="Times New Roman;Times;serif"/>
          <w:sz w:val="22"/>
        </w:rPr>
        <w:t>.</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(i)At any time after any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(ii)If any payment received by the Swing Line Lender in respect of principal or interest on any Swing Line Loan is required to be returned by the Swing Line Lender under any of the circumstances described in </w:t>
      </w:r>
      <w:r>
        <w:rPr>
          <w:rFonts w:ascii="Times New Roman;Times;serif" w:hAnsi="Times New Roman;Times;serif"/>
          <w:sz w:val="22"/>
          <w:u w:val="single"/>
        </w:rPr>
        <w:t>Section 10.05</w:t>
      </w:r>
      <w:r>
        <w:rPr>
          <w:rFonts w:ascii="Times New Roman;Times;serif" w:hAnsi="Times New Roman;Times;serif"/>
          <w:sz w:val="20"/>
        </w:rPr>
        <w:t xml:space="preserve"> </w:t>
      </w:r>
      <w:r>
        <w:rPr>
          <w:rFonts w:ascii="Times New Roman;Times;serif" w:hAnsi="Times New Roman;Times;serif"/>
          <w:sz w:val="22"/>
        </w:rPr>
        <w:t>(including pursuant to any settlement entered into by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39</w:t>
      </w:r>
    </w:p>
    <w:p>
      <w:pPr>
        <w:pStyle w:val="HorizontalLine"/>
        <w:pBdr>
          <w:bottom w:val="double" w:sz="2" w:space="0" w:color="808080"/>
        </w:pBdr>
        <w:bidi w:val="0"/>
        <w:spacing w:before="0" w:after="283"/>
        <w:jc w:val="left"/>
        <w:rPr/>
      </w:pPr>
      <w:r>
        <w:rPr/>
      </w:r>
    </w:p>
    <w:p>
      <w:pPr>
        <w:pStyle w:val="TextBody"/>
        <w:bidi w:val="0"/>
        <w:spacing w:before="0" w:after="240"/>
        <w:ind w:left="2556" w:right="0" w:hanging="0"/>
        <w:jc w:val="both"/>
        <w:rPr>
          <w:rFonts w:ascii="Times New Roman;Times;serif" w:hAnsi="Times New Roman;Times;serif"/>
          <w:sz w:val="22"/>
        </w:rPr>
      </w:pPr>
      <w:r>
        <w:rPr>
          <w:rFonts w:ascii="Times New Roman;Times;serif" w:hAnsi="Times New Roman;Times;serif"/>
          <w:sz w:val="22"/>
        </w:rPr>
        <w:t>Swing Line Lender in its discretion), each Lender shall pay to the Swing Line Lender its Applicable Percentage thereof on demand of the Agent, plus interest thereon from the date of such demand to the date such amount is returned, at a rate per annum equal to the Federal Funds Rate.  The Agent will make such demand upon the request of the Swing Line Lender.  The obligations of the Lenders under this clause shall survive the payment in full of the Obligations and the termination of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Interest for Account of Swing Line Lender</w:t>
      </w:r>
      <w:r>
        <w:rPr>
          <w:rFonts w:ascii="Times New Roman;Times;serif" w:hAnsi="Times New Roman;Times;serif"/>
          <w:sz w:val="22"/>
        </w:rPr>
        <w:t xml:space="preserve">.  The Swing Line Lender shall be responsible for invoicing the Borrower for interest on the Swing Line Loans.  Until each Lender funds its Base Rate Loan or risk participation pursuant to this </w:t>
      </w:r>
      <w:r>
        <w:rPr>
          <w:rFonts w:ascii="Times New Roman;Times;serif" w:hAnsi="Times New Roman;Times;serif"/>
          <w:sz w:val="22"/>
          <w:u w:val="single"/>
        </w:rPr>
        <w:t>Section 2.04</w:t>
      </w:r>
      <w:r>
        <w:rPr>
          <w:rFonts w:ascii="Times New Roman;Times;serif" w:hAnsi="Times New Roman;Times;serif"/>
          <w:sz w:val="20"/>
        </w:rPr>
        <w:t xml:space="preserve"> </w:t>
      </w:r>
      <w:r>
        <w:rPr>
          <w:rFonts w:ascii="Times New Roman;Times;serif" w:hAnsi="Times New Roman;Times;serif"/>
          <w:sz w:val="22"/>
        </w:rPr>
        <w:t>to refinance such Lender’s Applicable Percentage of any Swing Line Loan, interest in respect of such Applicable Percentage shall be solely for the account of the Swing Line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Payments Directly to Swing Line Lender</w:t>
      </w:r>
      <w:r>
        <w:rPr>
          <w:rFonts w:ascii="Times New Roman;Times;serif" w:hAnsi="Times New Roman;Times;serif"/>
          <w:sz w:val="22"/>
        </w:rPr>
        <w:t>.  The Borrower shall make all payments of principal and interest in respect of the Swing Line Loans directly to the Swing Line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2.05</w:t>
      </w:r>
      <w:r>
        <w:rPr>
          <w:rFonts w:ascii="Times New Roman;Times;serif" w:hAnsi="Times New Roman;Times;serif"/>
          <w:b/>
          <w:sz w:val="22"/>
        </w:rPr>
        <w:t>Prepayments</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The Borrower may, upon delivery of a Notice of Loan Prepayment to the Agent, at any time or from time to time voluntarily prepay Committed Loans in whole or in part without premium or penalty;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 such notice must be received by the Agent not later than 11:00 a.m. (A) two Business Days prior to any date of prepayment of Term SOFR Loans and (B) on the date of prepayment of Base Rate Loans; (ii) any prepayment of Term SOFR Loans shall be in a principal amount of $1,000,000 or a whole multiple of $100,000 in excess thereof; and (iii) any prepayment of Base Rate Loans shall be in a principal amount of $1,000,000 or a whole multiple of $100,000 in excess thereof or, in each case, if less, the entire principal amount thereof then outstanding.  Each such notice shall specify the date and amount of such prepayment and the Type(s) of Committed Loans to be prepaid and, if Term SOFR Loans are to be prepaid, the Interest Period(s) of such Loans.  The Agent will promptly notify each Lender of its receipt of each such notice, and of the amount of such Lender’s Applicable Percentage of such prepayment.  If the Borrower gives a prepayment notice, then the Borrower shall make such prepayment and the payment amount specified in such notice shall be due and payable on the date specified therein; </w:t>
      </w:r>
      <w:r>
        <w:rPr>
          <w:rFonts w:ascii="Times New Roman;Times;serif" w:hAnsi="Times New Roman;Times;serif"/>
          <w:sz w:val="22"/>
          <w:u w:val="single"/>
        </w:rPr>
        <w:t>provided</w:t>
      </w:r>
      <w:r>
        <w:rPr>
          <w:rFonts w:ascii="Times New Roman;Times;serif" w:hAnsi="Times New Roman;Times;serif"/>
          <w:sz w:val="22"/>
        </w:rPr>
        <w:t xml:space="preserve">, that any notice of prepayment given in connection with a notice of termination of the Committed Loans given by the Borrower may state that such prepayment notice is conditioned upon the effectiveness of other credit facilities or capital raising, in which case such notice may (subject to compliance by the Borrower with the requirements of </w:t>
      </w:r>
      <w:r>
        <w:rPr>
          <w:rFonts w:ascii="Times New Roman;Times;serif" w:hAnsi="Times New Roman;Times;serif"/>
          <w:sz w:val="22"/>
          <w:u w:val="single"/>
        </w:rPr>
        <w:t>Section 3.05</w:t>
      </w:r>
      <w:r>
        <w:rPr>
          <w:rFonts w:ascii="Times New Roman;Times;serif" w:hAnsi="Times New Roman;Times;serif"/>
          <w:sz w:val="22"/>
        </w:rPr>
        <w:t xml:space="preserve">) be revoked by the Borrower (by notice to the Agent on or prior to the specified effective date) if such condition is not satisfied.  Any prepayment of a Term SOFR Loan shall be accompanied by all accrued interest on the amount prepaid, together with any additional amounts required pursuant to </w:t>
      </w:r>
      <w:r>
        <w:rPr>
          <w:rFonts w:ascii="Times New Roman;Times;serif" w:hAnsi="Times New Roman;Times;serif"/>
          <w:sz w:val="22"/>
          <w:u w:val="single"/>
        </w:rPr>
        <w:t>Section 3.05</w:t>
      </w:r>
      <w:r>
        <w:rPr>
          <w:rFonts w:ascii="Times New Roman;Times;serif" w:hAnsi="Times New Roman;Times;serif"/>
          <w:sz w:val="22"/>
        </w:rPr>
        <w:t xml:space="preserve">.  Subject to </w:t>
      </w:r>
      <w:r>
        <w:rPr>
          <w:rFonts w:ascii="Times New Roman;Times;serif" w:hAnsi="Times New Roman;Times;serif"/>
          <w:sz w:val="22"/>
          <w:u w:val="single"/>
        </w:rPr>
        <w:t>Section 2.16</w:t>
      </w:r>
      <w:r>
        <w:rPr>
          <w:rFonts w:ascii="Times New Roman;Times;serif" w:hAnsi="Times New Roman;Times;serif"/>
          <w:sz w:val="22"/>
        </w:rPr>
        <w:t>, each such prepayment shall be applied to the Committed Loans of the Lenders in accordance with their respective Applicable Percentages.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At any time an Autoborrow Agreement is not in effect, the Borrower may, upon delivery of a Notice of Loan Prepayment to the Swing Line Lender (with a copy to the Agent), at any time or from time to time, voluntarily prepay Swing Line Loans in whole or in part without premium or penalty;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 such notice must be received by the Swing Line Lender and the Agent not later than 1:00 p.m. on the date of the prepayment, and (ii) any such prepayment shall be in a minimum principal amount of $100,000.  Each such notice shall specify the date and amount of such prepayment.  If such notice is given by the Borrower, the Borrower shall make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40</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such prepayment and the payment amount specified in such notice shall be due and payable on the date specified therein.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If for any reason the Total Outstandings at any time exceed the Aggregate Commitments, the Borrower shall immediately prepay Loans and/or Cash Collateralize the L/C Obligations in an aggregate amount equal to such excess;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the Borrower shall not be required to Cash Collateralize the L/C Obligations pursuant to this </w:t>
      </w:r>
      <w:r>
        <w:rPr>
          <w:rFonts w:ascii="Times New Roman;Times;serif" w:hAnsi="Times New Roman;Times;serif"/>
          <w:sz w:val="22"/>
          <w:u w:val="single"/>
        </w:rPr>
        <w:t>Section 2.05(c)</w:t>
      </w:r>
      <w:r>
        <w:rPr>
          <w:rFonts w:ascii="Times New Roman;Times;serif" w:hAnsi="Times New Roman;Times;serif"/>
          <w:sz w:val="20"/>
        </w:rPr>
        <w:t xml:space="preserve"> </w:t>
      </w:r>
      <w:r>
        <w:rPr>
          <w:rFonts w:ascii="Times New Roman;Times;serif" w:hAnsi="Times New Roman;Times;serif"/>
          <w:sz w:val="22"/>
        </w:rPr>
        <w:t>unless after the prepayment in full of the Loans the Total Outstandings exceed the Aggregate Commitments then in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2.06</w:t>
      </w:r>
      <w:r>
        <w:rPr>
          <w:rFonts w:ascii="Times New Roman;Times;serif" w:hAnsi="Times New Roman;Times;serif"/>
          <w:b/>
          <w:sz w:val="22"/>
        </w:rPr>
        <w:t>Termination or Reduction of Aggregate Commitments</w:t>
      </w:r>
      <w:r>
        <w:rPr>
          <w:rFonts w:ascii="Times New Roman;Times;serif" w:hAnsi="Times New Roman;Times;serif"/>
          <w:sz w:val="22"/>
        </w:rPr>
        <w:t xml:space="preserve">.  The Borrower may, upon notice to the Agent, terminate the Aggregate Commitments, or from time to time permanently reduce the Aggregate Commitments;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 any such notice shall be received by the Agent not later than 11:00 a.m. five Business Days prior to the date of termination or reduction, (ii) any such partial reduction shall be in an aggregate amount of $10,000,000 or any whole multiple of $1,000,000 in excess thereof, (iii) the Borrower shall not terminate or reduce the Aggregate Commitments if, after giving effect thereto and to any concurrent prepayments hereunder, the Total Outstandings would exceed the Aggregate Commitments and (iv) if, after giving effect to any reduction of the Aggregate Commitments, the Letter of Credit Sublimit or the Swing Line Sublimit exceeds the amount of the Aggregate Commitments, such sublimit shall be automatically reduced by the amount of such excess; </w:t>
      </w:r>
      <w:r>
        <w:rPr>
          <w:rFonts w:ascii="Times New Roman;Times;serif" w:hAnsi="Times New Roman;Times;serif"/>
          <w:sz w:val="22"/>
          <w:u w:val="single"/>
        </w:rPr>
        <w:t>provided</w:t>
      </w:r>
      <w:r>
        <w:rPr>
          <w:rFonts w:ascii="Times New Roman;Times;serif" w:hAnsi="Times New Roman;Times;serif"/>
          <w:sz w:val="22"/>
        </w:rPr>
        <w:t>, that any notice of termination of the Aggregate Commitments given by the Borrower may state that such notice is conditioned upon the effectiveness of other credit facilities or capital raising, in which case such notice may be revoked by the Borrower (by notice to the Agent on or prior to the specified effective date) if such condition is not satisfied.  The Agent will promptly notify the Lenders of any such notice of termination or reduction of the Aggregate Commitments.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2.07</w:t>
      </w:r>
      <w:r>
        <w:rPr>
          <w:rFonts w:ascii="Times New Roman;Times;serif" w:hAnsi="Times New Roman;Times;serif"/>
          <w:b/>
          <w:sz w:val="22"/>
        </w:rPr>
        <w:t>Repayment of Loans</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Borrower shall repay to the Lenders on the Maturity Date the aggregate principal amount of Committed Loans outstanding on such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At any time an Autoborrow Agreement is in effect, the Swing Line Loans shall be repaid in accordance with the terms of such Autoborrow Agreement. At any time an Autoborrow Agreement is not in effect, except to the extent previously refinanced with a Base Rate Loan pursuant to </w:t>
      </w:r>
      <w:r>
        <w:rPr>
          <w:rFonts w:ascii="Times New Roman;Times;serif" w:hAnsi="Times New Roman;Times;serif"/>
          <w:sz w:val="22"/>
          <w:u w:val="single"/>
        </w:rPr>
        <w:t>Section 2.04(c)</w:t>
      </w:r>
      <w:r>
        <w:rPr>
          <w:rFonts w:ascii="Times New Roman;Times;serif" w:hAnsi="Times New Roman;Times;serif"/>
          <w:sz w:val="22"/>
        </w:rPr>
        <w:t>, the Borrower shall repay each Swing Line Loan on the earlier to occur of (i) the date ten Business Days after such Loan is made and (ii) the Maturity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2.08</w:t>
      </w:r>
      <w:r>
        <w:rPr>
          <w:rFonts w:ascii="Times New Roman;Times;serif" w:hAnsi="Times New Roman;Times;serif"/>
          <w:b/>
          <w:sz w:val="22"/>
        </w:rPr>
        <w:t>Interest</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Subject to the provisions of subsection (b) below, (i) each Term SOFR Loan shall bear interest on the outstanding principal amount thereof for each Interest Period at a rate per annum equal to the sum of the Term SOFR for such Interest Period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the Applicable Rate; (ii) each Base Rate Loan shall bear interest on the outstanding principal amount thereof from the applicable borrowing date at a rate per annum equal to the sum of the Base Rate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the Applicable Rate; (iii) each Swing Line Loan that is a Base Rate Loan shall bear interest on the outstanding principal amount thereof from the applicable borrowing date at a rate per annum equal to the sum of the Base Rate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the Applicable Rate and (iv) each Swing Line Loan that 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a Term SOFR Daily Floating Rate Loan shall bear interest on the outstanding principal amount thereof from the applicable borrowing date at a rate per annum equal to the sum of the Term SOFR Daily Floating Rate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the Applicable Rate.  Notwithstanding the foregoing, if an Autoborrow Agreement is in effect, Swing Line Loans made pursuant to such Autoborrow Agreement shall bear interest at such other rate per annum as may be provided for in such Autoborrow Agreement.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(i)If any amount of principal of any Loan is not paid when due (without regard to any applicable grace periods), whether at stated maturity, by acceleration or otherwise, such overdue amount shall thereafter bear interest at a fluctuating interest rate per annum at all times equal to the Default Rate to the fullest extent permitted by applicable laws.</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(ii)If any amount (other than principal of any Loan) payable by the Borrower under any Loan Document is not paid when due (without regard to any applicable grace periods), whether at stated maturity, by acceleration or otherwise, then upon the request of the Required Lenders, such overdue amount shall thereafter bear interest at a fluctuating interest rate per annum at all times equal to the Default Rate to the fullest extent permitted by applicable laws.</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(iii)Upon the request of the Required Lenders, while any Event of Default exists (other than as set forth in </w:t>
      </w:r>
      <w:r>
        <w:rPr>
          <w:rFonts w:ascii="Times New Roman;Times;serif" w:hAnsi="Times New Roman;Times;serif"/>
          <w:sz w:val="22"/>
          <w:u w:val="single"/>
        </w:rPr>
        <w:t>clauses (b)(i)</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(b)(ii)</w:t>
      </w:r>
      <w:r>
        <w:rPr>
          <w:rFonts w:ascii="Times New Roman;Times;serif" w:hAnsi="Times New Roman;Times;serif"/>
          <w:sz w:val="20"/>
        </w:rPr>
        <w:t xml:space="preserve"> </w:t>
      </w:r>
      <w:r>
        <w:rPr>
          <w:rFonts w:ascii="Times New Roman;Times;serif" w:hAnsi="Times New Roman;Times;serif"/>
          <w:sz w:val="22"/>
        </w:rPr>
        <w:t>above), the Borrower shall pay interest on the principal amount of all outstanding Obligations hereunder at a fluctuating interest rate per annum at all times equal to the Default Rate to the fullest extent permitted by applicable laws.</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(iv)Accrued and unpaid interest on past due amounts (including interest on past due interest) shall be due and payable upon demand.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to the extent permitted by applicable law, after the commencement of any proceeding under any Debtor Relief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2.09</w:t>
      </w:r>
      <w:r>
        <w:rPr>
          <w:rFonts w:ascii="Times New Roman;Times;serif" w:hAnsi="Times New Roman;Times;serif"/>
          <w:b/>
          <w:sz w:val="22"/>
        </w:rPr>
        <w:t>Fees.  </w:t>
      </w:r>
      <w:r>
        <w:rPr>
          <w:rFonts w:ascii="Times New Roman;Times;serif" w:hAnsi="Times New Roman;Times;serif"/>
          <w:sz w:val="22"/>
        </w:rPr>
        <w:t xml:space="preserve">In addition to certain fees described in subsections (i) and (j) of </w:t>
      </w:r>
      <w:r>
        <w:rPr>
          <w:rFonts w:ascii="Times New Roman;Times;serif" w:hAnsi="Times New Roman;Times;serif"/>
          <w:sz w:val="22"/>
          <w:u w:val="single"/>
        </w:rPr>
        <w:t>Section 2.03</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Commitment Fee</w:t>
      </w:r>
      <w:r>
        <w:rPr>
          <w:rFonts w:ascii="Times New Roman;Times;serif" w:hAnsi="Times New Roman;Times;serif"/>
          <w:sz w:val="22"/>
        </w:rPr>
        <w:t xml:space="preserve">.  The Borrower shall pay to the Agent for the account of each Lender in accordance with its Applicable Percentage, a commitment fee equal to the product of the Applicable Rate </w:t>
      </w:r>
      <w:r>
        <w:rPr>
          <w:rFonts w:ascii="Times New Roman;Times;serif" w:hAnsi="Times New Roman;Times;serif"/>
          <w:sz w:val="22"/>
          <w:u w:val="single"/>
        </w:rPr>
        <w:t>times</w:t>
      </w:r>
      <w:r>
        <w:rPr>
          <w:rFonts w:ascii="Times New Roman;Times;serif" w:hAnsi="Times New Roman;Times;serif"/>
          <w:sz w:val="20"/>
        </w:rPr>
        <w:t xml:space="preserve"> </w:t>
      </w:r>
      <w:r>
        <w:rPr>
          <w:rFonts w:ascii="Times New Roman;Times;serif" w:hAnsi="Times New Roman;Times;serif"/>
          <w:sz w:val="22"/>
        </w:rPr>
        <w:t xml:space="preserve">the actual daily amount by which the Aggregate Commitments exceed the sum of (i) the Outstanding Amount of Committed Loans and (ii) the Outstanding Amount of L/C Obligations, subject to adjustment as provided in </w:t>
      </w:r>
      <w:r>
        <w:rPr>
          <w:rFonts w:ascii="Times New Roman;Times;serif" w:hAnsi="Times New Roman;Times;serif"/>
          <w:sz w:val="22"/>
          <w:u w:val="single"/>
        </w:rPr>
        <w:t>Section 2.16</w:t>
      </w:r>
      <w:r>
        <w:rPr>
          <w:rFonts w:ascii="Times New Roman;Times;serif" w:hAnsi="Times New Roman;Times;serif"/>
          <w:sz w:val="22"/>
        </w:rPr>
        <w:t xml:space="preserve">.  For the avoidance of doubt, the Outstanding Amount of Swing Line Loans shall not be counted towards or considered usage of the Aggregate Commitments for purposes of determining the commitment fee. The commitment fee shall accrue at all times during the period commencing on the Closing Date and ending on the last day of the Availability Period, including at any time during which one or more of the conditions in </w:t>
      </w:r>
      <w:r>
        <w:rPr>
          <w:rFonts w:ascii="Times New Roman;Times;serif" w:hAnsi="Times New Roman;Times;serif"/>
          <w:sz w:val="22"/>
          <w:u w:val="single"/>
        </w:rPr>
        <w:t>Article IV</w:t>
      </w:r>
      <w:r>
        <w:rPr>
          <w:rFonts w:ascii="Times New Roman;Times;serif" w:hAnsi="Times New Roman;Times;serif"/>
          <w:sz w:val="20"/>
        </w:rPr>
        <w:t xml:space="preserve"> </w:t>
      </w:r>
      <w:r>
        <w:rPr>
          <w:rFonts w:ascii="Times New Roman;Times;serif" w:hAnsi="Times New Roman;Times;serif"/>
          <w:sz w:val="22"/>
        </w:rPr>
        <w:t>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Applicable Rate during any quarter, the actual daily amount shall be computed and multiplied by the Applicable Rate separately for each period during such quarter that such Applicable Rate was in effect.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Other Fees</w:t>
      </w:r>
      <w:r>
        <w:rPr>
          <w:rFonts w:ascii="Times New Roman;Times;serif" w:hAnsi="Times New Roman;Times;serif"/>
          <w:sz w:val="22"/>
        </w:rPr>
        <w:t>.</w:t>
      </w:r>
    </w:p>
    <w:p>
      <w:pPr>
        <w:pStyle w:val="TextBody"/>
        <w:bidi w:val="0"/>
        <w:spacing w:before="0" w:after="240"/>
        <w:ind w:left="2563" w:right="0" w:firstLine="720"/>
        <w:jc w:val="both"/>
        <w:rPr>
          <w:rFonts w:ascii="Times New Roman;Times;serif" w:hAnsi="Times New Roman;Times;serif"/>
          <w:sz w:val="22"/>
        </w:rPr>
      </w:pPr>
      <w:r>
        <w:rPr>
          <w:rFonts w:ascii="Times New Roman;Times;serif" w:hAnsi="Times New Roman;Times;serif"/>
          <w:sz w:val="22"/>
        </w:rPr>
        <w:t>(i)The Borrower shall pay, or cause to be paid, to the Arranger and the Agent for their own accounts fees in the amounts and at the times specified in the Fee Letter.  Such fees shall be fully earned when paid and shall not be refundable for any reason whatsoever.</w:t>
      </w:r>
    </w:p>
    <w:p>
      <w:pPr>
        <w:pStyle w:val="TextBody"/>
        <w:bidi w:val="0"/>
        <w:spacing w:before="0" w:after="240"/>
        <w:ind w:left="2563" w:right="0" w:firstLine="720"/>
        <w:jc w:val="both"/>
        <w:rPr>
          <w:rFonts w:ascii="Times New Roman;Times;serif" w:hAnsi="Times New Roman;Times;serif"/>
          <w:sz w:val="22"/>
        </w:rPr>
      </w:pPr>
      <w:r>
        <w:rPr>
          <w:rFonts w:ascii="Times New Roman;Times;serif" w:hAnsi="Times New Roman;Times;serif"/>
          <w:sz w:val="22"/>
        </w:rPr>
        <w:t>(ii)The Borrower shall pay, or cause to be paid, to the Lenders such fees as shall have been separately agreed upon in writing in the amounts and at the times so specified.  Such fees shall be fully earned when paid and shall not be refundable for any reason whatsoever.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2.10</w:t>
      </w:r>
      <w:r>
        <w:rPr>
          <w:rFonts w:ascii="Times New Roman;Times;serif" w:hAnsi="Times New Roman;Times;serif"/>
          <w:b/>
          <w:sz w:val="22"/>
        </w:rPr>
        <w:t>Computation of Interest and Fees; Retroactive Adjustment of Applicable Rate</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any Loan that is repaid on the same day on which it is made shall, subject to </w:t>
      </w:r>
      <w:r>
        <w:rPr>
          <w:rFonts w:ascii="Times New Roman;Times;serif" w:hAnsi="Times New Roman;Times;serif"/>
          <w:sz w:val="22"/>
          <w:u w:val="single"/>
        </w:rPr>
        <w:t>Section 2.12(a)</w:t>
      </w:r>
      <w:r>
        <w:rPr>
          <w:rFonts w:ascii="Times New Roman;Times;serif" w:hAnsi="Times New Roman;Times;serif"/>
          <w:sz w:val="22"/>
        </w:rPr>
        <w:t>, bear interest for one day.  Each determination by the Agent of an interest rate or fee hereunder shall be conclusive and binding for all purposes, absent manifest error.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If, as a result of any restatement of or other adjustment to the financial statements of the Borrower or for any other reason, the Borrower or the Lenders determine that (i) the Consolidated Net Leverage Ratio as calculated by the Borrower as of any applicable date was inaccurate and (ii) a proper calculation of the Consolidated Net Leverage Ratio would have resulted in higher pricing for such period, the Borrower shall immediately and retroactively be obligated to pay to the Agent for the account of the applicable Lenders or the L/C Issuer, as the case may be, promptly on demand by the Agent (or, after the occurrence of an actual or deemed entry of an order for relief with respect to the Borrower under the Bankruptcy Code of the United States, automatically and without further action by the Agent, any Lender or the L/C Issuer), an amount equal to the excess of the amount of interest and fees that should have been paid for such period over the amount of interest and fees actually paid for such period.  This paragraph shall not limit the rights of the Agent, any Lender or the L/C Issuer, as the case may be, under </w:t>
      </w:r>
      <w:r>
        <w:rPr>
          <w:rFonts w:ascii="Times New Roman;Times;serif" w:hAnsi="Times New Roman;Times;serif"/>
          <w:sz w:val="22"/>
          <w:u w:val="single"/>
        </w:rPr>
        <w:t>Section 2.03(c)(iii)</w:t>
      </w:r>
      <w:r>
        <w:rPr>
          <w:rFonts w:ascii="Times New Roman;Times;serif" w:hAnsi="Times New Roman;Times;serif"/>
          <w:sz w:val="22"/>
        </w:rPr>
        <w:t xml:space="preserve">, </w:t>
      </w:r>
      <w:r>
        <w:rPr>
          <w:rFonts w:ascii="Times New Roman;Times;serif" w:hAnsi="Times New Roman;Times;serif"/>
          <w:sz w:val="22"/>
          <w:u w:val="single"/>
        </w:rPr>
        <w:t>2.03(i)</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2.08(b)</w:t>
      </w:r>
      <w:r>
        <w:rPr>
          <w:rFonts w:ascii="Times New Roman;Times;serif" w:hAnsi="Times New Roman;Times;serif"/>
          <w:sz w:val="20"/>
        </w:rPr>
        <w:t xml:space="preserve"> </w:t>
      </w:r>
      <w:r>
        <w:rPr>
          <w:rFonts w:ascii="Times New Roman;Times;serif" w:hAnsi="Times New Roman;Times;serif"/>
          <w:sz w:val="22"/>
        </w:rPr>
        <w:t xml:space="preserve">or under </w:t>
      </w:r>
      <w:r>
        <w:rPr>
          <w:rFonts w:ascii="Times New Roman;Times;serif" w:hAnsi="Times New Roman;Times;serif"/>
          <w:sz w:val="22"/>
          <w:u w:val="single"/>
        </w:rPr>
        <w:t>Article VIII</w:t>
      </w:r>
      <w:r>
        <w:rPr>
          <w:rFonts w:ascii="Times New Roman;Times;serif" w:hAnsi="Times New Roman;Times;serif"/>
          <w:sz w:val="22"/>
        </w:rPr>
        <w:t>.  The Borrower’s obligations under this paragraph shall survive the termination of the Aggregate Commitments and the repayment of all other Obligations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2.11</w:t>
      </w:r>
      <w:r>
        <w:rPr>
          <w:rFonts w:ascii="Times New Roman;Times;serif" w:hAnsi="Times New Roman;Times;serif"/>
          <w:b/>
          <w:sz w:val="22"/>
        </w:rPr>
        <w:t>Evidence of Debt</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Credit Extensions made by each Lender shall be evidenced by one or more accounts or records maintained by such Lender and by the Agent in the ordinary course of business.  The accounts or records maintained by the Agent and each Lender shall be conclusive absent manifest error of the amount of the Credit Extensions made by the Lenders to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Agent in respect of such matters, the accounts and records of the Agent shall control in the absence of manifest error.  Upon the request of any Lender made through the Agent, the Borrower shall execute and deliver to such Lender (through the Agent) a Note, which shall evidence such Lender’s Loans in addition to such accounts or records.  Each Lender may attach schedules to its Note and endorse thereon the date, Type (if applicable), amount and maturity of its Loans and payments with respect thereto.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In addition to the accounts and records referred to in subsection (a), each Lender and the Agent shall maintain in accordance with its usual practice accounts or records evidencing the purchases and sales by such Lender of participations in Letters of Credit and Swing Line Loans.  In the event of any conflict between the accounts and records maintained by the Agent and the accounts and records of any Lender in respect of such matters, the accounts and records of the Agent shall control in the absence of manifest error.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2.12</w:t>
      </w:r>
      <w:r>
        <w:rPr>
          <w:rFonts w:ascii="Times New Roman;Times;serif" w:hAnsi="Times New Roman;Times;serif"/>
          <w:b/>
          <w:sz w:val="22"/>
        </w:rPr>
        <w:t>Payments Generally; Agent’s Clawback</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General</w:t>
      </w:r>
      <w:r>
        <w:rPr>
          <w:rFonts w:ascii="Times New Roman;Times;serif" w:hAnsi="Times New Roman;Times;serif"/>
          <w:sz w:val="22"/>
        </w:rPr>
        <w:t>.  All payments to be made by the Borrower shall be made free and clear of and without condition or deduction for any counterclaim, defense, recoupment or setoff.  Except as otherwise expressly provided herein, all payments by the Borrower hereunder shall be made to the Agent, for the account of the respective Lenders to which such payment is owed, at the Agent’s Office in Dollars and in immediately available funds not later than 11:00 a.m. on the date specified herein.  The Agent will promptly distribute to each Lender its Applicable Percentage (or other applicable share as provided herein) of such payment in like funds as received by wire transfer to such Lender’s Lending Office.  All payments received by the Agent after 11:00 a.m.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(i)</w:t>
      </w:r>
      <w:r>
        <w:rPr>
          <w:rFonts w:ascii="Times New Roman;Times;serif" w:hAnsi="Times New Roman;Times;serif"/>
          <w:sz w:val="22"/>
          <w:u w:val="single"/>
        </w:rPr>
        <w:t>Funding by Lenders; Presumption by Agent</w:t>
      </w:r>
      <w:r>
        <w:rPr>
          <w:rFonts w:ascii="Times New Roman;Times;serif" w:hAnsi="Times New Roman;Times;serif"/>
          <w:sz w:val="22"/>
        </w:rPr>
        <w:t xml:space="preserve">.  Unless the Agent shall have received notice from a Lender prior to the proposed date of any Committed Borrowing of Term SOFR Loans (or, in the case of any Committed Borrowing of Base Rate Loans, prior to 12:00 p.m. on the date of such Committed Borrowing) that such Lender will not make available to the Agent such Lender’s share of such Committed Borrowing, the Agent may assume that such Lender has made such share available on such date in accordance with </w:t>
      </w:r>
      <w:r>
        <w:rPr>
          <w:rFonts w:ascii="Times New Roman;Times;serif" w:hAnsi="Times New Roman;Times;serif"/>
          <w:sz w:val="22"/>
          <w:u w:val="single"/>
        </w:rPr>
        <w:t>Section 2.02</w:t>
      </w:r>
      <w:r>
        <w:rPr>
          <w:rFonts w:ascii="Times New Roman;Times;serif" w:hAnsi="Times New Roman;Times;serif"/>
          <w:sz w:val="20"/>
        </w:rPr>
        <w:t xml:space="preserve"> </w:t>
      </w:r>
      <w:r>
        <w:rPr>
          <w:rFonts w:ascii="Times New Roman;Times;serif" w:hAnsi="Times New Roman;Times;serif"/>
          <w:sz w:val="22"/>
        </w:rPr>
        <w:t xml:space="preserve">(or, in the case of a Committed Borrowing of Base Rate Loans, that such Lender has made such share available in accordance with and at the time required by </w:t>
      </w:r>
      <w:r>
        <w:rPr>
          <w:rFonts w:ascii="Times New Roman;Times;serif" w:hAnsi="Times New Roman;Times;serif"/>
          <w:sz w:val="22"/>
          <w:u w:val="single"/>
        </w:rPr>
        <w:t>Section 2.02</w:t>
      </w:r>
      <w:r>
        <w:rPr>
          <w:rFonts w:ascii="Times New Roman;Times;serif" w:hAnsi="Times New Roman;Times;serif"/>
          <w:sz w:val="22"/>
        </w:rPr>
        <w:t>) and may, in reliance upon such assumption, make available to the Borrower a corresponding amount.  In such event, if a Lender has not in fact made its share of the applicable Committed Borrowing available to the Agent, then the applicable Lender and the Borrower severally agree to pay to the Agent forthwith on demand such corresponding amount in immediately available funds with interest thereon, for each day from and including the date such amount is made available to the Borrower to but excluding the date of payment to the Agent, at (A) in the case of a payment to be made by such Lender, the greater of the Federal Funds Rate and a rate determined by the Agent in accordance with banking industry rules on interbank compensation, plus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44</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administrative, processing or similar fees customarily charged by the Agent in connection with the foregoing, and (B) in the case of a payment to be made by the Borrower, the interest rate applicable to Base Rate Loans.  If the Borrower and such Lender shall pay such interest to the Agent for the same or an overlapping period, the Agent shall promptly remit to the Borrower the amount of such interest paid by the Borrower for such period.  If such Lender pays its share of the applicable Committed Borrowing to the Agent, then the amount so paid shall constitute such Lender’s Committed Loan included in such Committed Borrowing.  Any payment by the Borrower shall be without prejudice to any claim the Borrower may have against a Lender that shall have failed to make such payment to the Agent.</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(ii)</w:t>
      </w:r>
      <w:r>
        <w:rPr>
          <w:rFonts w:ascii="Times New Roman;Times;serif" w:hAnsi="Times New Roman;Times;serif"/>
          <w:sz w:val="22"/>
          <w:u w:val="single"/>
        </w:rPr>
        <w:t>Payments by Borrower; Presumptions by Agent</w:t>
      </w:r>
      <w:r>
        <w:rPr>
          <w:rFonts w:ascii="Times New Roman;Times;serif" w:hAnsi="Times New Roman;Times;serif"/>
          <w:sz w:val="22"/>
        </w:rPr>
        <w:t>.  Unless the Agent shall have received notice from the Borrower prior to the date on which any payment is due to the Agent for the account of the Lenders or the L/C Issuer hereunder that the Borrower will not make such payment, the Agent may assume that the Borrower has made such payment on such date in accordance herewith and may, in reliance upon such assumption, distribute to the applicable Lenders or the L/C Issuer, as the case may be, the amount due. With respect to any payment that the Agent makes for the account of the Lenders or the L/C Issuer hereunder as to which the Agent determines (which determination shall be conclusive absent manifest error) that any of the following applies (such payment referred to as the “</w:t>
      </w:r>
      <w:r>
        <w:rPr>
          <w:rFonts w:ascii="Times New Roman;Times;serif" w:hAnsi="Times New Roman;Times;serif"/>
          <w:sz w:val="22"/>
          <w:u w:val="single"/>
        </w:rPr>
        <w:t>Rescindable Amount</w:t>
      </w:r>
      <w:r>
        <w:rPr>
          <w:rFonts w:ascii="Times New Roman;Times;serif" w:hAnsi="Times New Roman;Times;serif"/>
          <w:sz w:val="20"/>
        </w:rPr>
        <w:t>”</w:t>
      </w:r>
      <w:r>
        <w:rPr>
          <w:rFonts w:ascii="Times New Roman;Times;serif" w:hAnsi="Times New Roman;Times;serif"/>
          <w:sz w:val="22"/>
        </w:rPr>
        <w:t>): (1) the Borrower has not in fact made such payment; (2) the Agent has made a payment in excess of the amount so paid by the Borrower (whether or not then owed); or (3) the Agent has for any reason otherwise erroneously made such payment; then each of the Lenders or the L/C Issuer, as the case may be, severally agrees to repay to the Agent forthwith on demand the Rescindable Amount so distributed to such Lender or the L/C Issuer, in immediately available funds with interest thereon, for each day from and including the date such amount is distributed to it to but excluding the date of payment to the Agent, at the greater of the Federal Funds Rate and a rate determined by the Agent in accordance with banking industry rules on interbank compensation.</w:t>
      </w:r>
    </w:p>
    <w:p>
      <w:pPr>
        <w:pStyle w:val="TextBody"/>
        <w:bidi w:val="0"/>
        <w:spacing w:before="0" w:after="240"/>
        <w:ind w:left="720" w:right="0" w:firstLine="720"/>
        <w:jc w:val="both"/>
        <w:rPr>
          <w:rFonts w:ascii="Times New Roman;Times;serif" w:hAnsi="Times New Roman;Times;serif"/>
          <w:sz w:val="22"/>
        </w:rPr>
      </w:pPr>
      <w:r>
        <w:rPr>
          <w:rFonts w:ascii="Times New Roman;Times;serif" w:hAnsi="Times New Roman;Times;serif"/>
          <w:sz w:val="22"/>
        </w:rPr>
        <w:t>A notice of the Agent to any Lender or the Borrower with respect to any amount owing under this subsection (b) shall be conclusive, absent manifest error.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Failure to Satisfy Conditions Precedent</w:t>
      </w:r>
      <w:r>
        <w:rPr>
          <w:rFonts w:ascii="Times New Roman;Times;serif" w:hAnsi="Times New Roman;Times;serif"/>
          <w:sz w:val="22"/>
        </w:rPr>
        <w:t xml:space="preserve">.  If any Lender makes available to the Agent funds for any Loan to be made by such Lender as provided in the foregoing provisions of this </w:t>
      </w:r>
      <w:r>
        <w:rPr>
          <w:rFonts w:ascii="Times New Roman;Times;serif" w:hAnsi="Times New Roman;Times;serif"/>
          <w:sz w:val="22"/>
          <w:u w:val="single"/>
        </w:rPr>
        <w:t>Article II</w:t>
      </w:r>
      <w:r>
        <w:rPr>
          <w:rFonts w:ascii="Times New Roman;Times;serif" w:hAnsi="Times New Roman;Times;serif"/>
          <w:sz w:val="22"/>
        </w:rPr>
        <w:t xml:space="preserve">, and such funds are not made available to the Borrower by the Agent because the conditions to the applicable Credit Extension set forth in </w:t>
      </w:r>
      <w:r>
        <w:rPr>
          <w:rFonts w:ascii="Times New Roman;Times;serif" w:hAnsi="Times New Roman;Times;serif"/>
          <w:sz w:val="22"/>
          <w:u w:val="single"/>
        </w:rPr>
        <w:t>Article IV</w:t>
      </w:r>
      <w:r>
        <w:rPr>
          <w:rFonts w:ascii="Times New Roman;Times;serif" w:hAnsi="Times New Roman;Times;serif"/>
          <w:sz w:val="20"/>
        </w:rPr>
        <w:t xml:space="preserve"> </w:t>
      </w:r>
      <w:r>
        <w:rPr>
          <w:rFonts w:ascii="Times New Roman;Times;serif" w:hAnsi="Times New Roman;Times;serif"/>
          <w:sz w:val="22"/>
        </w:rPr>
        <w:t>are not satisfied or waived in accordance with the terms hereof, the Agent shall return such funds (in like funds as received from such Lender) to such Lender, without interest.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Obligations of Lenders Several</w:t>
      </w:r>
      <w:r>
        <w:rPr>
          <w:rFonts w:ascii="Times New Roman;Times;serif" w:hAnsi="Times New Roman;Times;serif"/>
          <w:sz w:val="22"/>
        </w:rPr>
        <w:t xml:space="preserve">.  The obligations of the Lenders hereunder to make Committed Loans, to fund participations in Letters of Credit and Swing Line Loans and to make payments pursuant to </w:t>
      </w:r>
      <w:r>
        <w:rPr>
          <w:rFonts w:ascii="Times New Roman;Times;serif" w:hAnsi="Times New Roman;Times;serif"/>
          <w:sz w:val="22"/>
          <w:u w:val="single"/>
        </w:rPr>
        <w:t>Section 10.04(c)</w:t>
      </w:r>
      <w:r>
        <w:rPr>
          <w:rFonts w:ascii="Times New Roman;Times;serif" w:hAnsi="Times New Roman;Times;serif"/>
          <w:sz w:val="20"/>
        </w:rPr>
        <w:t xml:space="preserve"> </w:t>
      </w:r>
      <w:r>
        <w:rPr>
          <w:rFonts w:ascii="Times New Roman;Times;serif" w:hAnsi="Times New Roman;Times;serif"/>
          <w:sz w:val="22"/>
        </w:rPr>
        <w:t xml:space="preserve">are several and not joint.  The failure of any Lender to make any Committed Loan, to fund any such participation or to make any payment under </w:t>
      </w:r>
      <w:r>
        <w:rPr>
          <w:rFonts w:ascii="Times New Roman;Times;serif" w:hAnsi="Times New Roman;Times;serif"/>
          <w:sz w:val="22"/>
          <w:u w:val="single"/>
        </w:rPr>
        <w:t>Section 10.04(c)</w:t>
      </w:r>
      <w:r>
        <w:rPr>
          <w:rFonts w:ascii="Times New Roman;Times;serif" w:hAnsi="Times New Roman;Times;serif"/>
          <w:sz w:val="20"/>
        </w:rPr>
        <w:t xml:space="preserve"> </w:t>
      </w:r>
      <w:r>
        <w:rPr>
          <w:rFonts w:ascii="Times New Roman;Times;serif" w:hAnsi="Times New Roman;Times;serif"/>
          <w:sz w:val="22"/>
        </w:rPr>
        <w:t>on any date required hereunder shall not relieve any other Lender of its corresponding obligation to do so on such date, and no Lender shall be responsible for the failure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of any other Lender to so make its Committed Loan, to purchase its participation or to make its payment under </w:t>
      </w:r>
      <w:r>
        <w:rPr>
          <w:rFonts w:ascii="Times New Roman;Times;serif" w:hAnsi="Times New Roman;Times;serif"/>
          <w:sz w:val="22"/>
          <w:u w:val="single"/>
        </w:rPr>
        <w:t>Section 10.04(c)</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Funding Source</w:t>
      </w:r>
      <w:r>
        <w:rPr>
          <w:rFonts w:ascii="Times New Roman;Times;serif" w:hAnsi="Times New Roman;Times;serif"/>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2.13</w:t>
      </w:r>
      <w:r>
        <w:rPr>
          <w:rFonts w:ascii="Times New Roman;Times;serif" w:hAnsi="Times New Roman;Times;serif"/>
          <w:b/>
          <w:sz w:val="22"/>
        </w:rPr>
        <w:t>Sharing of Payments by Lenders.  </w:t>
      </w:r>
      <w:r>
        <w:rPr>
          <w:rFonts w:ascii="Times New Roman;Times;serif" w:hAnsi="Times New Roman;Times;serif"/>
          <w:sz w:val="22"/>
        </w:rPr>
        <w:t xml:space="preserve">If any Lender shall, by exercising any right of setoff or counterclaim or otherwise, obtain payment in respect of any principal of or interest on any of the Committed Loans made by it, or the participations in L/C Obligations or in Swing Line Loans held by it resulting in such Lender’s receiving payment of a proportion of the aggregate amount of such Committed Loans or participations and accrued interest thereon greater than its </w:t>
      </w:r>
      <w:r>
        <w:rPr>
          <w:rFonts w:ascii="Times New Roman;Times;serif" w:hAnsi="Times New Roman;Times;serif"/>
          <w:sz w:val="22"/>
          <w:u w:val="single"/>
        </w:rPr>
        <w:t>pro rata</w:t>
      </w:r>
      <w:r>
        <w:rPr>
          <w:rFonts w:ascii="Times New Roman;Times;serif" w:hAnsi="Times New Roman;Times;serif"/>
          <w:sz w:val="20"/>
        </w:rPr>
        <w:t xml:space="preserve"> </w:t>
      </w:r>
      <w:r>
        <w:rPr>
          <w:rFonts w:ascii="Times New Roman;Times;serif" w:hAnsi="Times New Roman;Times;serif"/>
          <w:sz w:val="22"/>
        </w:rPr>
        <w:t xml:space="preserve">share thereof as provided herein, then the Lender receiving such greater proportion shall (a) notify the Agent of such fact, and (b) purchase (for cash at face value) participations in the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before="0" w:after="240"/>
        <w:ind w:left="2563" w:right="0" w:firstLine="720"/>
        <w:jc w:val="both"/>
        <w:rPr>
          <w:rFonts w:ascii="Times New Roman;Times;serif" w:hAnsi="Times New Roman;Times;serif"/>
          <w:sz w:val="20"/>
        </w:rPr>
      </w:pPr>
      <w:r>
        <w:rPr>
          <w:rFonts w:ascii="Times New Roman;Times;serif" w:hAnsi="Times New Roman;Times;serif"/>
          <w:sz w:val="22"/>
        </w:rPr>
        <w:t xml:space="preserve">(ii)the provisions of this Section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w:t>
      </w:r>
      <w:r>
        <w:rPr>
          <w:rFonts w:ascii="Times New Roman;Times;serif" w:hAnsi="Times New Roman;Times;serif"/>
          <w:sz w:val="22"/>
          <w:u w:val="single"/>
        </w:rPr>
        <w:t>Section 2.15</w:t>
      </w:r>
      <w:r>
        <w:rPr>
          <w:rFonts w:ascii="Times New Roman;Times;serif" w:hAnsi="Times New Roman;Times;serif"/>
          <w:sz w:val="22"/>
        </w:rPr>
        <w:t>, or (z) any payment obtained by a Lender as consideration for the assignment of or sale of a participation in any of its Committed Loans or subparticipations in L/C Obligations or Swing Line Loans to any assignee or participant, other than an assignment to the Borrower or any Subsidiary thereof (as to which the provisions of this Section shall apply).</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Borrower consents to the foregoing and agrees, to the extent it may effectively do so under applicable law, that any Lender acquiring a participation pursuant to the foregoing arrangements may exercise against any Loan Party rights of setoff and counterclaim with respect to such participation as fully as if such Lender were a direct creditor of such Loan Party in the amount of such participation.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2.14</w:t>
      </w:r>
      <w:r>
        <w:rPr>
          <w:rFonts w:ascii="Times New Roman;Times;serif" w:hAnsi="Times New Roman;Times;serif"/>
          <w:b/>
          <w:sz w:val="22"/>
        </w:rPr>
        <w:t>Increases of Aggregate Commitments</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The Borrower shall have the right, upon at least five Business Days’ prior written notice to the Agent, to increase the Aggregate Commitments by up to $300,000,000 in the aggregate in one or more increases, at any time prior to the date that is three months prior to the Maturity Date, </w:t>
      </w:r>
      <w:r>
        <w:rPr>
          <w:rFonts w:ascii="Times New Roman;Times;serif" w:hAnsi="Times New Roman;Times;serif"/>
          <w:sz w:val="22"/>
          <w:u w:val="single"/>
        </w:rPr>
        <w:t>subject</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in any such case, to satisfaction of the following conditions precedent: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Aggregate Commitments shall not exceed $950,000,000 without the consent of the Required Lenders;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no Default shall have occurred and be continuing on the date on which such increase is to become effective;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the representations and warranties set forth in </w:t>
      </w:r>
      <w:r>
        <w:rPr>
          <w:rFonts w:ascii="Times New Roman;Times;serif" w:hAnsi="Times New Roman;Times;serif"/>
          <w:sz w:val="22"/>
          <w:u w:val="single"/>
        </w:rPr>
        <w:t>Article V</w:t>
      </w:r>
      <w:r>
        <w:rPr>
          <w:rFonts w:ascii="Times New Roman;Times;serif" w:hAnsi="Times New Roman;Times;serif"/>
          <w:sz w:val="20"/>
        </w:rPr>
        <w:t xml:space="preserve"> </w:t>
      </w:r>
      <w:r>
        <w:rPr>
          <w:rFonts w:ascii="Times New Roman;Times;serif" w:hAnsi="Times New Roman;Times;serif"/>
          <w:sz w:val="22"/>
        </w:rPr>
        <w:t>shall be true and correct in all material respects (or, if such representation or warranty is qualified by materiality or Material Adverse Effect, it shall be true and correct in all respects as drafted) on and as of the date on which such increase is to become effective, except to the extent that such representations and warranties specifically refer to an earlier date, in which case they shall be true and correct in all material respects (or, if such representation or warranty is qualified by materiality or material adverse effect, it shall be true and correct in all respects as drafted) as of such earlier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such increase shall be in a minimum amount of $10,000,000, or such lesser amount equal to the remaining available increase amount, and in integral multiples of $1,000,000 in excess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such requested increase shall only be effective upon receipt by the Agent of (i) additional Commitments in a corresponding amount of such requested increase from either existing Lenders and/or one or more other institutions that qualify as Eligible Assignees (it being understood and agreed that no existing Lender shall be required to provide an additional Commitment) and (ii) documentation from each institution providing an additional Commitment evidencing its additional Commitment and its obligations under this Agreement in form and substance acceptable to the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 xml:space="preserve">the Agent shall have received all documents (including resolutions of the board of directors of the Loan Parties and opinions of counsel to the Loan Parties) it may reasonably request relating to the corporate or other necessary authority for such increase and the validity of such increase in the Aggregate Commitments, and any other matters relevant thereto, all in form and substance reasonably satisfactory to the Agent (it being understood that such documents will be limited, if applicable, to an officer’s certificate to the effect that the board resolutions of the Loan Parties adopted on or prior to the Closing Date and delivered pursuant to </w:t>
      </w:r>
      <w:r>
        <w:rPr>
          <w:rFonts w:ascii="Times New Roman;Times;serif" w:hAnsi="Times New Roman;Times;serif"/>
          <w:sz w:val="22"/>
          <w:u w:val="single"/>
        </w:rPr>
        <w:t>Section 4.01(a)(ii)</w:t>
      </w:r>
      <w:r>
        <w:rPr>
          <w:rFonts w:ascii="Times New Roman;Times;serif" w:hAnsi="Times New Roman;Times;serif"/>
          <w:sz w:val="20"/>
        </w:rPr>
        <w:t xml:space="preserve"> </w:t>
      </w:r>
      <w:r>
        <w:rPr>
          <w:rFonts w:ascii="Times New Roman;Times;serif" w:hAnsi="Times New Roman;Times;serif"/>
          <w:sz w:val="22"/>
        </w:rPr>
        <w:t>remain in full force and effect and have not been modified);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 xml:space="preserve">if any Committed Loans are outstanding at the time of the increase in the Aggregate Commitments, the Borrower shall, if applicable, prepay one or more existing Committed Loans (such prepayment to be subject to </w:t>
      </w:r>
      <w:r>
        <w:rPr>
          <w:rFonts w:ascii="Times New Roman;Times;serif" w:hAnsi="Times New Roman;Times;serif"/>
          <w:sz w:val="22"/>
          <w:u w:val="single"/>
        </w:rPr>
        <w:t>Section 3.05</w:t>
      </w:r>
      <w:r>
        <w:rPr>
          <w:rFonts w:ascii="Times New Roman;Times;serif" w:hAnsi="Times New Roman;Times;serif"/>
          <w:sz w:val="22"/>
        </w:rPr>
        <w:t>) in an amount necessary such that after giving effect to the increase in the Aggregate Commitments, each Lender will hold its pro rata share (based on its Applicable Percentage of the increased Aggregate Commitments) of outstanding Committed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2.15</w:t>
      </w:r>
      <w:r>
        <w:rPr>
          <w:rFonts w:ascii="Times New Roman;Times;serif" w:hAnsi="Times New Roman;Times;serif"/>
          <w:b/>
          <w:sz w:val="22"/>
        </w:rPr>
        <w:t>Cash Collateral</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Certain Credit Support Events</w:t>
      </w:r>
      <w:r>
        <w:rPr>
          <w:rFonts w:ascii="Times New Roman;Times;serif" w:hAnsi="Times New Roman;Times;serif"/>
          <w:sz w:val="22"/>
        </w:rPr>
        <w:t xml:space="preserve">.  If (i) the L/C Issuer has honored any full or partial drawing request under any Letter of Credit and such drawing has resulted in an L/C Borrowing, (ii) as of the Letter of Credit Expiration Date, any L/C Obligation for any reason remains outstanding, (iii) the Borrower shall be required to provide Cash Collateral pursuant to </w:t>
      </w:r>
      <w:r>
        <w:rPr>
          <w:rFonts w:ascii="Times New Roman;Times;serif" w:hAnsi="Times New Roman;Times;serif"/>
          <w:sz w:val="22"/>
          <w:u w:val="single"/>
        </w:rPr>
        <w:t>Section 8.02(c)</w:t>
      </w:r>
      <w:r>
        <w:rPr>
          <w:rFonts w:ascii="Times New Roman;Times;serif" w:hAnsi="Times New Roman;Times;serif"/>
          <w:sz w:val="22"/>
        </w:rPr>
        <w:t xml:space="preserve">, or (iv) there shall exist a Defaulting Lender, the Borrower shall immediately (in the case of </w:t>
      </w:r>
      <w:r>
        <w:rPr>
          <w:rFonts w:ascii="Times New Roman;Times;serif" w:hAnsi="Times New Roman;Times;serif"/>
          <w:sz w:val="22"/>
          <w:u w:val="single"/>
        </w:rPr>
        <w:t>clause (iii)</w:t>
      </w:r>
      <w:r>
        <w:rPr>
          <w:rFonts w:ascii="Times New Roman;Times;serif" w:hAnsi="Times New Roman;Times;serif"/>
          <w:sz w:val="20"/>
        </w:rPr>
        <w:t xml:space="preserve"> </w:t>
      </w:r>
      <w:r>
        <w:rPr>
          <w:rFonts w:ascii="Times New Roman;Times;serif" w:hAnsi="Times New Roman;Times;serif"/>
          <w:sz w:val="22"/>
        </w:rPr>
        <w:t xml:space="preserve">above) or within one Business Day (in all other cases) following any request by the Agent or the L/C Issuer, provide Cash Collateral in an amount not less than the applicable Minimum Collateral Amount (determined in the case of Cash Collateral provided pursuant to </w:t>
      </w:r>
      <w:r>
        <w:rPr>
          <w:rFonts w:ascii="Times New Roman;Times;serif" w:hAnsi="Times New Roman;Times;serif"/>
          <w:sz w:val="22"/>
          <w:u w:val="single"/>
        </w:rPr>
        <w:t>clause (iv)</w:t>
      </w:r>
      <w:r>
        <w:rPr>
          <w:rFonts w:ascii="Times New Roman;Times;serif" w:hAnsi="Times New Roman;Times;serif"/>
          <w:sz w:val="20"/>
        </w:rPr>
        <w:t xml:space="preserve"> </w:t>
      </w:r>
      <w:r>
        <w:rPr>
          <w:rFonts w:ascii="Times New Roman;Times;serif" w:hAnsi="Times New Roman;Times;serif"/>
          <w:sz w:val="22"/>
        </w:rPr>
        <w:t xml:space="preserve">above, after giving effect to </w:t>
      </w:r>
      <w:r>
        <w:rPr>
          <w:rFonts w:ascii="Times New Roman;Times;serif" w:hAnsi="Times New Roman;Times;serif"/>
          <w:sz w:val="22"/>
          <w:u w:val="single"/>
        </w:rPr>
        <w:t>Section 2.16(a)(iv)</w:t>
      </w:r>
      <w:r>
        <w:rPr>
          <w:rFonts w:ascii="Times New Roman;Times;serif" w:hAnsi="Times New Roman;Times;serif"/>
          <w:sz w:val="20"/>
        </w:rPr>
        <w:t xml:space="preserve"> </w:t>
      </w:r>
      <w:r>
        <w:rPr>
          <w:rFonts w:ascii="Times New Roman;Times;serif" w:hAnsi="Times New Roman;Times;serif"/>
          <w:sz w:val="22"/>
        </w:rPr>
        <w:t>and any Cash Collateral provided by the Defaulting Lender).  For purposes of clarification, if Fronting Exposure remains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47</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after giving effect to </w:t>
      </w:r>
      <w:r>
        <w:rPr>
          <w:rFonts w:ascii="Times New Roman;Times;serif" w:hAnsi="Times New Roman;Times;serif"/>
          <w:sz w:val="22"/>
          <w:u w:val="single"/>
        </w:rPr>
        <w:t>Section 2.16(a)(iv)</w:t>
      </w:r>
      <w:r>
        <w:rPr>
          <w:rFonts w:ascii="Times New Roman;Times;serif" w:hAnsi="Times New Roman;Times;serif"/>
          <w:sz w:val="22"/>
        </w:rPr>
        <w:t xml:space="preserve">, the Agent shall </w:t>
      </w:r>
      <w:r>
        <w:rPr>
          <w:rFonts w:ascii="Times New Roman;Times;serif" w:hAnsi="Times New Roman;Times;serif"/>
          <w:sz w:val="22"/>
          <w:u w:val="single"/>
        </w:rPr>
        <w:t>first</w:t>
      </w:r>
      <w:r>
        <w:rPr>
          <w:rFonts w:ascii="Times New Roman;Times;serif" w:hAnsi="Times New Roman;Times;serif"/>
          <w:sz w:val="20"/>
        </w:rPr>
        <w:t xml:space="preserve"> </w:t>
      </w:r>
      <w:r>
        <w:rPr>
          <w:rFonts w:ascii="Times New Roman;Times;serif" w:hAnsi="Times New Roman;Times;serif"/>
          <w:sz w:val="22"/>
        </w:rPr>
        <w:t xml:space="preserve">request that the Defaulting Lender deliver to the Agent Cash Collateral in an amount sufficient to cover the remaining Fronting Exposure and, </w:t>
      </w:r>
      <w:r>
        <w:rPr>
          <w:rFonts w:ascii="Times New Roman;Times;serif" w:hAnsi="Times New Roman;Times;serif"/>
          <w:sz w:val="22"/>
          <w:u w:val="single"/>
        </w:rPr>
        <w:t>second</w:t>
      </w:r>
      <w:r>
        <w:rPr>
          <w:rFonts w:ascii="Times New Roman;Times;serif" w:hAnsi="Times New Roman;Times;serif"/>
          <w:sz w:val="22"/>
        </w:rPr>
        <w:t>, to the extent Fronting Exposure remains after giving effect to Cash Collateral provided by the Defaulting Lender, the Agent shall request that the Borrower deliver to the Agent Cash Collateral in an amount sufficient to cover the remaining Fronting Exposure.  Such Cash Collateralization may be effected by means of a Borrowing of Committed Loans or a funding of participation interests (assuming for such purposes that the Letters of Credit that will survive the Maturity Date had been fully drawn on the Letter of Credit Expiration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Grant of Security Interest</w:t>
      </w:r>
      <w:r>
        <w:rPr>
          <w:rFonts w:ascii="Times New Roman;Times;serif" w:hAnsi="Times New Roman;Times;serif"/>
          <w:sz w:val="22"/>
        </w:rPr>
        <w:t xml:space="preserve">.  All Cash Collateral (other than credit support not constituting funds subject to deposit) shall be maintained in blocked, non-interest bearing deposit accounts at Bank of America.  As of the Closing Date, the Borrower, and to the extent provided by any Defaulting Lender, such Defaulting Lender, hereby grants to (and subjects to the control of) the Agent, for the benefit of the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Times;serif" w:hAnsi="Times New Roman;Times;serif"/>
          <w:sz w:val="22"/>
          <w:u w:val="single"/>
        </w:rPr>
        <w:t>Section 2.15(c)</w:t>
      </w:r>
      <w:r>
        <w:rPr>
          <w:rFonts w:ascii="Times New Roman;Times;serif" w:hAnsi="Times New Roman;Times;serif"/>
          <w:sz w:val="22"/>
        </w:rPr>
        <w:t>.  If at any time the Agent determines that Cash Collateral is subject to any right or claim of any Person other than the Agent or the L/C Issuer as herein provided, or that the total amount of such Cash Collateral is less than the Minimum Collateral Amount, the relevant Defaulting Lender and, to the extent Fronting Exposure remains thereafter, the Borrower will promptly upon demand by the Agent, pay or provide to the Agent additional Cash Collateral in an amount sufficient to eliminate such deficiency.   The relevant Defaulting Lender or, to the extent not paid by the relevant Defaulting Lender, the Borrower, shall pay on demand therefor from time to time all customary account opening, activity and other administrative fees and charges in connection with the maintenance and disbursement of Cash Collateral.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Application</w:t>
      </w:r>
      <w:r>
        <w:rPr>
          <w:rFonts w:ascii="Times New Roman;Times;serif" w:hAnsi="Times New Roman;Times;serif"/>
          <w:sz w:val="22"/>
        </w:rPr>
        <w:t xml:space="preserve">.  Notwithstanding anything to the contrary contained in this Agreement, Cash Collateral provided under any of this </w:t>
      </w:r>
      <w:r>
        <w:rPr>
          <w:rFonts w:ascii="Times New Roman;Times;serif" w:hAnsi="Times New Roman;Times;serif"/>
          <w:sz w:val="22"/>
          <w:u w:val="single"/>
        </w:rPr>
        <w:t>Section 2.15</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Sections 2.03</w:t>
      </w:r>
      <w:r>
        <w:rPr>
          <w:rFonts w:ascii="Times New Roman;Times;serif" w:hAnsi="Times New Roman;Times;serif"/>
          <w:sz w:val="22"/>
        </w:rPr>
        <w:t xml:space="preserve">, </w:t>
      </w:r>
      <w:r>
        <w:rPr>
          <w:rFonts w:ascii="Times New Roman;Times;serif" w:hAnsi="Times New Roman;Times;serif"/>
          <w:sz w:val="22"/>
          <w:u w:val="single"/>
        </w:rPr>
        <w:t>2.04</w:t>
      </w:r>
      <w:r>
        <w:rPr>
          <w:rFonts w:ascii="Times New Roman;Times;serif" w:hAnsi="Times New Roman;Times;serif"/>
          <w:sz w:val="22"/>
        </w:rPr>
        <w:t xml:space="preserve">, </w:t>
      </w:r>
      <w:r>
        <w:rPr>
          <w:rFonts w:ascii="Times New Roman;Times;serif" w:hAnsi="Times New Roman;Times;serif"/>
          <w:sz w:val="22"/>
          <w:u w:val="single"/>
        </w:rPr>
        <w:t>2.05</w:t>
      </w:r>
      <w:r>
        <w:rPr>
          <w:rFonts w:ascii="Times New Roman;Times;serif" w:hAnsi="Times New Roman;Times;serif"/>
          <w:sz w:val="22"/>
        </w:rPr>
        <w:t xml:space="preserve">, </w:t>
      </w:r>
      <w:r>
        <w:rPr>
          <w:rFonts w:ascii="Times New Roman;Times;serif" w:hAnsi="Times New Roman;Times;serif"/>
          <w:sz w:val="22"/>
          <w:u w:val="single"/>
        </w:rPr>
        <w:t>2.16</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8.02</w:t>
      </w:r>
      <w:r>
        <w:rPr>
          <w:rFonts w:ascii="Times New Roman;Times;serif" w:hAnsi="Times New Roman;Times;serif"/>
          <w:sz w:val="20"/>
        </w:rPr>
        <w:t xml:space="preserve"> </w:t>
      </w:r>
      <w:r>
        <w:rPr>
          <w:rFonts w:ascii="Times New Roman;Times;serif" w:hAnsi="Times New Roman;Times;serif"/>
          <w:sz w:val="22"/>
        </w:rPr>
        <w:t>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Release</w:t>
      </w:r>
      <w:r>
        <w:rPr>
          <w:rFonts w:ascii="Times New Roman;Times;serif" w:hAnsi="Times New Roman;Times;serif"/>
          <w:sz w:val="22"/>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Times;serif" w:hAnsi="Times New Roman;Times;serif"/>
          <w:sz w:val="22"/>
          <w:u w:val="single"/>
        </w:rPr>
        <w:t>Section 10.06(b)(vi)</w:t>
      </w:r>
      <w:r>
        <w:rPr>
          <w:rFonts w:ascii="Times New Roman;Times;serif" w:hAnsi="Times New Roman;Times;serif"/>
          <w:sz w:val="22"/>
        </w:rPr>
        <w:t xml:space="preserve">)) or (ii) the Agent’s and the L/C Issuer’s good faith determination that there exists excess Cash Collateral;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(x) that Cash Collateral furnished by or on behalf of the Borrower shall not be released during the continuance of a Default (and following application as provided in this </w:t>
      </w:r>
      <w:r>
        <w:rPr>
          <w:rFonts w:ascii="Times New Roman;Times;serif" w:hAnsi="Times New Roman;Times;serif"/>
          <w:sz w:val="22"/>
          <w:u w:val="single"/>
        </w:rPr>
        <w:t>Section 2.15</w:t>
      </w:r>
      <w:r>
        <w:rPr>
          <w:rFonts w:ascii="Times New Roman;Times;serif" w:hAnsi="Times New Roman;Times;serif"/>
          <w:sz w:val="20"/>
        </w:rPr>
        <w:t xml:space="preserve"> </w:t>
      </w:r>
      <w:r>
        <w:rPr>
          <w:rFonts w:ascii="Times New Roman;Times;serif" w:hAnsi="Times New Roman;Times;serif"/>
          <w:sz w:val="22"/>
        </w:rPr>
        <w:t xml:space="preserve">may be otherwise applied in accordance with </w:t>
      </w:r>
      <w:r>
        <w:rPr>
          <w:rFonts w:ascii="Times New Roman;Times;serif" w:hAnsi="Times New Roman;Times;serif"/>
          <w:sz w:val="22"/>
          <w:u w:val="single"/>
        </w:rPr>
        <w:t>Section 8.03</w:t>
      </w:r>
      <w:r>
        <w:rPr>
          <w:rFonts w:ascii="Times New Roman;Times;serif" w:hAnsi="Times New Roman;Times;serif"/>
          <w:sz w:val="22"/>
        </w:rPr>
        <w:t>), and (y) the Person providing Cash Collateral and the L/C Issuer, as applicable, may agree that Cash Collateral shall not be released but instead held to support future anticipated Fronting Exposure or other obligations.  Between a Defaulting Lender and the Borrower as to any particular Cash Collateral, the Cash Collateral furnished by the Borrower shall be released prior to any Cash Collateral furnished by the Defaulting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2.16</w:t>
      </w:r>
      <w:r>
        <w:rPr>
          <w:rFonts w:ascii="Times New Roman;Times;serif" w:hAnsi="Times New Roman;Times;serif"/>
          <w:b/>
          <w:sz w:val="22"/>
        </w:rPr>
        <w:t>Defaulting Lenders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48</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Adjustments</w:t>
      </w:r>
      <w:r>
        <w:rPr>
          <w:rFonts w:ascii="Times New Roman;Times;serif" w:hAnsi="Times New Roman;Times;serif"/>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(i)</w:t>
      </w:r>
      <w:r>
        <w:rPr>
          <w:rFonts w:ascii="Times New Roman;Times;serif" w:hAnsi="Times New Roman;Times;serif"/>
          <w:sz w:val="22"/>
          <w:u w:val="single"/>
        </w:rPr>
        <w:t>Waivers and Amendments</w:t>
      </w:r>
      <w:r>
        <w:rPr>
          <w:rFonts w:ascii="Times New Roman;Times;serif" w:hAnsi="Times New Roman;Times;serif"/>
          <w:sz w:val="22"/>
        </w:rPr>
        <w:t xml:space="preserve">.  Such Defaulting Lender’s right to approve or disapprove any amendment, waiver or consent with respect to this Agreement shall be restricted as set forth in the definition of “Required Lenders” and </w:t>
      </w:r>
      <w:r>
        <w:rPr>
          <w:rFonts w:ascii="Times New Roman;Times;serif" w:hAnsi="Times New Roman;Times;serif"/>
          <w:sz w:val="22"/>
          <w:u w:val="single"/>
        </w:rPr>
        <w:t>Section 10.01</w:t>
      </w:r>
      <w:r>
        <w:rPr>
          <w:rFonts w:ascii="Times New Roman;Times;serif" w:hAnsi="Times New Roman;Times;serif"/>
          <w:sz w:val="22"/>
        </w:rPr>
        <w:t>.</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(ii)</w:t>
      </w:r>
      <w:r>
        <w:rPr>
          <w:rFonts w:ascii="Times New Roman;Times;serif" w:hAnsi="Times New Roman;Times;serif"/>
          <w:sz w:val="22"/>
          <w:u w:val="single"/>
        </w:rPr>
        <w:t>Defaulting Lender Waterfall</w:t>
      </w:r>
      <w:r>
        <w:rPr>
          <w:rFonts w:ascii="Times New Roman;Times;serif" w:hAnsi="Times New Roman;Times;serif"/>
          <w:sz w:val="22"/>
        </w:rPr>
        <w:t xml:space="preserve">.  Any payment of principal, interest, fees or other amounts received by the Agent for the account of such Defaulting Lender (whether voluntary or mandatory, at maturity, pursuant to </w:t>
      </w:r>
      <w:r>
        <w:rPr>
          <w:rFonts w:ascii="Times New Roman;Times;serif" w:hAnsi="Times New Roman;Times;serif"/>
          <w:sz w:val="22"/>
          <w:u w:val="single"/>
        </w:rPr>
        <w:t>Article VIII</w:t>
      </w:r>
      <w:r>
        <w:rPr>
          <w:rFonts w:ascii="Times New Roman;Times;serif" w:hAnsi="Times New Roman;Times;serif"/>
          <w:sz w:val="20"/>
        </w:rPr>
        <w:t xml:space="preserve"> </w:t>
      </w:r>
      <w:r>
        <w:rPr>
          <w:rFonts w:ascii="Times New Roman;Times;serif" w:hAnsi="Times New Roman;Times;serif"/>
          <w:sz w:val="22"/>
        </w:rPr>
        <w:t xml:space="preserve">or otherwise) or received by the Agent from a Defaulting Lender pursuant to </w:t>
      </w:r>
      <w:r>
        <w:rPr>
          <w:rFonts w:ascii="Times New Roman;Times;serif" w:hAnsi="Times New Roman;Times;serif"/>
          <w:sz w:val="22"/>
          <w:u w:val="single"/>
        </w:rPr>
        <w:t>Section 10.08</w:t>
      </w:r>
      <w:r>
        <w:rPr>
          <w:rFonts w:ascii="Times New Roman;Times;serif" w:hAnsi="Times New Roman;Times;serif"/>
          <w:sz w:val="20"/>
        </w:rPr>
        <w:t xml:space="preserve"> </w:t>
      </w:r>
      <w:r>
        <w:rPr>
          <w:rFonts w:ascii="Times New Roman;Times;serif" w:hAnsi="Times New Roman;Times;serif"/>
          <w:sz w:val="22"/>
        </w:rPr>
        <w:t xml:space="preserve">shall be applied at such time or times as may be determined by the Agent as follows: </w:t>
      </w:r>
      <w:r>
        <w:rPr>
          <w:rFonts w:ascii="Times New Roman;Times;serif" w:hAnsi="Times New Roman;Times;serif"/>
          <w:i/>
          <w:sz w:val="22"/>
        </w:rPr>
        <w:t>first</w:t>
      </w:r>
      <w:r>
        <w:rPr>
          <w:rFonts w:ascii="Times New Roman;Times;serif" w:hAnsi="Times New Roman;Times;serif"/>
          <w:sz w:val="22"/>
        </w:rPr>
        <w:t xml:space="preserve">, to the payment of any amounts owing by such Defaulting Lender to the Agent hereunder; </w:t>
      </w:r>
      <w:r>
        <w:rPr>
          <w:rFonts w:ascii="Times New Roman;Times;serif" w:hAnsi="Times New Roman;Times;serif"/>
          <w:i/>
          <w:sz w:val="22"/>
        </w:rPr>
        <w:t>second</w:t>
      </w:r>
      <w:r>
        <w:rPr>
          <w:rFonts w:ascii="Times New Roman;Times;serif" w:hAnsi="Times New Roman;Times;serif"/>
          <w:sz w:val="22"/>
        </w:rPr>
        <w:t xml:space="preserve">, to the payment on a pro rata basis of any amounts owing by such Defaulting Lender to the L/C Issuer or Swing Line Lender hereunder; </w:t>
      </w:r>
      <w:r>
        <w:rPr>
          <w:rFonts w:ascii="Times New Roman;Times;serif" w:hAnsi="Times New Roman;Times;serif"/>
          <w:i/>
          <w:sz w:val="22"/>
        </w:rPr>
        <w:t>third</w:t>
      </w:r>
      <w:r>
        <w:rPr>
          <w:rFonts w:ascii="Times New Roman;Times;serif" w:hAnsi="Times New Roman;Times;serif"/>
          <w:sz w:val="22"/>
        </w:rPr>
        <w:t xml:space="preserve">, to Cash Collateralize the L/C Issuer’s Fronting Exposure with respect to such Defaulting Lender in accordance with </w:t>
      </w:r>
      <w:r>
        <w:rPr>
          <w:rFonts w:ascii="Times New Roman;Times;serif" w:hAnsi="Times New Roman;Times;serif"/>
          <w:sz w:val="22"/>
          <w:u w:val="single"/>
        </w:rPr>
        <w:t>Section 2.15</w:t>
      </w:r>
      <w:r>
        <w:rPr>
          <w:rFonts w:ascii="Times New Roman;Times;serif" w:hAnsi="Times New Roman;Times;serif"/>
          <w:sz w:val="22"/>
        </w:rPr>
        <w:t xml:space="preserve">; </w:t>
      </w:r>
      <w:r>
        <w:rPr>
          <w:rFonts w:ascii="Times New Roman;Times;serif" w:hAnsi="Times New Roman;Times;serif"/>
          <w:i/>
          <w:sz w:val="22"/>
        </w:rPr>
        <w:t>fourth</w:t>
      </w:r>
      <w:r>
        <w:rPr>
          <w:rFonts w:ascii="Times New Roman;Times;serif" w:hAnsi="Times New Roman;Times;serif"/>
          <w:sz w:val="22"/>
        </w:rPr>
        <w:t xml:space="preserve">, as the Borrower may request (so long as no Default exists), to the funding of any Loan in respect of which such Defaulting Lender has failed to fund its portion thereof as required by this Agreement, as determined by the Agent; </w:t>
      </w:r>
      <w:r>
        <w:rPr>
          <w:rFonts w:ascii="Times New Roman;Times;serif" w:hAnsi="Times New Roman;Times;serif"/>
          <w:i/>
          <w:sz w:val="22"/>
        </w:rPr>
        <w:t>fifth</w:t>
      </w:r>
      <w:r>
        <w:rPr>
          <w:rFonts w:ascii="Times New Roman;Times;serif" w:hAnsi="Times New Roman;Times;serif"/>
          <w:sz w:val="22"/>
        </w:rPr>
        <w:t xml:space="preserve">, if so determined by the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Times;serif" w:hAnsi="Times New Roman;Times;serif"/>
          <w:sz w:val="22"/>
          <w:u w:val="single"/>
        </w:rPr>
        <w:t>Section 2.15</w:t>
      </w:r>
      <w:r>
        <w:rPr>
          <w:rFonts w:ascii="Times New Roman;Times;serif" w:hAnsi="Times New Roman;Times;serif"/>
          <w:sz w:val="22"/>
        </w:rPr>
        <w:t xml:space="preserve">; </w:t>
      </w:r>
      <w:r>
        <w:rPr>
          <w:rFonts w:ascii="Times New Roman;Times;serif" w:hAnsi="Times New Roman;Times;serif"/>
          <w:i/>
          <w:sz w:val="22"/>
        </w:rPr>
        <w:t>sixth</w:t>
      </w:r>
      <w:r>
        <w:rPr>
          <w:rFonts w:ascii="Times New Roman;Times;serif" w:hAnsi="Times New Roman;Times;serif"/>
          <w:sz w:val="22"/>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Times;serif" w:hAnsi="Times New Roman;Times;serif"/>
          <w:i/>
          <w:sz w:val="22"/>
        </w:rPr>
        <w:t>seventh</w:t>
      </w:r>
      <w:r>
        <w:rPr>
          <w:rFonts w:ascii="Times New Roman;Times;serif" w:hAnsi="Times New Roman;Times;serif"/>
          <w:sz w:val="22"/>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i/>
          <w:sz w:val="22"/>
        </w:rPr>
        <w:t>eighth</w:t>
      </w:r>
      <w:r>
        <w:rPr>
          <w:rFonts w:ascii="Times New Roman;Times;serif" w:hAnsi="Times New Roman;Times;serif"/>
          <w:sz w:val="22"/>
        </w:rPr>
        <w:t xml:space="preserve">, to such Defaulting Lender or as otherwise directed by a court of competent jurisdiction;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Times;serif" w:hAnsi="Times New Roman;Times;serif"/>
          <w:sz w:val="22"/>
          <w:u w:val="single"/>
        </w:rPr>
        <w:t>Section 4.02</w:t>
      </w:r>
      <w:r>
        <w:rPr>
          <w:rFonts w:ascii="Times New Roman;Times;serif" w:hAnsi="Times New Roman;Times;serif"/>
          <w:sz w:val="20"/>
        </w:rPr>
        <w:t xml:space="preserve"> </w:t>
      </w:r>
      <w:r>
        <w:rPr>
          <w:rFonts w:ascii="Times New Roman;Times;serif" w:hAnsi="Times New Roman;Times;serif"/>
          <w:sz w:val="22"/>
        </w:rPr>
        <w:t xml:space="preserve">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Times;serif" w:hAnsi="Times New Roman;Times;serif"/>
          <w:sz w:val="22"/>
          <w:u w:val="single"/>
        </w:rPr>
        <w:t>Section 2.16(a)(iv)</w:t>
      </w:r>
      <w:r>
        <w:rPr>
          <w:rFonts w:ascii="Times New Roman;Times;serif" w:hAnsi="Times New Roman;Times;serif"/>
          <w:sz w:val="22"/>
        </w:rPr>
        <w:t>. Any payments, prepayments or other amounts paid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49</w:t>
      </w:r>
    </w:p>
    <w:p>
      <w:pPr>
        <w:pStyle w:val="HorizontalLine"/>
        <w:pBdr>
          <w:bottom w:val="double" w:sz="2" w:space="0" w:color="808080"/>
        </w:pBdr>
        <w:bidi w:val="0"/>
        <w:spacing w:before="0" w:after="283"/>
        <w:jc w:val="left"/>
        <w:rPr/>
      </w:pPr>
      <w:r>
        <w:rPr/>
      </w:r>
    </w:p>
    <w:p>
      <w:pPr>
        <w:pStyle w:val="TextBody"/>
        <w:bidi w:val="0"/>
        <w:spacing w:before="0" w:after="240"/>
        <w:ind w:left="2556" w:right="0" w:hanging="0"/>
        <w:jc w:val="both"/>
        <w:rPr>
          <w:rFonts w:ascii="Times New Roman;Times;serif" w:hAnsi="Times New Roman;Times;serif"/>
          <w:sz w:val="20"/>
        </w:rPr>
      </w:pPr>
      <w:r>
        <w:rPr>
          <w:rFonts w:ascii="Times New Roman;Times;serif" w:hAnsi="Times New Roman;Times;serif"/>
          <w:sz w:val="22"/>
        </w:rPr>
        <w:t xml:space="preserve">payable to a Defaulting Lender that are applied (or held) to pay amounts owed by a Defaulting Lender or to post Cash Collateral pursuant to this </w:t>
      </w:r>
      <w:r>
        <w:rPr>
          <w:rFonts w:ascii="Times New Roman;Times;serif" w:hAnsi="Times New Roman;Times;serif"/>
          <w:sz w:val="22"/>
          <w:u w:val="single"/>
        </w:rPr>
        <w:t>Section 2.16(a)(ii)</w:t>
      </w:r>
      <w:r>
        <w:rPr>
          <w:rFonts w:ascii="Times New Roman;Times;serif" w:hAnsi="Times New Roman;Times;serif"/>
          <w:sz w:val="20"/>
        </w:rPr>
        <w:t xml:space="preserve"> </w:t>
      </w:r>
      <w:r>
        <w:rPr>
          <w:rFonts w:ascii="Times New Roman;Times;serif" w:hAnsi="Times New Roman;Times;serif"/>
          <w:sz w:val="22"/>
        </w:rPr>
        <w:t>shall be deemed paid to and redirected by such Defaulting Lender, and each Lender irrevocably consents hereto.</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(iii)</w:t>
      </w:r>
      <w:r>
        <w:rPr>
          <w:rFonts w:ascii="Times New Roman;Times;serif" w:hAnsi="Times New Roman;Times;serif"/>
          <w:sz w:val="22"/>
          <w:u w:val="single"/>
        </w:rPr>
        <w:t>Certain Fees</w:t>
      </w:r>
      <w:r>
        <w:rPr>
          <w:rFonts w:ascii="Times New Roman;Times;serif" w:hAnsi="Times New Roman;Times;serif"/>
          <w:sz w:val="22"/>
        </w:rPr>
        <w:t>.</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2"/>
        </w:rPr>
        <w:t xml:space="preserve">(A)No Defaulting Lender shall be entitled to receive any fee payable under </w:t>
      </w:r>
      <w:r>
        <w:rPr>
          <w:rFonts w:ascii="Times New Roman;Times;serif" w:hAnsi="Times New Roman;Times;serif"/>
          <w:sz w:val="22"/>
          <w:u w:val="single"/>
        </w:rPr>
        <w:t>Section 2.09(a)</w:t>
      </w:r>
      <w:r>
        <w:rPr>
          <w:rFonts w:ascii="Times New Roman;Times;serif" w:hAnsi="Times New Roman;Times;serif"/>
          <w:sz w:val="20"/>
        </w:rPr>
        <w:t xml:space="preserve"> </w:t>
      </w:r>
      <w:r>
        <w:rPr>
          <w:rFonts w:ascii="Times New Roman;Times;serif" w:hAnsi="Times New Roman;Times;serif"/>
          <w:sz w:val="22"/>
        </w:rPr>
        <w:t>for any period during which that Lender is a Defaulting Lender (and the Borrower shall not be required to pay any such fee that otherwise would have been required to have been paid to that Defaulting Lender).</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2"/>
        </w:rPr>
        <w:t xml:space="preserve">(B)Each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Times;serif" w:hAnsi="Times New Roman;Times;serif"/>
          <w:sz w:val="22"/>
          <w:u w:val="single"/>
        </w:rPr>
        <w:t>Section 2.15</w:t>
      </w:r>
      <w:r>
        <w:rPr>
          <w:rFonts w:ascii="Times New Roman;Times;serif" w:hAnsi="Times New Roman;Times;serif"/>
          <w:sz w:val="22"/>
        </w:rPr>
        <w:t>.</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2"/>
        </w:rPr>
        <w:t xml:space="preserve">(C)With respect to any Letter of Credit Fee not required to be paid to any Defaulting Lender pursuant to </w:t>
      </w:r>
      <w:r>
        <w:rPr>
          <w:rFonts w:ascii="Times New Roman;Times;serif" w:hAnsi="Times New Roman;Times;serif"/>
          <w:sz w:val="22"/>
          <w:u w:val="single"/>
        </w:rPr>
        <w:t>clause (B)</w:t>
      </w:r>
      <w:r>
        <w:rPr>
          <w:rFonts w:ascii="Times New Roman;Times;serif" w:hAnsi="Times New Roman;Times;serif"/>
          <w:sz w:val="20"/>
        </w:rPr>
        <w:t xml:space="preserve"> </w:t>
      </w:r>
      <w:r>
        <w:rPr>
          <w:rFonts w:ascii="Times New Roman;Times;serif" w:hAnsi="Times New Roman;Times;serif"/>
          <w:sz w:val="22"/>
        </w:rPr>
        <w:t xml:space="preserve">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Times;serif" w:hAnsi="Times New Roman;Times;serif"/>
          <w:sz w:val="22"/>
          <w:u w:val="single"/>
        </w:rPr>
        <w:t>clause (iv)</w:t>
      </w:r>
      <w:r>
        <w:rPr>
          <w:rFonts w:ascii="Times New Roman;Times;serif" w:hAnsi="Times New Roman;Times;serif"/>
          <w:sz w:val="20"/>
        </w:rPr>
        <w:t xml:space="preserve"> </w:t>
      </w:r>
      <w:r>
        <w:rPr>
          <w:rFonts w:ascii="Times New Roman;Times;serif" w:hAnsi="Times New Roman;Times;serif"/>
          <w:sz w:val="22"/>
        </w:rPr>
        <w:t>below, (y) pay to the L/C Issuer the amount of any such fee otherwise payable to such Defaulting Lender to the extent allocable to such L/C Issuer’s Fronting Exposure to such Defaulting Lender, and (z) not be required to pay the remaining amount of any such fee.</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(iv)</w:t>
      </w:r>
      <w:r>
        <w:rPr>
          <w:rFonts w:ascii="Times New Roman;Times;serif" w:hAnsi="Times New Roman;Times;serif"/>
          <w:sz w:val="22"/>
          <w:u w:val="single"/>
        </w:rPr>
        <w:t>Reallocation of Applicable Percentages to Reduce Fronting Exposure</w:t>
      </w:r>
      <w:r>
        <w:rPr>
          <w:rFonts w:ascii="Times New Roman;Times;serif" w:hAnsi="Times New Roman;Times;serif"/>
          <w:sz w:val="22"/>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any Non-Defaulting Lender’s share of the Total Outstandings to exceed such Non-Defaulting Lender’s Commitment.  Subject to </w:t>
      </w:r>
      <w:r>
        <w:rPr>
          <w:rFonts w:ascii="Times New Roman;Times;serif" w:hAnsi="Times New Roman;Times;serif"/>
          <w:sz w:val="22"/>
          <w:u w:val="single"/>
        </w:rPr>
        <w:t>Section 10.19</w:t>
      </w:r>
      <w:r>
        <w:rPr>
          <w:rFonts w:ascii="Times New Roman;Times;serif" w:hAnsi="Times New Roman;Times;serif"/>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2"/>
        </w:rPr>
        <w:t>(v)</w:t>
      </w:r>
      <w:r>
        <w:rPr>
          <w:rFonts w:ascii="Times New Roman;Times;serif" w:hAnsi="Times New Roman;Times;serif"/>
          <w:sz w:val="22"/>
          <w:u w:val="single"/>
        </w:rPr>
        <w:t>Cash Collateral, Repayment of Swing Line Loans</w:t>
      </w:r>
      <w:r>
        <w:rPr>
          <w:rFonts w:ascii="Times New Roman;Times;serif" w:hAnsi="Times New Roman;Times;serif"/>
          <w:sz w:val="22"/>
        </w:rPr>
        <w:t xml:space="preserve">.  If the reallocation described in clause (a)(iv) above cannot, or can only partially, be effected, the Borrower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Times;serif" w:hAnsi="Times New Roman;Times;serif"/>
          <w:sz w:val="22"/>
          <w:u w:val="single"/>
        </w:rPr>
        <w:t>Section 2.15</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Defaulting Lender Cure</w:t>
      </w:r>
      <w:r>
        <w:rPr>
          <w:rFonts w:ascii="Times New Roman;Times;serif" w:hAnsi="Times New Roman;Times;serif"/>
          <w:sz w:val="22"/>
        </w:rPr>
        <w:t>.  If the Borrower, the Agent, the Swing Line Lender and the L/C Issuer agree in writing that a Lender is no longer a Defaulting Lender, the Agent will so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50</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Committed Loans of the other Lenders or take such other actions as the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Times New Roman;Times;serif" w:hAnsi="Times New Roman;Times;serif"/>
          <w:sz w:val="22"/>
          <w:u w:val="single"/>
        </w:rPr>
        <w:t>Section 2.16(a)(iv)</w:t>
      </w:r>
      <w:r>
        <w:rPr>
          <w:rFonts w:ascii="Times New Roman;Times;serif" w:hAnsi="Times New Roman;Times;serif"/>
          <w:sz w:val="22"/>
        </w:rPr>
        <w:t xml:space="preserve">), whereupon that Lender will cease to be a Defaulting Lender;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no adjustments will be made retroactively with respect to fees accrued or payments made by or on behalf of the Borrower while that Lender was a Defaulting Lender; and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Notification of Defaulting Lender</w:t>
      </w:r>
      <w:r>
        <w:rPr>
          <w:rFonts w:ascii="Times New Roman;Times;serif" w:hAnsi="Times New Roman;Times;serif"/>
          <w:sz w:val="22"/>
        </w:rPr>
        <w:t>.  Upon becoming aware that a Lender is a Defaulting Lender, the Agent shall reasonably promptly notify the Borrower that such Lender is a Defaulting Lender.</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III.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TAXES, YIELD PROTECTION AND ILLEGALITY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3.01</w:t>
      </w:r>
      <w:r>
        <w:rPr>
          <w:rFonts w:ascii="Times New Roman;Times;serif" w:hAnsi="Times New Roman;Times;serif"/>
          <w:b/>
          <w:sz w:val="22"/>
        </w:rPr>
        <w:t>Taxes</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Payments Free of Taxes; Obligation to Withhold; Payments on Account of Taxes</w:t>
      </w:r>
      <w:r>
        <w:rPr>
          <w:rFonts w:ascii="Times New Roman;Times;serif" w:hAnsi="Times New Roman;Times;serif"/>
          <w:sz w:val="22"/>
        </w:rPr>
        <w:t>.</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(i)Any and all payments by or on account of any obligation of any Loan Party under any Loan Document shall be made without deduction or withholding for any Taxes, except as required by applicable laws.  If any applicable laws (as determined in the good faith discretion of the applicable Withholding Agent) require the deduction or withholding of any Tax from any such payment by a Withholding Agent, then the applicable Withholding Agent shall be entitled to make such deduction or withholding.</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(ii)If any Withholding Agent shall be required by the Code to withhold or deduct any Taxes, including both United States Federal backup withholding and withholding taxes, from any payment, then (A) the Withholding Agent shall withhold or make such deductions as are determined by the Withholding Agent to be required (as determined in the good faith discretion of such Withholding Agent), (B) the Withholding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Times;serif" w:hAnsi="Times New Roman;Times;serif"/>
          <w:sz w:val="22"/>
          <w:u w:val="single"/>
        </w:rPr>
        <w:t>Section 3.01</w:t>
      </w:r>
      <w:r>
        <w:rPr>
          <w:rFonts w:ascii="Times New Roman;Times;serif" w:hAnsi="Times New Roman;Times;serif"/>
          <w:sz w:val="22"/>
        </w:rPr>
        <w:t>) the applicable Recipient receives an amount equal to the sum it would have received had no such withholding or deduction been made.  The applicable Withholding Agent (if distinct from the Agent) shall provide the Agent with at least ten days prior written notice prior to the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51</w:t>
      </w:r>
    </w:p>
    <w:p>
      <w:pPr>
        <w:pStyle w:val="HorizontalLine"/>
        <w:pBdr>
          <w:bottom w:val="double" w:sz="2" w:space="0" w:color="808080"/>
        </w:pBdr>
        <w:bidi w:val="0"/>
        <w:spacing w:before="0" w:after="283"/>
        <w:jc w:val="left"/>
        <w:rPr/>
      </w:pPr>
      <w:r>
        <w:rPr/>
      </w:r>
    </w:p>
    <w:p>
      <w:pPr>
        <w:pStyle w:val="TextBody"/>
        <w:bidi w:val="0"/>
        <w:spacing w:before="0" w:after="240"/>
        <w:ind w:left="2556" w:right="0" w:hanging="0"/>
        <w:jc w:val="both"/>
        <w:rPr>
          <w:rFonts w:ascii="Times New Roman;Times;serif" w:hAnsi="Times New Roman;Times;serif"/>
          <w:sz w:val="22"/>
        </w:rPr>
      </w:pPr>
      <w:r>
        <w:rPr>
          <w:rFonts w:ascii="Times New Roman;Times;serif" w:hAnsi="Times New Roman;Times;serif"/>
          <w:sz w:val="22"/>
        </w:rPr>
        <w:t>that such Withholding Agent makes any deduction or payment for Taxes in accordance with this subsection (ii).</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(iii)If any Withholding Agent shall be required by any applicable laws other than the Code to withhold or deduct any Taxes from any payment, then (A) the Withholding Agent, as required by such laws, shall withhold or make such deductions as are determined by it to be required (as determined in the good faith discretion of such Withholding Agent), (B) such Withholding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Times;serif" w:hAnsi="Times New Roman;Times;serif"/>
          <w:sz w:val="22"/>
          <w:u w:val="single"/>
        </w:rPr>
        <w:t>Section 3.01</w:t>
      </w:r>
      <w:r>
        <w:rPr>
          <w:rFonts w:ascii="Times New Roman;Times;serif" w:hAnsi="Times New Roman;Times;serif"/>
          <w:sz w:val="22"/>
        </w:rPr>
        <w:t>) the applicable Recipient receives an amount equal to the sum it would have received had no such withholding or deduction been made.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Payment of Other Taxes by the Borrower</w:t>
      </w:r>
      <w:r>
        <w:rPr>
          <w:rFonts w:ascii="Times New Roman;Times;serif" w:hAnsi="Times New Roman;Times;serif"/>
          <w:sz w:val="22"/>
        </w:rPr>
        <w:t xml:space="preserve">.  Without limiting the provisions of </w:t>
      </w:r>
      <w:r>
        <w:rPr>
          <w:rFonts w:ascii="Times New Roman;Times;serif" w:hAnsi="Times New Roman;Times;serif"/>
          <w:sz w:val="22"/>
          <w:u w:val="single"/>
        </w:rPr>
        <w:t>subsection (a)</w:t>
      </w:r>
      <w:r>
        <w:rPr>
          <w:rFonts w:ascii="Times New Roman;Times;serif" w:hAnsi="Times New Roman;Times;serif"/>
          <w:sz w:val="20"/>
        </w:rPr>
        <w:t xml:space="preserve"> </w:t>
      </w:r>
      <w:r>
        <w:rPr>
          <w:rFonts w:ascii="Times New Roman;Times;serif" w:hAnsi="Times New Roman;Times;serif"/>
          <w:sz w:val="22"/>
        </w:rPr>
        <w:t>above, the Loan Parties shall timely pay to the relevant Governmental Authority in accordance with applicable law, or at the option of the Agent timely reimburse it for the payment of, any Other Taxes.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Tax Indemnifications</w:t>
      </w:r>
      <w:r>
        <w:rPr>
          <w:rFonts w:ascii="Times New Roman;Times;serif" w:hAnsi="Times New Roman;Times;serif"/>
          <w:sz w:val="22"/>
        </w:rPr>
        <w: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2"/>
        </w:rPr>
        <w:t xml:space="preserve">(i)Each of the Loan Parties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Times;serif" w:hAnsi="Times New Roman;Times;serif"/>
          <w:sz w:val="22"/>
          <w:u w:val="single"/>
        </w:rPr>
        <w:t>Section 3.01</w:t>
      </w:r>
      <w:r>
        <w:rPr>
          <w:rFonts w:ascii="Times New Roman;Times;serif" w:hAnsi="Times New Roman;Times;serif"/>
          <w:sz w:val="22"/>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except in each case, to the extent resulting from the gross negligence or willful misconduct of such Recipient.  A certificate as to the amount of such payment or liability delivered to the Borrower by a Lender or the L/C Issuer (with a copy to the Agent), or by the Agent on its own behalf or on behalf of a Lender or the L/C Issuer, shall be conclusive absent manifest error. Each of the Loan Parties shall, and does hereby, jointly and severally indemnify the Agent, and shall make payment in respect thereof within 10 days after demand therefor, for any amount which a Lender or the L/C Issuer for any reason fails to pay indefeasibly to the Agent as required pursuant to </w:t>
      </w:r>
      <w:r>
        <w:rPr>
          <w:rFonts w:ascii="Times New Roman;Times;serif" w:hAnsi="Times New Roman;Times;serif"/>
          <w:sz w:val="22"/>
          <w:u w:val="single"/>
        </w:rPr>
        <w:t>Section 3.01(c)(ii)</w:t>
      </w:r>
      <w:r>
        <w:rPr>
          <w:rFonts w:ascii="Times New Roman;Times;serif" w:hAnsi="Times New Roman;Times;serif"/>
          <w:sz w:val="20"/>
        </w:rPr>
        <w:t xml:space="preserve"> </w:t>
      </w:r>
      <w:r>
        <w:rPr>
          <w:rFonts w:ascii="Times New Roman;Times;serif" w:hAnsi="Times New Roman;Times;serif"/>
          <w:sz w:val="22"/>
        </w:rPr>
        <w:t>below.</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(ii)Each Lender and the L/C Issuer shall, and does hereby, severally indemnify, and shall make payment in respect thereof within 10 days after demand therefor, (</w:t>
      </w:r>
      <w:r>
        <w:rPr>
          <w:rFonts w:ascii="Times New Roman;Times;serif" w:hAnsi="Times New Roman;Times;serif"/>
          <w:i/>
          <w:sz w:val="22"/>
        </w:rPr>
        <w:t>x</w:t>
      </w:r>
      <w:r>
        <w:rPr>
          <w:rFonts w:ascii="Times New Roman;Times;serif" w:hAnsi="Times New Roman;Times;serif"/>
          <w:sz w:val="22"/>
        </w:rPr>
        <w:t>) the Agent against any Indemnified Taxes attributable to such Lender or the L/C Issuer (but only to the extent that any Loan Party has not already indemnified the Agent for such Indemnified Taxes and without limiting the obligation of the Loan Parties to do so), (</w:t>
      </w:r>
      <w:r>
        <w:rPr>
          <w:rFonts w:ascii="Times New Roman;Times;serif" w:hAnsi="Times New Roman;Times;serif"/>
          <w:i/>
          <w:sz w:val="22"/>
        </w:rPr>
        <w:t>y</w:t>
      </w:r>
      <w:r>
        <w:rPr>
          <w:rFonts w:ascii="Times New Roman;Times;serif" w:hAnsi="Times New Roman;Times;serif"/>
          <w:sz w:val="22"/>
        </w:rPr>
        <w:t xml:space="preserve">) the Agent and the Loan Parties, as applicable, against any Taxes attributable to such Lender’s failure to comply with the provisions of </w:t>
      </w:r>
      <w:r>
        <w:rPr>
          <w:rFonts w:ascii="Times New Roman;Times;serif" w:hAnsi="Times New Roman;Times;serif"/>
          <w:sz w:val="22"/>
          <w:u w:val="single"/>
        </w:rPr>
        <w:t>Section 10.06(d)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52</w:t>
      </w:r>
    </w:p>
    <w:p>
      <w:pPr>
        <w:pStyle w:val="HorizontalLine"/>
        <w:pBdr>
          <w:bottom w:val="double" w:sz="2" w:space="0" w:color="808080"/>
        </w:pBdr>
        <w:bidi w:val="0"/>
        <w:spacing w:before="0" w:after="283"/>
        <w:jc w:val="left"/>
        <w:rPr/>
      </w:pPr>
      <w:r>
        <w:rPr/>
      </w:r>
    </w:p>
    <w:p>
      <w:pPr>
        <w:pStyle w:val="TextBody"/>
        <w:bidi w:val="0"/>
        <w:spacing w:before="0" w:after="240"/>
        <w:ind w:left="2556" w:right="0" w:hanging="0"/>
        <w:jc w:val="both"/>
        <w:rPr>
          <w:rFonts w:ascii="Times New Roman;Times;serif" w:hAnsi="Times New Roman;Times;serif"/>
          <w:sz w:val="20"/>
        </w:rPr>
      </w:pPr>
      <w:r>
        <w:rPr>
          <w:rFonts w:ascii="Times New Roman;Times;serif" w:hAnsi="Times New Roman;Times;serif"/>
          <w:sz w:val="22"/>
        </w:rPr>
        <w:t>relating to the maintenance of a Participant Register and (</w:t>
      </w:r>
      <w:r>
        <w:rPr>
          <w:rFonts w:ascii="Times New Roman;Times;serif" w:hAnsi="Times New Roman;Times;serif"/>
          <w:i/>
          <w:sz w:val="22"/>
        </w:rPr>
        <w:t>z</w:t>
      </w:r>
      <w:r>
        <w:rPr>
          <w:rFonts w:ascii="Times New Roman;Times;serif" w:hAnsi="Times New Roman;Times;serif"/>
          <w:sz w:val="22"/>
        </w:rPr>
        <w:t xml:space="preserve">) the Agent and the Loan Parties, as applicable, against any Excluded Taxes attributable to such Lender or the L/C Issuer, in each case, that are payable or paid by the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and the L/C Issuer hereby authorizes the Agent to set off and apply any and all amounts at any time owing to such Lender or the L/C Issuer, as the case may be, under this Agreement or any other Loan Document against any amount due to the Agent under this </w:t>
      </w:r>
      <w:r>
        <w:rPr>
          <w:rFonts w:ascii="Times New Roman;Times;serif" w:hAnsi="Times New Roman;Times;serif"/>
          <w:sz w:val="22"/>
          <w:u w:val="single"/>
        </w:rPr>
        <w:t>clause (ii)</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Evidence of Payments</w:t>
      </w:r>
      <w:r>
        <w:rPr>
          <w:rFonts w:ascii="Times New Roman;Times;serif" w:hAnsi="Times New Roman;Times;serif"/>
          <w:sz w:val="22"/>
        </w:rPr>
        <w:t xml:space="preserve">.  Upon request by the Borrower or the Agent, as the case may be, after any payment of Taxes by the Borrower or by the Agent to a Governmental Authority as provided in this </w:t>
      </w:r>
      <w:r>
        <w:rPr>
          <w:rFonts w:ascii="Times New Roman;Times;serif" w:hAnsi="Times New Roman;Times;serif"/>
          <w:sz w:val="22"/>
          <w:u w:val="single"/>
        </w:rPr>
        <w:t>Section 3.01</w:t>
      </w:r>
      <w:r>
        <w:rPr>
          <w:rFonts w:ascii="Times New Roman;Times;serif" w:hAnsi="Times New Roman;Times;serif"/>
          <w:sz w:val="22"/>
        </w:rPr>
        <w:t>, the Borrower shall deliver to the Agent or the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Agent, as the case may be.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Status of Lenders; Tax Documentation</w:t>
      </w:r>
      <w:r>
        <w:rPr>
          <w:rFonts w:ascii="Times New Roman;Times;serif" w:hAnsi="Times New Roman;Times;serif"/>
          <w:sz w:val="22"/>
        </w:rPr>
        <w:t>.</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sz w:val="22"/>
          <w:u w:val="single"/>
        </w:rPr>
        <w:t>Section 3.01(e)(ii)(A)</w:t>
      </w:r>
      <w:r>
        <w:rPr>
          <w:rFonts w:ascii="Times New Roman;Times;serif" w:hAnsi="Times New Roman;Times;serif"/>
          <w:sz w:val="22"/>
        </w:rPr>
        <w:t xml:space="preserve">, </w:t>
      </w:r>
      <w:r>
        <w:rPr>
          <w:rFonts w:ascii="Times New Roman;Times;serif" w:hAnsi="Times New Roman;Times;serif"/>
          <w:sz w:val="22"/>
          <w:u w:val="single"/>
        </w:rPr>
        <w:t>(ii)(B)</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(ii)(D)</w:t>
      </w:r>
      <w:r>
        <w:rPr>
          <w:rFonts w:ascii="Times New Roman;Times;serif" w:hAnsi="Times New Roman;Times;serif"/>
          <w:sz w:val="20"/>
        </w:rPr>
        <w:t xml:space="preserve"> </w:t>
      </w:r>
      <w:r>
        <w:rPr>
          <w:rFonts w:ascii="Times New Roman;Times;serif" w:hAnsi="Times New Roman;Times;serif"/>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(ii)Without limiting the generality of the foregoing,</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(A)any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53</w:t>
      </w:r>
    </w:p>
    <w:p>
      <w:pPr>
        <w:pStyle w:val="HorizontalLine"/>
        <w:pBdr>
          <w:bottom w:val="double" w:sz="2" w:space="0" w:color="808080"/>
        </w:pBdr>
        <w:bidi w:val="0"/>
        <w:spacing w:before="0" w:after="283"/>
        <w:jc w:val="left"/>
        <w:rPr/>
      </w:pPr>
      <w:r>
        <w:rPr/>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(B)any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p>
    <w:p>
      <w:pPr>
        <w:pStyle w:val="TextBody"/>
        <w:bidi w:val="0"/>
        <w:spacing w:before="0" w:after="240"/>
        <w:ind w:left="2880" w:right="0" w:firstLine="720"/>
        <w:jc w:val="both"/>
        <w:rPr>
          <w:rFonts w:ascii="Times New Roman;Times;serif" w:hAnsi="Times New Roman;Times;serif"/>
          <w:sz w:val="22"/>
        </w:rPr>
      </w:pPr>
      <w:r>
        <w:rPr>
          <w:rFonts w:ascii="Times New Roman;Times;serif" w:hAnsi="Times New Roman;Times;serif"/>
          <w:sz w:val="22"/>
        </w:rPr>
        <w:t>(I)in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pStyle w:val="TextBody"/>
        <w:bidi w:val="0"/>
        <w:spacing w:before="0" w:after="240"/>
        <w:ind w:left="2880" w:right="0" w:firstLine="720"/>
        <w:jc w:val="both"/>
        <w:rPr>
          <w:rFonts w:ascii="Times New Roman;Times;serif" w:hAnsi="Times New Roman;Times;serif"/>
          <w:sz w:val="22"/>
        </w:rPr>
      </w:pPr>
      <w:r>
        <w:rPr>
          <w:rFonts w:ascii="Times New Roman;Times;serif" w:hAnsi="Times New Roman;Times;serif"/>
          <w:sz w:val="22"/>
        </w:rPr>
        <w:t>(II)executed copies of IRS Form W-8ECI;</w:t>
      </w:r>
    </w:p>
    <w:p>
      <w:pPr>
        <w:pStyle w:val="TextBody"/>
        <w:bidi w:val="0"/>
        <w:spacing w:before="0" w:after="240"/>
        <w:ind w:left="2880" w:right="0" w:firstLine="720"/>
        <w:jc w:val="both"/>
        <w:rPr>
          <w:rFonts w:ascii="Times New Roman;Times;serif" w:hAnsi="Times New Roman;Times;serif"/>
          <w:sz w:val="20"/>
        </w:rPr>
      </w:pPr>
      <w:r>
        <w:rPr>
          <w:rFonts w:ascii="Times New Roman;Times;serif" w:hAnsi="Times New Roman;Times;serif"/>
          <w:sz w:val="22"/>
        </w:rPr>
        <w:t xml:space="preserve">(III)in the case of a Foreign Lender claiming the benefits of the exemption for portfolio interest under Section 881(c) of the Code, (x) a certificate substantially in the form of </w:t>
      </w:r>
      <w:r>
        <w:rPr>
          <w:rFonts w:ascii="Times New Roman;Times;serif" w:hAnsi="Times New Roman;Times;serif"/>
          <w:sz w:val="22"/>
          <w:u w:val="single"/>
        </w:rPr>
        <w:t>Exhibit D-1</w:t>
      </w:r>
      <w:r>
        <w:rPr>
          <w:rFonts w:ascii="Times New Roman;Times;serif" w:hAnsi="Times New Roman;Times;serif"/>
          <w:sz w:val="20"/>
        </w:rPr>
        <w:t xml:space="preserve"> </w:t>
      </w:r>
      <w:r>
        <w:rPr>
          <w:rFonts w:ascii="Times New Roman;Times;serif" w:hAnsi="Times New Roman;Times;serif"/>
          <w:sz w:val="22"/>
        </w:rPr>
        <w:t>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Times;serif" w:hAnsi="Times New Roman;Times;serif"/>
          <w:sz w:val="22"/>
          <w:u w:val="single"/>
        </w:rPr>
        <w:t>U.S. Tax Compliance Certificate</w:t>
      </w:r>
      <w:r>
        <w:rPr>
          <w:rFonts w:ascii="Times New Roman;Times;serif" w:hAnsi="Times New Roman;Times;serif"/>
          <w:sz w:val="20"/>
        </w:rPr>
        <w:t>”</w:t>
      </w:r>
      <w:r>
        <w:rPr>
          <w:rFonts w:ascii="Times New Roman;Times;serif" w:hAnsi="Times New Roman;Times;serif"/>
          <w:sz w:val="22"/>
        </w:rPr>
        <w:t>) and (y) executed copies of IRS Form W-8BEN (or W-8BENE, as applicable); or</w:t>
      </w:r>
    </w:p>
    <w:p>
      <w:pPr>
        <w:pStyle w:val="TextBody"/>
        <w:bidi w:val="0"/>
        <w:spacing w:before="0" w:after="240"/>
        <w:ind w:left="2880" w:right="0" w:firstLine="720"/>
        <w:jc w:val="both"/>
        <w:rPr>
          <w:rFonts w:ascii="Times New Roman;Times;serif" w:hAnsi="Times New Roman;Times;serif"/>
          <w:sz w:val="20"/>
        </w:rPr>
      </w:pPr>
      <w:r>
        <w:rPr>
          <w:rFonts w:ascii="Times New Roman;Times;serif" w:hAnsi="Times New Roman;Times;serif"/>
          <w:sz w:val="22"/>
        </w:rPr>
        <w:t xml:space="preserve">(IV)to the extent a Foreign Lender is not the beneficial owner, executed copies of IRS Form W-8IMY, accompanied by IRS Form W-8ECI, IRS Form W-8BEN (or W-8BENE, as applicable), a U.S. Tax Compliance Certificate substantially in the form of </w:t>
      </w:r>
      <w:r>
        <w:rPr>
          <w:rFonts w:ascii="Times New Roman;Times;serif" w:hAnsi="Times New Roman;Times;serif"/>
          <w:sz w:val="22"/>
          <w:u w:val="single"/>
        </w:rPr>
        <w:t>Exhibit D-2</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Exhibit D-3</w:t>
      </w:r>
      <w:r>
        <w:rPr>
          <w:rFonts w:ascii="Times New Roman;Times;serif" w:hAnsi="Times New Roman;Times;serif"/>
          <w:sz w:val="22"/>
        </w:rPr>
        <w:t xml:space="preserve">, IRS Form W-9, and/or other certification documents from each beneficial owner, as applicable;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sz w:val="22"/>
          <w:u w:val="single"/>
        </w:rPr>
        <w:t>Exhibit D-4</w:t>
      </w:r>
      <w:r>
        <w:rPr>
          <w:rFonts w:ascii="Times New Roman;Times;serif" w:hAnsi="Times New Roman;Times;serif"/>
          <w:sz w:val="20"/>
        </w:rPr>
        <w:t xml:space="preserve"> </w:t>
      </w:r>
      <w:r>
        <w:rPr>
          <w:rFonts w:ascii="Times New Roman;Times;serif" w:hAnsi="Times New Roman;Times;serif"/>
          <w:sz w:val="22"/>
        </w:rPr>
        <w:t>on behalf of each such direct and indirect partner;</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(C)any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54</w:t>
      </w:r>
    </w:p>
    <w:p>
      <w:pPr>
        <w:pStyle w:val="HorizontalLine"/>
        <w:pBdr>
          <w:bottom w:val="double" w:sz="2" w:space="0" w:color="808080"/>
        </w:pBdr>
        <w:bidi w:val="0"/>
        <w:spacing w:before="0" w:after="283"/>
        <w:jc w:val="left"/>
        <w:rPr/>
      </w:pPr>
      <w:r>
        <w:rPr/>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permit the Borrower or the Agent to determine the withholding or deduction required to be made; and</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(D)if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Closing Date.</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(iii)Each Lender agrees that if any form or certification it previously delivered pursuant to this </w:t>
      </w:r>
      <w:r>
        <w:rPr>
          <w:rFonts w:ascii="Times New Roman;Times;serif" w:hAnsi="Times New Roman;Times;serif"/>
          <w:sz w:val="22"/>
          <w:u w:val="single"/>
        </w:rPr>
        <w:t>Section 3.01</w:t>
      </w:r>
      <w:r>
        <w:rPr>
          <w:rFonts w:ascii="Times New Roman;Times;serif" w:hAnsi="Times New Roman;Times;serif"/>
          <w:sz w:val="20"/>
        </w:rPr>
        <w:t xml:space="preserve"> </w:t>
      </w:r>
      <w:r>
        <w:rPr>
          <w:rFonts w:ascii="Times New Roman;Times;serif" w:hAnsi="Times New Roman;Times;serif"/>
          <w:sz w:val="22"/>
        </w:rPr>
        <w:t>expires or becomes obsolete or inaccurate in any respect, it shall update such form or certification or promptly notify the Borrower and the Agent in writing of its legal inability to do so.</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(iv)For purposes of this </w:t>
      </w:r>
      <w:r>
        <w:rPr>
          <w:rFonts w:ascii="Times New Roman;Times;serif" w:hAnsi="Times New Roman;Times;serif"/>
          <w:sz w:val="22"/>
          <w:u w:val="single"/>
        </w:rPr>
        <w:t>Section 3.01(e)</w:t>
      </w:r>
      <w:r>
        <w:rPr>
          <w:rFonts w:ascii="Times New Roman;Times;serif" w:hAnsi="Times New Roman;Times;serif"/>
          <w:sz w:val="22"/>
        </w:rPr>
        <w:t>, the term “Lender” includes any L/C Issuer.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Treatment of Certain Refunds</w:t>
      </w:r>
      <w:r>
        <w:rPr>
          <w:rFonts w:ascii="Times New Roman;Times;serif" w:hAnsi="Times New Roman;Times;serif"/>
          <w:sz w:val="22"/>
        </w:rPr>
        <w:t xml:space="preserve">.  Unless required by applicable laws, at no time shall the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that it has received a refund of any Taxes as to which it has been indemnified by any Loan Party or with respect to which any Loan Party has paid additional amounts pursuant to this </w:t>
      </w:r>
      <w:r>
        <w:rPr>
          <w:rFonts w:ascii="Times New Roman;Times;serif" w:hAnsi="Times New Roman;Times;serif"/>
          <w:sz w:val="22"/>
          <w:u w:val="single"/>
        </w:rPr>
        <w:t>Section 3.01</w:t>
      </w:r>
      <w:r>
        <w:rPr>
          <w:rFonts w:ascii="Times New Roman;Times;serif" w:hAnsi="Times New Roman;Times;serif"/>
          <w:sz w:val="22"/>
        </w:rPr>
        <w:t xml:space="preserve">, it shall pay to the Loan Party an amount equal to such refund (but only to the extent of indemnity payments made, or additional amounts paid, by a Loan Party under this </w:t>
      </w:r>
      <w:r>
        <w:rPr>
          <w:rFonts w:ascii="Times New Roman;Times;serif" w:hAnsi="Times New Roman;Times;serif"/>
          <w:sz w:val="22"/>
          <w:u w:val="single"/>
        </w:rPr>
        <w:t>Section 3.01</w:t>
      </w:r>
      <w:r>
        <w:rPr>
          <w:rFonts w:ascii="Times New Roman;Times;serif" w:hAnsi="Times New Roman;Times;serif"/>
          <w:sz w:val="20"/>
        </w:rPr>
        <w:t xml:space="preserve"> </w:t>
      </w:r>
      <w:r>
        <w:rPr>
          <w:rFonts w:ascii="Times New Roman;Times;serif" w:hAnsi="Times New Roman;Times;serif"/>
          <w:sz w:val="22"/>
        </w:rPr>
        <w:t xml:space="preserve">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indemnification payments or additional amounts giving rise to such refund had never been paid.  This subsection shall not be construed to require any Recipient to make available its tax returns (or any other information relating to its taxes that it deems confidential) to any Loan Party or any other Person.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u w:val="single"/>
        </w:rPr>
        <w:t>Survival</w:t>
      </w:r>
      <w:r>
        <w:rPr>
          <w:rFonts w:ascii="Times New Roman;Times;serif" w:hAnsi="Times New Roman;Times;serif"/>
          <w:sz w:val="22"/>
        </w:rPr>
        <w:t xml:space="preserve">.  Each party’s obligations under this </w:t>
      </w:r>
      <w:r>
        <w:rPr>
          <w:rFonts w:ascii="Times New Roman;Times;serif" w:hAnsi="Times New Roman;Times;serif"/>
          <w:sz w:val="22"/>
          <w:u w:val="single"/>
        </w:rPr>
        <w:t>Section 3.01</w:t>
      </w:r>
      <w:r>
        <w:rPr>
          <w:rFonts w:ascii="Times New Roman;Times;serif" w:hAnsi="Times New Roman;Times;serif"/>
          <w:sz w:val="20"/>
        </w:rPr>
        <w:t xml:space="preserve"> </w:t>
      </w:r>
      <w:r>
        <w:rPr>
          <w:rFonts w:ascii="Times New Roman;Times;serif" w:hAnsi="Times New Roman;Times;serif"/>
          <w:sz w:val="22"/>
        </w:rPr>
        <w:t>shall survive the resignation or replacement of the Agent or any assignment of rights by, or the replacement of, a Lender or the L/C Issuer, the termination of the Aggregate Commitments and the repayment, satisfaction or discharge of all other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3.02</w:t>
      </w:r>
      <w:r>
        <w:rPr>
          <w:rFonts w:ascii="Times New Roman;Times;serif" w:hAnsi="Times New Roman;Times;serif"/>
          <w:b/>
          <w:sz w:val="22"/>
        </w:rPr>
        <w:t>Illegality.  </w:t>
      </w:r>
      <w:r>
        <w:rPr>
          <w:rFonts w:ascii="Times New Roman;Times;serif" w:hAnsi="Times New Roman;Times;serif"/>
          <w:sz w:val="22"/>
        </w:rPr>
        <w:t>If any Lender determines that any law has made it unlawful, or that any Governmental Authority has asserted that it is unlawful, for any Lender or its applicable Lending Office to make, maintain or fund or charge interest with respect to any Credit Extension or to determine or charge interest rates based upon Term SOFR or the Term SOFR Daily Floating Rate, then, upon notice thereof by such Lender to the Borrower (through the Agent), (i) any obligation of such Lender to make or continue Term SOFR Loans, to make Term SOFR Daily Floating Rate Loans, or to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Agent without reference to the Term SOFR component of the Base Rate, in each case until such Lender notifies the Agent and the Borrower that the circumstances giving rise to such determination no longer exist.  Upon receipt of such notice, (A) the Borrower shall, upon demand from such Lender (with a copy to the Agent), prepay or, if applicable, convert all Term SOFR Loans or Term SOFR Daily Floating Rate Loans of such Lender to Base Rate Loans (the interest rate on which Base Rate Loans of such Lender shall, if necessary to avoid such illegality, be determined by the Agent without reference to the Term SOFR component of the Base Rate), either (1) if such Lender may lawfully continue to maintain such Term SOFR Loans to such day, on the last day of the Interest Period therefor, (2) if such Lender may not lawfully continue to maintain such Term SOFR Loans to the last day of the Interest Period therefor, on the last day that such Lender may lawfully continue to maintain such Term SOFR Loans or (3) immediately, in the case of Term SOFR Daily Floating Rate Loans and (B) if such notice asserts the illegality of such Lender determining or charging interest rates based upon Term SOFR or the Term SOFR Daily Floating Rate, the Agent shall during the period of such suspension compute the Base Rate applicable to such Lender without reference to the Term SOFR component thereof until the Agent is advised in writing by such Lender that it is no longer illegal  for such Lender to determine or charge interest rates based upon Term SOFR or the Term SOFR Daily Floating Rate.  Upon any such prepayment or conversion, the Borrower shall also pay accrued interest on the amount so prepaid or converted.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3.03</w:t>
      </w:r>
      <w:r>
        <w:rPr>
          <w:rFonts w:ascii="Times New Roman;Times;serif" w:hAnsi="Times New Roman;Times;serif"/>
          <w:b/>
          <w:sz w:val="22"/>
        </w:rPr>
        <w:t>Inability to Determine Rates.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If in connection with any request for a Term SOFR Loan or Term SOFR Daily Floating Rate Loan or a conversion to or continuation thereof, (i) the Agent determines (which determination shall be conclusive absent manifest error) that (A) no Successor Rate has been determined in accordance with </w:t>
      </w:r>
      <w:r>
        <w:rPr>
          <w:rFonts w:ascii="Times New Roman;Times;serif" w:hAnsi="Times New Roman;Times;serif"/>
          <w:sz w:val="22"/>
          <w:u w:val="single"/>
        </w:rPr>
        <w:t>Section 3.03(b)</w:t>
      </w:r>
      <w:r>
        <w:rPr>
          <w:rFonts w:ascii="Times New Roman;Times;serif" w:hAnsi="Times New Roman;Times;serif"/>
          <w:sz w:val="22"/>
        </w:rPr>
        <w:t xml:space="preserve">, and the circumstances under clause (i) of </w:t>
      </w:r>
      <w:r>
        <w:rPr>
          <w:rFonts w:ascii="Times New Roman;Times;serif" w:hAnsi="Times New Roman;Times;serif"/>
          <w:sz w:val="22"/>
          <w:u w:val="single"/>
        </w:rPr>
        <w:t>Section 3.03(b)</w:t>
      </w:r>
      <w:r>
        <w:rPr>
          <w:rFonts w:ascii="Times New Roman;Times;serif" w:hAnsi="Times New Roman;Times;serif"/>
          <w:sz w:val="20"/>
        </w:rPr>
        <w:t xml:space="preserve"> </w:t>
      </w:r>
      <w:r>
        <w:rPr>
          <w:rFonts w:ascii="Times New Roman;Times;serif" w:hAnsi="Times New Roman;Times;serif"/>
          <w:sz w:val="22"/>
        </w:rPr>
        <w:t>or the Scheduled Unavailability Date has occurred (as applicable) or (B) adequate and reasonable means do not exist for determining (1) Term SOFR for any requested Interest Period with respect to a proposed Term SOFR Loan or in connection with an existing or proposed Base Rate Loan or (2) the Term SOFR Daily Floating Rate for an existing or proposed Term SOFR Daily Floating Rate Loan or (ii) (A) the Agent or the Required Lenders determine that for any reason that Term SOFR for any requested Interest Period with respect to a proposed Term SOFR Loan does not adequately and fairly reflect the cost to such Lenders of funding such Loan, in each case, the Agent will promptly so notify the Borrower and each Lender or (B) the Swing Line Lender determines that for any reason the Term SOFR Daily Floating Rate with respect to a proposed Term SOFR Daily Floating Rate Loan or in connection with a Term SOFR Daily Floating Rate Loan does not adequately and fairly reflect the cost to the Swing Line Lender of funding such Swing Line Loan, in each case, the Swing Line Lender will promptly so notify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Borrower and the Agent.  Thereafter, (x) the obligation of the Lenders to make or maintain Term SOFR Loans of the type covered by the Agent’s notice shall be suspended (to the extent of the affected Term SOFR Loans or Interest Periods), (y) the obligation of the Swing Line Lender to make or maintain Term SOFR Daily Floating Rate Loans shall be suspended and (z) in the event of a determination described in the preceding sentence with respect to the Term SOFR component of the Base Rate, the utilization of the Term SOFR component in determining the Base Rate shall be suspended, in each case until the Agent (or, in the case of a determination by the Required Lenders described in </w:t>
      </w:r>
      <w:r>
        <w:rPr>
          <w:rFonts w:ascii="Times New Roman;Times;serif" w:hAnsi="Times New Roman;Times;serif"/>
          <w:sz w:val="22"/>
          <w:u w:val="single"/>
        </w:rPr>
        <w:t>clause (ii</w:t>
      </w:r>
      <w:r>
        <w:rPr>
          <w:rFonts w:ascii="Times New Roman;Times;serif" w:hAnsi="Times New Roman;Times;serif"/>
          <w:sz w:val="22"/>
        </w:rPr>
        <w:t xml:space="preserve">) of this </w:t>
      </w:r>
      <w:r>
        <w:rPr>
          <w:rFonts w:ascii="Times New Roman;Times;serif" w:hAnsi="Times New Roman;Times;serif"/>
          <w:sz w:val="22"/>
          <w:u w:val="single"/>
        </w:rPr>
        <w:t>Section 3.03(a</w:t>
      </w:r>
      <w:r>
        <w:rPr>
          <w:rFonts w:ascii="Times New Roman;Times;serif" w:hAnsi="Times New Roman;Times;serif"/>
          <w:sz w:val="22"/>
        </w:rPr>
        <w:t>), until the Agent upon the instruction of the Required Lenders) revokes such notice.  Upon receipt of such notice, (i) the Borrower may (A) revoke any pending request for a Committed Borrowing of, conversion to or continuation of Term SOFR Loans (to the extent of the affected Term SOFR Loans or Interest Periods) or, failing that, will be deemed to have converted such request into a request for a Committed Borrowing of Base Rate Loans in the amount specified therein or (B) revoke any pending request for a Swing Line Borrowing of Term SOFR Daily Floating Rate Loans (to the extent of the affected Term SOFR Daily Floating Loans) or, failing that, will be deemed to have converted such request into a request for a Swing Line Borrowing of Base Rate Loans in the amount specified therein and (ii) any outstanding Term SOFR Loans shall be deemed to have been converted to Base Rate Loans at the end of their respective applicable Interest Period.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Notwithstanding anything to the contrary in this Agreement or any other Loan Documents, if the Agent determines (which determination shall be conclusive absent manifest error), or the Borrower or Required Lenders notify the Agent (with, in the case of the Required Lenders, a copy to the Borrower) that the Borrower or Required Lenders (as applicable) have determined, that:</w:t>
      </w:r>
    </w:p>
    <w:p>
      <w:pPr>
        <w:pStyle w:val="TextBody"/>
        <w:bidi w:val="0"/>
        <w:spacing w:before="0" w:after="240"/>
        <w:ind w:left="1440" w:right="0" w:firstLine="864"/>
        <w:jc w:val="both"/>
        <w:rPr>
          <w:rFonts w:ascii="Times New Roman;Times;serif" w:hAnsi="Times New Roman;Times;serif"/>
          <w:sz w:val="22"/>
        </w:rPr>
      </w:pPr>
      <w:r>
        <w:rPr>
          <w:rFonts w:ascii="Times New Roman;Times;serif" w:hAnsi="Times New Roman;Times;serif"/>
          <w:sz w:val="22"/>
        </w:rPr>
        <w:t>(i)adequate and reasonable means do not exist for ascertaining one month and three month interest periods of Term SOFR, including, without limitation, because the Term SOFR Screen Rate is not available or published on a current basis and such circumstances are unlikely to be temporary; or</w:t>
      </w:r>
    </w:p>
    <w:p>
      <w:pPr>
        <w:pStyle w:val="TextBody"/>
        <w:bidi w:val="0"/>
        <w:spacing w:before="0" w:after="240"/>
        <w:ind w:left="1440" w:right="0" w:firstLine="864"/>
        <w:jc w:val="both"/>
        <w:rPr>
          <w:rFonts w:ascii="Times New Roman;Times;serif" w:hAnsi="Times New Roman;Times;serif"/>
          <w:sz w:val="20"/>
        </w:rPr>
      </w:pPr>
      <w:r>
        <w:rPr>
          <w:rFonts w:ascii="Times New Roman;Times;serif" w:hAnsi="Times New Roman;Times;serif"/>
          <w:sz w:val="22"/>
        </w:rPr>
        <w:t xml:space="preserve">(ii)CME or any successor the administrator of the Term SOFR Screen Rate or a Governmental Authority having jurisdiction over the Agent or such administrator with respect to its publication of Term SOFR, in each case acting in such capacity, has made a public statement identifying a specific date after which one month and three month interest periods of Term SOFR or the Term SOFR Screen Rate shall or will no longer be made available, or permitted to be used for determining the interest rate of Dollar denominated syndicated loans, or shall or will otherwise cease, </w:t>
      </w:r>
      <w:r>
        <w:rPr>
          <w:rFonts w:ascii="Times New Roman;Times;serif" w:hAnsi="Times New Roman;Times;serif"/>
          <w:sz w:val="22"/>
          <w:u w:val="single"/>
        </w:rPr>
        <w:t>provided that</w:t>
      </w:r>
      <w:r>
        <w:rPr>
          <w:rFonts w:ascii="Times New Roman;Times;serif" w:hAnsi="Times New Roman;Times;serif"/>
          <w:sz w:val="22"/>
        </w:rPr>
        <w:t>, at the time of such statement, there is no successor administrator that is satisfactory to the Agent, that will continue to provide such interest periods of Term SOFR after such specific date (the latest date on which one month and three month interest periods of Term SOFR or the Term SOFR Screen Rate are no longer available permanently or indefinitely, the “</w:t>
      </w:r>
      <w:r>
        <w:rPr>
          <w:rFonts w:ascii="Times New Roman;Times;serif" w:hAnsi="Times New Roman;Times;serif"/>
          <w:sz w:val="22"/>
          <w:u w:val="single"/>
        </w:rPr>
        <w:t>Scheduled Unavailability Date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then, on a date and time determined by the Agent (any such date, the “</w:t>
      </w:r>
      <w:r>
        <w:rPr>
          <w:rFonts w:ascii="Times New Roman;Times;serif" w:hAnsi="Times New Roman;Times;serif"/>
          <w:sz w:val="22"/>
          <w:u w:val="single"/>
        </w:rPr>
        <w:t>Term SOFR Replacement Date</w:t>
      </w:r>
      <w:r>
        <w:rPr>
          <w:rFonts w:ascii="Times New Roman;Times;serif" w:hAnsi="Times New Roman;Times;serif"/>
          <w:sz w:val="20"/>
        </w:rPr>
        <w:t>”</w:t>
      </w:r>
      <w:r>
        <w:rPr>
          <w:rFonts w:ascii="Times New Roman;Times;serif" w:hAnsi="Times New Roman;Times;serif"/>
          <w:sz w:val="22"/>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for any payment period for interest calculated that can be determined by the Agent, in each case, without any amendment to, or further action or consent of any other party to, this Agreement or any other Loan Document (the “</w:t>
      </w:r>
      <w:r>
        <w:rPr>
          <w:rFonts w:ascii="Times New Roman;Times;serif" w:hAnsi="Times New Roman;Times;serif"/>
          <w:sz w:val="22"/>
          <w:u w:val="single"/>
        </w:rPr>
        <w:t>Successor Rate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57</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If the Successor Rate is Daily Simple SOFR, all interest payments will be payable on a quarterly basis.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Notwithstanding anything to the contrary herein, (i) if the Agent determines that Daily Simple SOFR is not available on or prior to the Term SOFR Replacement Date, or (ii) if the events or circumstances of the type described in </w:t>
      </w:r>
      <w:r>
        <w:rPr>
          <w:rFonts w:ascii="Times New Roman;Times;serif" w:hAnsi="Times New Roman;Times;serif"/>
          <w:sz w:val="22"/>
          <w:u w:val="single"/>
        </w:rPr>
        <w:t>Section 3.03(b)(i)</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(ii)</w:t>
      </w:r>
      <w:r>
        <w:rPr>
          <w:rFonts w:ascii="Times New Roman;Times;serif" w:hAnsi="Times New Roman;Times;serif"/>
          <w:sz w:val="20"/>
        </w:rPr>
        <w:t xml:space="preserve"> </w:t>
      </w:r>
      <w:r>
        <w:rPr>
          <w:rFonts w:ascii="Times New Roman;Times;serif" w:hAnsi="Times New Roman;Times;serif"/>
          <w:sz w:val="22"/>
        </w:rPr>
        <w:t xml:space="preserve">have occurred with respect to the Successor Rate then in effect, then in each case, the Agent and the Borrower may amend this Agreement solely for the purpose of replacing Term SOFR or any then current Successor Rate in accordance with this </w:t>
      </w:r>
      <w:r>
        <w:rPr>
          <w:rFonts w:ascii="Times New Roman;Times;serif" w:hAnsi="Times New Roman;Times;serif"/>
          <w:sz w:val="22"/>
          <w:u w:val="single"/>
        </w:rPr>
        <w:t>Section 3.03</w:t>
      </w:r>
      <w:r>
        <w:rPr>
          <w:rFonts w:ascii="Times New Roman;Times;serif" w:hAnsi="Times New Roman;Times;serif"/>
          <w:sz w:val="20"/>
        </w:rPr>
        <w:t xml:space="preserve">  </w:t>
      </w:r>
      <w:r>
        <w:rPr>
          <w:rFonts w:ascii="Times New Roman;Times;serif" w:hAnsi="Times New Roman;Times;serif"/>
          <w:sz w:val="22"/>
        </w:rPr>
        <w:t>at the end of any Interest Period, relevant interest payment date or payment period for interest calculated, as applicable, with an alternative benchmark rate giving due consideration to any evolving or then 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For the avoidance of doubt, any such proposed rate and adjustments, shall constitute a “</w:t>
      </w:r>
      <w:r>
        <w:rPr>
          <w:rFonts w:ascii="Times New Roman;Times;serif" w:hAnsi="Times New Roman;Times;serif"/>
          <w:sz w:val="22"/>
          <w:u w:val="single"/>
        </w:rPr>
        <w:t>Successor Rate</w:t>
      </w:r>
      <w:r>
        <w:rPr>
          <w:rFonts w:ascii="Times New Roman;Times;serif" w:hAnsi="Times New Roman;Times;serif"/>
          <w:sz w:val="20"/>
        </w:rPr>
        <w:t>”</w:t>
      </w:r>
      <w:r>
        <w:rPr>
          <w:rFonts w:ascii="Times New Roman;Times;serif" w:hAnsi="Times New Roman;Times;serif"/>
          <w:sz w:val="22"/>
        </w:rPr>
        <w:t>.  Any such amendment shall become effective at 5:00 p.m. on the fifth Business Day after the Agent shall have posted such proposed amendment to all Lenders and the Borrower unless, prior to such time, Lenders comprising the Required Lenders have delivered to the Agent written notice that such Required Lenders object to such amendment.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The Agent will promptly (in one or more notices) notify the Borrower and each Lender of the implementation of any Successor Rate.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Any Successor Rate shall be applied in a manner consistent with market practice;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to the extent such market practice is not administratively feasible for the Agent, such Successor Rate shall be applied in a manner as otherwise reasonably determined by the Agent.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2"/>
        </w:rPr>
        <w:t xml:space="preserve">In connection with the implementation of a Successor Rate,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with respect to any such amendment effected, the Agent shall post each such amendment implementing such Conforming Changes to the Borrower and the Lenders reasonably promptly after such amendment becomes effective.</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3.04</w:t>
      </w:r>
      <w:r>
        <w:rPr>
          <w:rFonts w:ascii="Times New Roman;Times;serif" w:hAnsi="Times New Roman;Times;serif"/>
          <w:b/>
          <w:sz w:val="22"/>
        </w:rPr>
        <w:t>Increased Costs</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Increased Costs Generally</w:t>
      </w:r>
      <w:r>
        <w:rPr>
          <w:rFonts w:ascii="Times New Roman;Times;serif" w:hAnsi="Times New Roman;Times;serif"/>
          <w:sz w:val="22"/>
        </w:rPr>
        <w:t>.  If any Change in Law shall:</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(i)impose, modify or deem applicable any reserve, special deposit, compulsory loan, insurance charge or similar requirement against assets of, deposits with or for the account of, or credit extended or participated in by, any Lender or the L/C Issuer;</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(ii)subject any Recipient to any Taxes (other than (A) Indemnified Taxes, (B) Taxes described in clauses (b) through (d) of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58</w:t>
      </w:r>
    </w:p>
    <w:p>
      <w:pPr>
        <w:pStyle w:val="HorizontalLine"/>
        <w:pBdr>
          <w:bottom w:val="double" w:sz="2" w:space="0" w:color="808080"/>
        </w:pBdr>
        <w:bidi w:val="0"/>
        <w:spacing w:before="0" w:after="283"/>
        <w:jc w:val="left"/>
        <w:rPr/>
      </w:pPr>
      <w:r>
        <w:rPr/>
      </w:r>
    </w:p>
    <w:p>
      <w:pPr>
        <w:pStyle w:val="TextBody"/>
        <w:bidi w:val="0"/>
        <w:spacing w:before="0" w:after="240"/>
        <w:ind w:left="2556" w:right="0" w:hanging="0"/>
        <w:jc w:val="both"/>
        <w:rPr>
          <w:rFonts w:ascii="Times New Roman;Times;serif" w:hAnsi="Times New Roman;Times;serif"/>
          <w:sz w:val="22"/>
        </w:rPr>
      </w:pPr>
      <w:r>
        <w:rPr>
          <w:rFonts w:ascii="Times New Roman;Times;serif" w:hAnsi="Times New Roman;Times;serif"/>
          <w:sz w:val="22"/>
        </w:rPr>
        <w:t>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(iii)impose on any Lender or the L/C Issuer any other condition, cost or expense affecting this Agreement or Term SOFR Loans made by such Lender or any Letter of Credit or participation therein;</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and the result of any of the foregoing shall be to increase the cost to such Lender of making, converting to, continuing or maintaining any Committed Loan the interest on which is determined by reference to Term SOFR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Capital Requirements</w:t>
      </w:r>
      <w:r>
        <w:rPr>
          <w:rFonts w:ascii="Times New Roman;Times;serif" w:hAnsi="Times New Roman;Times;serif"/>
          <w:sz w:val="22"/>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Certificates for Reimbursement</w:t>
      </w:r>
      <w:r>
        <w:rPr>
          <w:rFonts w:ascii="Times New Roman;Times;serif" w:hAnsi="Times New Roman;Times;serif"/>
          <w:sz w:val="22"/>
        </w:rPr>
        <w:t>.  A certificate of a Lender or the L/C Issuer setting forth the amount or amounts necessary to compensate such Lender or the L/C Issuer or its holding company, as the case may be, as specified in subsection (a) or (b) of this Section and delivered to the Borrower shall be conclusive absent manifest error.  The Borrower shall pay such Lender or the L/C Issuer, as the case may be, the amount shown as due on any such certificate within 10 Business Days after receipt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Delay in Requests</w:t>
      </w:r>
      <w:r>
        <w:rPr>
          <w:rFonts w:ascii="Times New Roman;Times;serif" w:hAnsi="Times New Roman;Times;serif"/>
          <w:sz w:val="22"/>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Borrower shall not be required to compensate a Lender or the L/C Issuer pursuant to the foregoing provisions of this Section for any increased costs incurred or reductions suffered more than three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three-month period referred to above shall be extended to include the period of retroactive effect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3.05</w:t>
      </w:r>
      <w:r>
        <w:rPr>
          <w:rFonts w:ascii="Times New Roman;Times;serif" w:hAnsi="Times New Roman;Times;serif"/>
          <w:b/>
          <w:sz w:val="22"/>
        </w:rPr>
        <w:t>Compensation for Losses.  </w:t>
      </w:r>
      <w:r>
        <w:rPr>
          <w:rFonts w:ascii="Times New Roman;Times;serif" w:hAnsi="Times New Roman;Times;serif"/>
          <w:sz w:val="22"/>
        </w:rPr>
        <w:t>Upon demand of any Lender (with a copy to the Agent) from time to time, the Borrower shall promptly compensate such Lender for and hold such Lender harmless from any loss, cost or expense incurred by it as a result 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any continuation, conversion, payment or prepayment of any Term SOFR Loan on a day other than the last day of the Interest Period for such Loan (whether voluntary, mandatory, automatic, by reason of acceleration, or otherwise);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any failure by the Borrower (for a reason other than the failure of such Lender to make a Loan) to prepay, borrow, continue or convert any Term SOFR Loan on the date or in the amount notified by the Borrower;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any assignment of a Term SOFR Loan on a day other than the last day of the Interest Period therefor as a result of a request by the Borrower pursuant to </w:t>
      </w:r>
      <w:r>
        <w:rPr>
          <w:rFonts w:ascii="Times New Roman;Times;serif" w:hAnsi="Times New Roman;Times;serif"/>
          <w:sz w:val="22"/>
          <w:u w:val="single"/>
        </w:rPr>
        <w:t>Section 10.13</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including any loss (excluding any loss of anticipated profits)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3.06</w:t>
      </w:r>
      <w:r>
        <w:rPr>
          <w:rFonts w:ascii="Times New Roman;Times;serif" w:hAnsi="Times New Roman;Times;serif"/>
          <w:b/>
          <w:sz w:val="22"/>
        </w:rPr>
        <w:t>Mitigation Obligations; Replacement of Lenders</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Designation of a Different Lending Office</w:t>
      </w:r>
      <w:r>
        <w:rPr>
          <w:rFonts w:ascii="Times New Roman;Times;serif" w:hAnsi="Times New Roman;Times;serif"/>
          <w:sz w:val="22"/>
        </w:rPr>
        <w:t xml:space="preserve">.  If any Lender requests compensation under </w:t>
      </w:r>
      <w:r>
        <w:rPr>
          <w:rFonts w:ascii="Times New Roman;Times;serif" w:hAnsi="Times New Roman;Times;serif"/>
          <w:sz w:val="22"/>
          <w:u w:val="single"/>
        </w:rPr>
        <w:t>Section 3.04</w:t>
      </w:r>
      <w:r>
        <w:rPr>
          <w:rFonts w:ascii="Times New Roman;Times;serif" w:hAnsi="Times New Roman;Times;serif"/>
          <w:sz w:val="22"/>
        </w:rPr>
        <w:t xml:space="preserve">, or requires the Borrower to pay any Indemnified Taxes or additional amounts to any Lender, the L/C Issuer, or any Governmental Authority for the account of any Lender or the L/C Issuer pursuant to </w:t>
      </w:r>
      <w:r>
        <w:rPr>
          <w:rFonts w:ascii="Times New Roman;Times;serif" w:hAnsi="Times New Roman;Times;serif"/>
          <w:sz w:val="22"/>
          <w:u w:val="single"/>
        </w:rPr>
        <w:t>Section 3.01</w:t>
      </w:r>
      <w:r>
        <w:rPr>
          <w:rFonts w:ascii="Times New Roman;Times;serif" w:hAnsi="Times New Roman;Times;serif"/>
          <w:sz w:val="22"/>
        </w:rPr>
        <w:t xml:space="preserve">, or if any Lender gives a notice pursuant to </w:t>
      </w:r>
      <w:r>
        <w:rPr>
          <w:rFonts w:ascii="Times New Roman;Times;serif" w:hAnsi="Times New Roman;Times;serif"/>
          <w:sz w:val="22"/>
          <w:u w:val="single"/>
        </w:rPr>
        <w:t>Section 3.02</w:t>
      </w:r>
      <w:r>
        <w:rPr>
          <w:rFonts w:ascii="Times New Roman;Times;serif" w:hAnsi="Times New Roman;Times;serif"/>
          <w:sz w:val="22"/>
        </w:rPr>
        <w:t xml:space="preserve">, then at the request of the Borrower such Lender or the L/C Issuer shall, as applicable, use reasonable efforts to take such actions, including, designate a different Lending Office for funding or booking its Loans hereunder or to assign its rights and obligations hereunder to another of its offices, branches or affiliates, if, in the reasonable judgment of such Lender or the L/C Issuer, such actions, designation or assignment (i) would eliminate or reduce amounts payable pursuant to </w:t>
      </w:r>
      <w:r>
        <w:rPr>
          <w:rFonts w:ascii="Times New Roman;Times;serif" w:hAnsi="Times New Roman;Times;serif"/>
          <w:sz w:val="22"/>
          <w:u w:val="single"/>
        </w:rPr>
        <w:t>Section 3.01</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3.04</w:t>
      </w:r>
      <w:r>
        <w:rPr>
          <w:rFonts w:ascii="Times New Roman;Times;serif" w:hAnsi="Times New Roman;Times;serif"/>
          <w:sz w:val="22"/>
        </w:rPr>
        <w:t xml:space="preserve">, as the case may be, in the future, or eliminate the need for the notice pursuant to </w:t>
      </w:r>
      <w:r>
        <w:rPr>
          <w:rFonts w:ascii="Times New Roman;Times;serif" w:hAnsi="Times New Roman;Times;serif"/>
          <w:sz w:val="22"/>
          <w:u w:val="single"/>
        </w:rPr>
        <w:t>Section 3.02</w:t>
      </w:r>
      <w:r>
        <w:rPr>
          <w:rFonts w:ascii="Times New Roman;Times;serif" w:hAnsi="Times New Roman;Times;serif"/>
          <w:sz w:val="22"/>
        </w:rPr>
        <w:t>, as applicable, and (ii) in each case, would not subject such Lender or the L/C Issuer, as the case may be, to any unreimbursed cost or expense and would not otherwise be materially disadvantageous to such Lender or the L/C Issuer, as the case may be, (as compared to actions taken by such Lender with respect to other similarly situated borrowers).  The Borrower hereby agrees to pay all reasonable costs and expenses incurred by any Lender or the L/C Issuer in connection with any such designation or assignment.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Replacement of Lenders</w:t>
      </w:r>
      <w:r>
        <w:rPr>
          <w:rFonts w:ascii="Times New Roman;Times;serif" w:hAnsi="Times New Roman;Times;serif"/>
          <w:sz w:val="22"/>
        </w:rPr>
        <w:t xml:space="preserve">.  If any Lender requests compensation under </w:t>
      </w:r>
      <w:r>
        <w:rPr>
          <w:rFonts w:ascii="Times New Roman;Times;serif" w:hAnsi="Times New Roman;Times;serif"/>
          <w:sz w:val="22"/>
          <w:u w:val="single"/>
        </w:rPr>
        <w:t>Section 3.04</w:t>
      </w:r>
      <w:r>
        <w:rPr>
          <w:rFonts w:ascii="Times New Roman;Times;serif" w:hAnsi="Times New Roman;Times;serif"/>
          <w:sz w:val="22"/>
        </w:rPr>
        <w:t xml:space="preserve">, or if the Borrower is required to pay any Indemnified Taxes or additional amounts to any Lender or any Governmental Authority for the account of any Lender pursuant to </w:t>
      </w:r>
      <w:r>
        <w:rPr>
          <w:rFonts w:ascii="Times New Roman;Times;serif" w:hAnsi="Times New Roman;Times;serif"/>
          <w:sz w:val="22"/>
          <w:u w:val="single"/>
        </w:rPr>
        <w:t>Section 3.01</w:t>
      </w:r>
      <w:r>
        <w:rPr>
          <w:rFonts w:ascii="Times New Roman;Times;serif" w:hAnsi="Times New Roman;Times;serif"/>
          <w:sz w:val="22"/>
        </w:rPr>
        <w:t xml:space="preserve">, the Borrower may replace such Lender in accordance with </w:t>
      </w:r>
      <w:r>
        <w:rPr>
          <w:rFonts w:ascii="Times New Roman;Times;serif" w:hAnsi="Times New Roman;Times;serif"/>
          <w:sz w:val="22"/>
          <w:u w:val="single"/>
        </w:rPr>
        <w:t>Section 10.13</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3.07</w:t>
      </w:r>
      <w:r>
        <w:rPr>
          <w:rFonts w:ascii="Times New Roman;Times;serif" w:hAnsi="Times New Roman;Times;serif"/>
          <w:b/>
          <w:sz w:val="22"/>
        </w:rPr>
        <w:t>Survival.  </w:t>
      </w:r>
      <w:r>
        <w:rPr>
          <w:rFonts w:ascii="Times New Roman;Times;serif" w:hAnsi="Times New Roman;Times;serif"/>
          <w:sz w:val="22"/>
        </w:rPr>
        <w:t xml:space="preserve">All of the Borrower’s obligations under this </w:t>
      </w:r>
      <w:r>
        <w:rPr>
          <w:rFonts w:ascii="Times New Roman;Times;serif" w:hAnsi="Times New Roman;Times;serif"/>
          <w:sz w:val="22"/>
          <w:u w:val="single"/>
        </w:rPr>
        <w:t>Article III</w:t>
      </w:r>
      <w:r>
        <w:rPr>
          <w:rFonts w:ascii="Times New Roman;Times;serif" w:hAnsi="Times New Roman;Times;serif"/>
          <w:sz w:val="20"/>
        </w:rPr>
        <w:t xml:space="preserve"> </w:t>
      </w:r>
      <w:r>
        <w:rPr>
          <w:rFonts w:ascii="Times New Roman;Times;serif" w:hAnsi="Times New Roman;Times;serif"/>
          <w:sz w:val="22"/>
        </w:rPr>
        <w:t>shall survive termination of the Aggregate Commitments, repayment of all other Obligations hereunder, and resignation of the Agent.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IV.</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CONDITIONS PRECEDENT TO Credit Extensions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4.01</w:t>
      </w:r>
      <w:r>
        <w:rPr>
          <w:rFonts w:ascii="Times New Roman;Times;serif" w:hAnsi="Times New Roman;Times;serif"/>
          <w:b/>
          <w:sz w:val="22"/>
        </w:rPr>
        <w:t>Conditions to Effectiveness and Initial Credit Extensions.  </w:t>
      </w:r>
      <w:r>
        <w:rPr>
          <w:rFonts w:ascii="Times New Roman;Times;serif" w:hAnsi="Times New Roman;Times;serif"/>
          <w:sz w:val="22"/>
        </w:rPr>
        <w:t>This Agreement shall become effective upon, and the obligation of the L/C Issuer and each Lender to make its initial Credit Extension hereunder shall be subject to, in each case, satisfaction of the following conditions precedent: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Agent’s receipt of the following, each of which shall be originals or facsimiles (followed promptly by originals) unless otherwise specified, each properly executed by a Responsible Officer of the Borrower or the applicable Guarantor and, in the case of this Agreement, each Lender, each dated the Closing Date (or, in the case of certificates of governmental officials, a recent date before the Closing Date (or, as to any organization documents that have not been amended, modified or terminated since the closing date of the Existing Credit Agreement or the date thereafter on which they were most recently delivered to the Agent, such date)) and each in form and substance satisfactory to the Agent and each of the Lenders:</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(i)(A) an executed counterpart of this Agreement, (B) a Guaranty executed by each Material Domestic Subsidiary existing as of the Closing Date, and (C) a Note executed by the Borrower in favor of each Lender requesting a Note;</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(ii)such certificates of resolutions or other action, incumbency certificates with specimen signatures and/or other certificates of the secretary or assistant secretary of each Loan Party as the Agent may reasonably require evidencing the identity, authority and capacity of each Authorized Officer thereof authorized to act as an Authorized Officer in connection with this Agreement and the other Loan Documents;</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(iii)such documents and certifications as the Agent may reasonably require to evidence that each Loan Party is duly organized or formed, and that each Loan Party is validly existing and is in good standing in its jurisdiction of organization;</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(iv)favorable opinions of Gibson, Dunn &amp; Crutcher LLP and Goodsill Anderson Quinn &amp; Stifel, addressed to the Agent and each Lender, as to such matters concerning the Loan Parties and the Loan Documents as the Lenders may reasonably request;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2"/>
        </w:rPr>
        <w:t xml:space="preserve">(v)a certificate signed by a Responsible Officer of the Borrower certifying (A) that the conditions specified in </w:t>
      </w:r>
      <w:r>
        <w:rPr>
          <w:rFonts w:ascii="Times New Roman;Times;serif" w:hAnsi="Times New Roman;Times;serif"/>
          <w:sz w:val="22"/>
          <w:u w:val="single"/>
        </w:rPr>
        <w:t>Sections 4.02(a)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4.02(b)</w:t>
      </w:r>
      <w:r>
        <w:rPr>
          <w:rFonts w:ascii="Times New Roman;Times;serif" w:hAnsi="Times New Roman;Times;serif"/>
          <w:sz w:val="20"/>
        </w:rPr>
        <w:t xml:space="preserve"> </w:t>
      </w:r>
      <w:r>
        <w:rPr>
          <w:rFonts w:ascii="Times New Roman;Times;serif" w:hAnsi="Times New Roman;Times;serif"/>
          <w:sz w:val="22"/>
        </w:rPr>
        <w:t>have been satisfied on and as of the Closing Date, (B) that there has been no event or circumstance since December 31, 2024 that has had or could be reasonably expected to have, either individually or in the aggregate, a Material Adverse Effect, and (C) that attached thereto are copies of all documents evidencing any actions, approval, or consents necessary in connection with this Agreement (or, if no actions, approval or consents are necessary, certifying that no actions, approval or consents are necessary).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Agent shall have received a complete copy of each Note Purchase Agreement in effect as of the Closing Date (in each case, together with (x) an amendment to such Note Purchase Agreement in form and substance satisfactory to the Agent and (y) all exhibits and schedules thereto).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Upon the reasonable request of any Lender, the Borrower shall have provided to such Lender, and such Lender shall be reasonably satisfied with, the documentation and other information so requested in connection with applicable “know your customer” and anti-money laundering rules and regulations, including, without limitation, the PATRIOT Act.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Any fees agreed in writing to be paid to the Agent, the Arranger or the Lenders on or before the Closing Date shall have been paid.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Unless waived by the Agent, the Borrower shall have paid all fees, charges and disbursements of counsel to the Agent (directly to such counsel if requested by the Agent) to the extent invoiced prior to or on the Closing Date, plus such additional amounts of such fees, charges and disbursements as shall constitute its reasonable estimate of such fees, charges and disbursements incurred or to be incurred by it through the Closing Date (provided that such estimate shall not thereafter preclude a final settling of accounts between the Borrower and the Agent).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The Agent shall notify the Borrower in writing when this Agreement becomes effective.  Without limiting the generality of the provisions of the last paragraph of </w:t>
      </w:r>
      <w:r>
        <w:rPr>
          <w:rFonts w:ascii="Times New Roman;Times;serif" w:hAnsi="Times New Roman;Times;serif"/>
          <w:sz w:val="22"/>
          <w:u w:val="single"/>
        </w:rPr>
        <w:t>Section 9.03</w:t>
      </w:r>
      <w:r>
        <w:rPr>
          <w:rFonts w:ascii="Times New Roman;Times;serif" w:hAnsi="Times New Roman;Times;serif"/>
          <w:sz w:val="22"/>
        </w:rPr>
        <w:t xml:space="preserve">, for purposes of determining compliance with the conditions specified in this </w:t>
      </w:r>
      <w:r>
        <w:rPr>
          <w:rFonts w:ascii="Times New Roman;Times;serif" w:hAnsi="Times New Roman;Times;serif"/>
          <w:sz w:val="22"/>
          <w:u w:val="single"/>
        </w:rPr>
        <w:t>Section 4.01</w:t>
      </w:r>
      <w:r>
        <w:rPr>
          <w:rFonts w:ascii="Times New Roman;Times;serif" w:hAnsi="Times New Roman;Times;serif"/>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proposed Closing Date specifying its objection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4.02</w:t>
      </w:r>
      <w:r>
        <w:rPr>
          <w:rFonts w:ascii="Times New Roman;Times;serif" w:hAnsi="Times New Roman;Times;serif"/>
          <w:b/>
          <w:sz w:val="22"/>
        </w:rPr>
        <w:t>Conditions to all Credit Extensions.  </w:t>
      </w:r>
      <w:r>
        <w:rPr>
          <w:rFonts w:ascii="Times New Roman;Times;serif" w:hAnsi="Times New Roman;Times;serif"/>
          <w:sz w:val="22"/>
        </w:rPr>
        <w:t>The obligation of each Lender to honor any Request for Credit Extension (other than a Committed Loan Notice requesting only a conversion of Committed Loans to the other Type, or a continuation of Term SOFR Loans) is subject to the following conditions precedent: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The representations and warranties of the Borrower contained in </w:t>
      </w:r>
      <w:r>
        <w:rPr>
          <w:rFonts w:ascii="Times New Roman;Times;serif" w:hAnsi="Times New Roman;Times;serif"/>
          <w:sz w:val="22"/>
          <w:u w:val="single"/>
        </w:rPr>
        <w:t>Article V</w:t>
      </w:r>
      <w:r>
        <w:rPr>
          <w:rFonts w:ascii="Times New Roman;Times;serif" w:hAnsi="Times New Roman;Times;serif"/>
          <w:sz w:val="20"/>
        </w:rPr>
        <w:t xml:space="preserve"> </w:t>
      </w:r>
      <w:r>
        <w:rPr>
          <w:rFonts w:ascii="Times New Roman;Times;serif" w:hAnsi="Times New Roman;Times;serif"/>
          <w:sz w:val="22"/>
        </w:rPr>
        <w:t xml:space="preserve">or any other Loan Document, or which are contained in any document furnished at any time under or in connection herewith or therewith, shall be true and correct in all material respects (or, if such representation or warranty is qualified by materiality or Material Adverse Effect, it shall be true and correct in all respects as drafted) on and as of the date of such Credit Extension, except to the extent that such representations and warranties specifically refer to an earlier date, in which case they shall be true and correct in all material respects (or, if such representation or warranty is qualified by materiality or material adverse effect, it shall be true and correct in all respects as drafted) as of such earlier date; and except that for purposes of this </w:t>
      </w:r>
      <w:r>
        <w:rPr>
          <w:rFonts w:ascii="Times New Roman;Times;serif" w:hAnsi="Times New Roman;Times;serif"/>
          <w:sz w:val="22"/>
          <w:u w:val="single"/>
        </w:rPr>
        <w:t>Section 4.02</w:t>
      </w:r>
      <w:r>
        <w:rPr>
          <w:rFonts w:ascii="Times New Roman;Times;serif" w:hAnsi="Times New Roman;Times;serif"/>
          <w:sz w:val="22"/>
        </w:rPr>
        <w:t xml:space="preserve">, the representations and warranties contained in subsections (a) and (b) of </w:t>
      </w:r>
      <w:r>
        <w:rPr>
          <w:rFonts w:ascii="Times New Roman;Times;serif" w:hAnsi="Times New Roman;Times;serif"/>
          <w:sz w:val="22"/>
          <w:u w:val="single"/>
        </w:rPr>
        <w:t>Section 5.02</w:t>
      </w:r>
      <w:r>
        <w:rPr>
          <w:rFonts w:ascii="Times New Roman;Times;serif" w:hAnsi="Times New Roman;Times;serif"/>
          <w:sz w:val="20"/>
        </w:rPr>
        <w:t xml:space="preserve"> </w:t>
      </w:r>
      <w:r>
        <w:rPr>
          <w:rFonts w:ascii="Times New Roman;Times;serif" w:hAnsi="Times New Roman;Times;serif"/>
          <w:sz w:val="22"/>
        </w:rPr>
        <w:t xml:space="preserve">shall be deemed to refer to the most recent statements furnished pursuant to clauses (a) and (b), respectively, of </w:t>
      </w:r>
      <w:r>
        <w:rPr>
          <w:rFonts w:ascii="Times New Roman;Times;serif" w:hAnsi="Times New Roman;Times;serif"/>
          <w:sz w:val="22"/>
          <w:u w:val="single"/>
        </w:rPr>
        <w:t>Section 6.01</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No Default shall exist, or would result from such proposed Credit Extension or from the application of the proceeds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The Agent and, if applicable, the L/C Issuer or the Swing Line Lender (if no Autoborrow Agreement is then in effect) shall have received a Request for Credit Extension in accordance with the requirements hereof.</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Each Request for Credit Extension (other than a Committed Loan Notice requesting only a conversion of Committed Loans to the other Type or a continuation of Term SOFR Loans) submitted 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the Borrower and each Swing Line Borrowing of Swing Line Loans pursuant to an Autoborrow Agreement shall be deemed to be a representation and warranty that the conditions specified in </w:t>
      </w:r>
      <w:r>
        <w:rPr>
          <w:rFonts w:ascii="Times New Roman;Times;serif" w:hAnsi="Times New Roman;Times;serif"/>
          <w:sz w:val="22"/>
          <w:u w:val="single"/>
        </w:rPr>
        <w:t>Sections 4.02(a)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4.02(b)</w:t>
      </w:r>
      <w:r>
        <w:rPr>
          <w:rFonts w:ascii="Times New Roman;Times;serif" w:hAnsi="Times New Roman;Times;serif"/>
          <w:sz w:val="20"/>
        </w:rPr>
        <w:t xml:space="preserve"> </w:t>
      </w:r>
      <w:r>
        <w:rPr>
          <w:rFonts w:ascii="Times New Roman;Times;serif" w:hAnsi="Times New Roman;Times;serif"/>
          <w:sz w:val="22"/>
        </w:rPr>
        <w:t>have been satisfied on and as of the date of the applicable Credit Extension.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REPRESENTATIONS AND WARRANTIES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Borrower represents and warrants to the Agent and the Lenders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5.01</w:t>
      </w:r>
      <w:r>
        <w:rPr>
          <w:rFonts w:ascii="Times New Roman;Times;serif" w:hAnsi="Times New Roman;Times;serif"/>
          <w:b/>
          <w:sz w:val="22"/>
        </w:rPr>
        <w:t>Organization.  </w:t>
      </w:r>
      <w:r>
        <w:rPr>
          <w:rFonts w:ascii="Times New Roman;Times;serif" w:hAnsi="Times New Roman;Times;serif"/>
          <w:sz w:val="22"/>
        </w:rPr>
        <w:t>Each Loan Party and each Material Subsidiary is duly organized, validly existing and in good standing under the laws of the state of its organization.  The Borrower and each Material Subsidiary has the full power and authority to own its properties and to carry on its business as now being conducted, and is duly qualified in every state where the nature of its business requires that it do so, and is in good standing under the laws of every jurisdiction outside the state of its organization in which it owns or leases property or conducts business and in which the failure to so qualify would have a Material Adverse Effect.  The Borrower and each Material Subsidiary has complied in all material respects with (or is exempt from the application of) all material federal, state and local laws, regulations and orders that are (or in the absence of any exemption could be) applicable to the operations of its business, including public utility, bank holding company, state agricultural and Environmental and Safety Laws, in each case except to the extent that the failure to so comply would not reasonably be expected to have a Material Adverse Effect.  Each Loan Party has full power, authority and right to execute and deliver, and to perform and observe, the provisions of this Agreement and the other Loan Documents to which such Loan Party is a party and to carry out the transactions contemplated hereby and thereby.  The execution, delivery and performance of the Loan Documents by each Loan Party have been authorized by all necessary corporate and other action, and, when duly executed and delivered, will be the legal, valid and binding obligations of such Loan Party, enforceable against it in accordance with their respective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5.02</w:t>
      </w:r>
      <w:r>
        <w:rPr>
          <w:rFonts w:ascii="Times New Roman;Times;serif" w:hAnsi="Times New Roman;Times;serif"/>
          <w:b/>
          <w:sz w:val="22"/>
        </w:rPr>
        <w:t>Financial Statements</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Debt.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The financial statements delivered pursuant to </w:t>
      </w:r>
      <w:r>
        <w:rPr>
          <w:rFonts w:ascii="Times New Roman;Times;serif" w:hAnsi="Times New Roman;Times;serif"/>
          <w:sz w:val="22"/>
          <w:u w:val="single"/>
        </w:rPr>
        <w:t>6.01(a)</w:t>
      </w:r>
      <w:r>
        <w:rPr>
          <w:rFonts w:ascii="Times New Roman;Times;serif" w:hAnsi="Times New Roman;Times;serif"/>
          <w:sz w:val="20"/>
        </w:rPr>
        <w:t xml:space="preserve"> </w:t>
      </w:r>
      <w:r>
        <w:rPr>
          <w:rFonts w:ascii="Times New Roman;Times;serif" w:hAnsi="Times New Roman;Times;serif"/>
          <w:sz w:val="22"/>
        </w:rPr>
        <w:t>for the fiscal quarter ending March 31, 2025 (i) were prepared in accordance with GAAP consistently applied throughout the period covered thereby, except as otherwise expressly noted therein; and (ii) fairly present the financial condition of the Borrower and its Subsidiaries as of the date thereof and their results of operations for the period covered thereby, subject, in the case of unaudited financial statements, to the absence of footnotes and to normal year-end audit adjustments).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Since the date of the Audited Financial Statements, there has been no event or circumstance, either individually or in the aggregate, that has had or could reasonably be expected to have a Material Adverse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5.03</w:t>
      </w:r>
      <w:r>
        <w:rPr>
          <w:rFonts w:ascii="Times New Roman;Times;serif" w:hAnsi="Times New Roman;Times;serif"/>
          <w:b/>
          <w:sz w:val="22"/>
        </w:rPr>
        <w:t>Actions Pending.  </w:t>
      </w:r>
      <w:r>
        <w:rPr>
          <w:rFonts w:ascii="Times New Roman;Times;serif" w:hAnsi="Times New Roman;Times;serif"/>
          <w:sz w:val="22"/>
        </w:rPr>
        <w:t>There is no action, suit, investigation or proceeding pending or, to the knowledge of the Borrower, threatened against the Borrower or any Subsidiary or any properties or rights of the Borrower or any Subsidiary, by or before any court, arbitrator or administrative or governmental body which could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5.04</w:t>
      </w:r>
      <w:r>
        <w:rPr>
          <w:rFonts w:ascii="Times New Roman;Times;serif" w:hAnsi="Times New Roman;Times;serif"/>
          <w:b/>
          <w:sz w:val="22"/>
        </w:rPr>
        <w:t>Outstanding Debt.  </w:t>
      </w:r>
      <w:r>
        <w:rPr>
          <w:rFonts w:ascii="Times New Roman;Times;serif" w:hAnsi="Times New Roman;Times;serif"/>
          <w:sz w:val="22"/>
        </w:rPr>
        <w:t>Neither the Borrower nor any Subsidiary has any Debt outstanding except as not prohibited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5.05</w:t>
      </w:r>
      <w:r>
        <w:rPr>
          <w:rFonts w:ascii="Times New Roman;Times;serif" w:hAnsi="Times New Roman;Times;serif"/>
          <w:b/>
          <w:sz w:val="22"/>
        </w:rPr>
        <w:t>Title to Properties.  </w:t>
      </w:r>
      <w:r>
        <w:rPr>
          <w:rFonts w:ascii="Times New Roman;Times;serif" w:hAnsi="Times New Roman;Times;serif"/>
          <w:sz w:val="22"/>
        </w:rPr>
        <w:t xml:space="preserve">The Borrower and each Material Subsidiary have good and indefeasible title to their respective real properties (other than properties which they lease) and have good title to all of their other material properties and assets, including the properties and assets reflected in the most recent audited balance sheet referred to in </w:t>
      </w:r>
      <w:r>
        <w:rPr>
          <w:rFonts w:ascii="Times New Roman;Times;serif" w:hAnsi="Times New Roman;Times;serif"/>
          <w:sz w:val="22"/>
          <w:u w:val="single"/>
        </w:rPr>
        <w:t>Section 5.02(a)</w:t>
      </w:r>
      <w:r>
        <w:rPr>
          <w:rFonts w:ascii="Times New Roman;Times;serif" w:hAnsi="Times New Roman;Times;serif"/>
          <w:sz w:val="20"/>
        </w:rPr>
        <w:t xml:space="preserve"> </w:t>
      </w:r>
      <w:r>
        <w:rPr>
          <w:rFonts w:ascii="Times New Roman;Times;serif" w:hAnsi="Times New Roman;Times;serif"/>
          <w:sz w:val="22"/>
        </w:rPr>
        <w:t xml:space="preserve">or furnished pursuant to </w:t>
      </w:r>
      <w:r>
        <w:rPr>
          <w:rFonts w:ascii="Times New Roman;Times;serif" w:hAnsi="Times New Roman;Times;serif"/>
          <w:sz w:val="22"/>
          <w:u w:val="single"/>
        </w:rPr>
        <w:t>Section 6.01(b)</w:t>
      </w:r>
      <w:r>
        <w:rPr>
          <w:rFonts w:ascii="Times New Roman;Times;serif" w:hAnsi="Times New Roman;Times;serif"/>
          <w:sz w:val="20"/>
        </w:rPr>
        <w:t xml:space="preserve"> </w:t>
      </w:r>
      <w:r>
        <w:rPr>
          <w:rFonts w:ascii="Times New Roman;Times;serif" w:hAnsi="Times New Roman;Times;serif"/>
          <w:sz w:val="22"/>
        </w:rPr>
        <w:t xml:space="preserve">(other than properties and assets disposed of in the ordinary course of business) except where the failure to have such good title would not reasonably be expected to have a Material Adverse Effect.  Such properties are not subject to any Liens of any kind except Liens permitted by </w:t>
      </w:r>
      <w:r>
        <w:rPr>
          <w:rFonts w:ascii="Times New Roman;Times;serif" w:hAnsi="Times New Roman;Times;serif"/>
          <w:sz w:val="22"/>
          <w:u w:val="single"/>
        </w:rPr>
        <w:t>Section 7.02</w:t>
      </w:r>
      <w:r>
        <w:rPr>
          <w:rFonts w:ascii="Times New Roman;Times;serif" w:hAnsi="Times New Roman;Times;serif"/>
          <w:sz w:val="22"/>
        </w:rPr>
        <w:t>.  There is no material default, nor any event that, with notice or lapse of time or both, would constitute such a material default under any material lease to which either the Borrower or any Material Subsidiary is a lessee, lessor, sublessee or sublessor.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5.06</w:t>
      </w:r>
      <w:r>
        <w:rPr>
          <w:rFonts w:ascii="Times New Roman;Times;serif" w:hAnsi="Times New Roman;Times;serif"/>
          <w:b/>
          <w:sz w:val="22"/>
        </w:rPr>
        <w:t>Taxes.  </w:t>
      </w:r>
      <w:r>
        <w:rPr>
          <w:rFonts w:ascii="Times New Roman;Times;serif" w:hAnsi="Times New Roman;Times;serif"/>
          <w:sz w:val="22"/>
        </w:rPr>
        <w:t>Except as could not, individually or in the aggregate, reasonably be expected to result in a Material Adverse Effect,(a) each Loan Party and each Material Subsidiary has filed all Federal and state income tax and all other material tax and informational returns which are required to be filed by it, and (b) the Borrower and each such Subsidiary has paid all taxes as shown on such returns and on all assessments received (other than such taxes as are not yet delinquent), except such taxes as are being contested in good faith by appropriate proceedings for which adequate reserves have been established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5.07</w:t>
      </w:r>
      <w:r>
        <w:rPr>
          <w:rFonts w:ascii="Times New Roman;Times;serif" w:hAnsi="Times New Roman;Times;serif"/>
          <w:b/>
          <w:sz w:val="22"/>
        </w:rPr>
        <w:t>Conflicting Agreements and Other Matters.  </w:t>
      </w:r>
      <w:r>
        <w:rPr>
          <w:rFonts w:ascii="Times New Roman;Times;serif" w:hAnsi="Times New Roman;Times;serif"/>
          <w:sz w:val="22"/>
        </w:rPr>
        <w:t xml:space="preserve">Neither the execution nor delivery of this Agreement or the other Loan Documents, nor the making of Credit Extensions hereunder, nor fulfillment of nor compliance with the terms and provisions of this Agreement or the other Loan Documents will conflict with, or result in a breach of the terms, conditions or provisions of, or constitute a default under, or result in any violation of, or result in the creation of any Lien upon any of the properties or assets of the Borrower or any Subsidiary pursuant to, their respective articles of incorporation, bylaws or similar organizational documents, any award of any arbitrator or any agreement, instrument, order, judgment, decree, and after due investigation and to the Borrower’s best knowledge, any statute, law, rule or regulation to which the Borrower or any Subsidiary is subject.  As of the Closing Date, neither the Borrower nor any Subsidiary is a party to, or otherwise subject to any provision contained in, any instrument evidencing any of their respective Debt, any agreement relating thereto or any other contract or agreement which restricts or otherwise limits the incurring of Debt pursuant hereto, except as set forth on </w:t>
      </w:r>
      <w:r>
        <w:rPr>
          <w:rFonts w:ascii="Times New Roman;Times;serif" w:hAnsi="Times New Roman;Times;serif"/>
          <w:sz w:val="22"/>
          <w:u w:val="single"/>
        </w:rPr>
        <w:t>Schedule 5.07</w:t>
      </w:r>
      <w:r>
        <w:rPr>
          <w:rFonts w:ascii="Times New Roman;Times;serif" w:hAnsi="Times New Roman;Times;serif"/>
          <w:sz w:val="20"/>
        </w:rPr>
        <w:t xml:space="preserve"> </w:t>
      </w:r>
      <w:r>
        <w:rPr>
          <w:rFonts w:ascii="Times New Roman;Times;serif" w:hAnsi="Times New Roman;Times;serif"/>
          <w:sz w:val="22"/>
        </w:rPr>
        <w: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5.08</w:t>
      </w:r>
      <w:r>
        <w:rPr>
          <w:rFonts w:ascii="Times New Roman;Times;serif" w:hAnsi="Times New Roman;Times;serif"/>
          <w:b/>
          <w:sz w:val="22"/>
        </w:rPr>
        <w:t>Subsidiaries</w:t>
      </w:r>
      <w:r>
        <w:rPr>
          <w:rFonts w:ascii="Times New Roman;Times;serif" w:hAnsi="Times New Roman;Times;serif"/>
          <w:sz w:val="22"/>
        </w:rPr>
        <w:t xml:space="preserve">.  Set forth on </w:t>
      </w:r>
      <w:r>
        <w:rPr>
          <w:rFonts w:ascii="Times New Roman;Times;serif" w:hAnsi="Times New Roman;Times;serif"/>
          <w:sz w:val="22"/>
          <w:u w:val="single"/>
        </w:rPr>
        <w:t>Schedule 5.08</w:t>
      </w:r>
      <w:r>
        <w:rPr>
          <w:rFonts w:ascii="Times New Roman;Times;serif" w:hAnsi="Times New Roman;Times;serif"/>
          <w:sz w:val="20"/>
        </w:rPr>
        <w:t xml:space="preserve"> </w:t>
      </w:r>
      <w:r>
        <w:rPr>
          <w:rFonts w:ascii="Times New Roman;Times;serif" w:hAnsi="Times New Roman;Times;serif"/>
          <w:sz w:val="22"/>
        </w:rPr>
        <w:t>is a complete and accurate list as of the Closing Date of each Material Domestic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5.09</w:t>
      </w:r>
      <w:r>
        <w:rPr>
          <w:rFonts w:ascii="Times New Roman;Times;serif" w:hAnsi="Times New Roman;Times;serif"/>
          <w:b/>
          <w:sz w:val="22"/>
        </w:rPr>
        <w:t>ERISA</w:t>
      </w:r>
      <w:r>
        <w:rPr>
          <w:rFonts w:ascii="Times New Roman;Times;serif" w:hAnsi="Times New Roman;Times;serif"/>
          <w:sz w:val="22"/>
        </w:rPr>
        <w:t>.  No accumulated funding deficiency (as defined in section 302 of ERISA and section 412 of the Code), whether or not waived, exists with respect to any Plan (other than a Multiemployer Plan).  No liability to the PBGC has been or is expected by the Borrower or any ERISA Affiliate to be incurred with respect to any Plan (other than a Multiemployer Plan) by the Borrower, any Subsidiary or any ERISA Affiliate which is or would be materially adverse to the business, condition (financial or otherwise) or operations of the Borrower and its Subsidiaries taken as a whole.  Neither the Borrower, any of its Subsidiaries or any ERISA Affiliate has incurred or presently expects to incur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withdrawal liability under Title IV of ERISA with respect to any Multiemployer Plan which is or would reasonably be expected to have a Material Adverse Effect.  The execution and delivery of this Agreement and the other Loan Documents and the Credit Extensions hereunder will be exempt from, or did not and will not involve any transaction which is subject to the prohibitions of, section 406 of ERISA and did not and will not involve any transaction in connection with which a penalty could be imposed under section 502(i) of ERISA or a tax could be imposed pursuant to section 4975 of the Code.  As of the Closing Date, the Borrower is not and will not be using “plan assets” (within the meaning of Section 3(42) of ERISA or otherwise) of one or more Benefit Plans with respect to the Borrower’s entrance into, participation in, administration of and performance of the Loans, the Letters of Credit, the Commitments or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5.10</w:t>
      </w:r>
      <w:r>
        <w:rPr>
          <w:rFonts w:ascii="Times New Roman;Times;serif" w:hAnsi="Times New Roman;Times;serif"/>
          <w:b/>
          <w:sz w:val="22"/>
        </w:rPr>
        <w:t>Government Consent</w:t>
      </w:r>
      <w:r>
        <w:rPr>
          <w:rFonts w:ascii="Times New Roman;Times;serif" w:hAnsi="Times New Roman;Times;serif"/>
          <w:sz w:val="22"/>
        </w:rPr>
        <w:t>.  Neither the nature of the Borrower or any of its Subsidiaries, nor any of their respective businesses or properties, nor any relationship between the Borrower or a Subsidiary and any other Person, nor any circumstance in connection with the Credit Extensions hereunder is such as to require any authorization, consent, approval, exemption or other action by, notice to or filing with any court, administrative or governmental body (other than routine filings after the Closing Date with the SEC and/or state blue sky authorities) in connection with (a) the execution and delivery of this Agreement and the other Loan Documents or (b) fulfillment of or compliance with the terms and provisions of this Agreement and the other Loan Documents, in either case, that has not been obtained.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5.11</w:t>
      </w:r>
      <w:r>
        <w:rPr>
          <w:rFonts w:ascii="Times New Roman;Times;serif" w:hAnsi="Times New Roman;Times;serif"/>
          <w:b/>
          <w:sz w:val="22"/>
        </w:rPr>
        <w:t>Investment Company Status; Margin Stock</w:t>
      </w:r>
      <w:r>
        <w:rPr>
          <w:rFonts w:ascii="Times New Roman;Times;serif" w:hAnsi="Times New Roman;Times;serif"/>
          <w:sz w:val="22"/>
        </w:rPr>
        <w:t>.  The Borrower is not an “investment company” or a company “controlled” by an “investment company” within the meaning of the Investment Company Act of 1940, or an “investment adviser” within the meaning of the Investment Advisers Act of 1940.  No part of the proceeds of any Credit Extension will be used in any manner that is in violation of Regulations U or X issued by the FRB.  After applying the proceeds of each Credit Extension, margin stock (within the meaning of Regulation U issued by the FRB) will not constitute more than 25% of the value of the assets (either of the Borrower alone or the Borrower and its Subsidiaries on a consolidated basis) that are subject to the provisions of this Agreement that may cause the Credit Extensions to be deemed secured, directly or indirectly, by margin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5.12</w:t>
      </w:r>
      <w:r>
        <w:rPr>
          <w:rFonts w:ascii="Times New Roman;Times;serif" w:hAnsi="Times New Roman;Times;serif"/>
          <w:b/>
          <w:sz w:val="22"/>
        </w:rPr>
        <w:t>Possession of Franchises, Licenses, Etc</w:t>
      </w:r>
      <w:r>
        <w:rPr>
          <w:rFonts w:ascii="Times New Roman;Times;serif" w:hAnsi="Times New Roman;Times;serif"/>
          <w:sz w:val="22"/>
        </w:rPr>
        <w:t>.  The Borrower and its Subsidiaries possess all material franchises, certificates, licenses, development and other permits and other authorizations from governmental political subdivisions or regulatory authorities and all material patents, trademarks, service marks, trade names, copyrights, licenses, easements, rights of way and other rights (collectively, “</w:t>
      </w:r>
      <w:r>
        <w:rPr>
          <w:rFonts w:ascii="Times New Roman;Times;serif" w:hAnsi="Times New Roman;Times;serif"/>
          <w:sz w:val="22"/>
          <w:u w:val="single"/>
        </w:rPr>
        <w:t>Material Rights</w:t>
      </w:r>
      <w:r>
        <w:rPr>
          <w:rFonts w:ascii="Times New Roman;Times;serif" w:hAnsi="Times New Roman;Times;serif"/>
          <w:sz w:val="20"/>
        </w:rPr>
        <w:t>”</w:t>
      </w:r>
      <w:r>
        <w:rPr>
          <w:rFonts w:ascii="Times New Roman;Times;serif" w:hAnsi="Times New Roman;Times;serif"/>
          <w:sz w:val="22"/>
        </w:rPr>
        <w:t>), free from burdensome restriction, that are necessary in the judgment of the Borrower in any material respect for the ownership, maintenance and operation of their business, properties and assets, and neither the Borrower nor any of its Subsidiaries is in violation of any Material Rights except where the violation of such Material Rights would not reasonably be expected to have a Material Adverse Effect.  No event has occurred which permits, or after notice or lapse of time or both would permit, the revocation or termination of any such Material Rights except where the revocation of such Material Rights would not reasonably be expected to have a Material Adverse Effect, or which materially and adversely affects the rights of the Borrower or its Subsidiaries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5.13</w:t>
      </w:r>
      <w:r>
        <w:rPr>
          <w:rFonts w:ascii="Times New Roman;Times;serif" w:hAnsi="Times New Roman;Times;serif"/>
          <w:b/>
          <w:sz w:val="22"/>
        </w:rPr>
        <w:t>Environmental and Safety Matters</w:t>
      </w:r>
      <w:r>
        <w:rPr>
          <w:rFonts w:ascii="Times New Roman;Times;serif" w:hAnsi="Times New Roman;Times;serif"/>
          <w:sz w:val="22"/>
        </w:rPr>
        <w:t>.  The Borrower and its Subsidiaries and all of their respective properties and facilities do comply and to the knowledge of the Borrower, have complied at all times and in all respects with all Environmental and Safety Laws except where failure to comply would not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5.14</w:t>
      </w:r>
      <w:r>
        <w:rPr>
          <w:rFonts w:ascii="Times New Roman;Times;serif" w:hAnsi="Times New Roman;Times;serif"/>
          <w:b/>
          <w:sz w:val="22"/>
        </w:rPr>
        <w:t>Hostile Tender Offers</w:t>
      </w:r>
      <w:r>
        <w:rPr>
          <w:rFonts w:ascii="Times New Roman;Times;serif" w:hAnsi="Times New Roman;Times;serif"/>
          <w:sz w:val="22"/>
        </w:rPr>
        <w:t>.  None of the proceeds of the Credit Extensions will be used to finance any offer to purchase, or any purchase of, shares of capital stock of any corporation or equity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interests in any other entity, or securities convertible into or representing the beneficial ownership of, or rights to acquire, any such shares or equity interests, if such shares, equity interests, securities or rights are of a class which is publicly traded on any securities exchange or in any over-the-counter market, other than (a) purchases for portfolio investment purposes of such shares, equity interests, securities or rights which, together with any shares, equity interests, securities or rights then owned by the Borrower and its Subsidiaries, represent less than 5% of the equity interests or beneficial ownership of such corporation or other entity, or (b) such offers or purchases as have been duly approved by the board of directors of such corporation or the equivalent governing body of such other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5.15</w:t>
      </w:r>
      <w:r>
        <w:rPr>
          <w:rFonts w:ascii="Times New Roman;Times;serif" w:hAnsi="Times New Roman;Times;serif"/>
          <w:b/>
          <w:sz w:val="22"/>
        </w:rPr>
        <w:t>Employee Relations</w:t>
      </w:r>
      <w:r>
        <w:rPr>
          <w:rFonts w:ascii="Times New Roman;Times;serif" w:hAnsi="Times New Roman;Times;serif"/>
          <w:sz w:val="22"/>
        </w:rPr>
        <w:t>.  Neither the Borrower nor any Subsidiary is the subject of (a) any material strike, work slowdown or stoppage, union organizing drive or other similar activity or (b) any material action, suit, investigation or other proceeding involving alleged employment discrimination, unfair termination, employee safety or similar matters that in either case would reasonably be expected to have a Material Adverse Effect nor, to the best knowledge of the Borrower, is any such event imminent or likely to occur except those which, individually or in aggregate,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5.16</w:t>
      </w:r>
      <w:r>
        <w:rPr>
          <w:rFonts w:ascii="Times New Roman;Times;serif" w:hAnsi="Times New Roman;Times;serif"/>
          <w:b/>
          <w:sz w:val="22"/>
        </w:rPr>
        <w:t>Sanctions and Anti-Corruption Laws</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No Loan Party, no Subsidiary nor, to the knowledge of senior management of any Loan Party, any Related Party is an individual or entity that is, or is owned or controlled by any individual or entity that is (i) currently the subject or target of any Sanctions, (ii) included on OFAC’s List of Specially Designated Nationals, or any similar list enforced by any other relevant sanctions authority applicable to the Borrower and its Subsidiaries or (iii) located, organized or resident in a Designated Jurisdiction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Neither the Borrower nor any of its Subsidiaries has been charged with, or convicted of bribery or any other anti-corruption related activity under any law or regulation applicable to bribery or any other anti-corruption related activity in a U.S. or any non-U.S. country or jurisdiction, including but not limited to the United States Foreign Corrupt Practices Act of 1977 (“</w:t>
      </w:r>
      <w:r>
        <w:rPr>
          <w:rFonts w:ascii="Times New Roman;Times;serif" w:hAnsi="Times New Roman;Times;serif"/>
          <w:sz w:val="22"/>
          <w:u w:val="single"/>
        </w:rPr>
        <w:t>Anti-Corruption Laws</w:t>
      </w:r>
      <w:r>
        <w:rPr>
          <w:rFonts w:ascii="Times New Roman;Times;serif" w:hAnsi="Times New Roman;Times;serif"/>
          <w:sz w:val="20"/>
        </w:rPr>
        <w:t>”</w:t>
      </w:r>
      <w:r>
        <w:rPr>
          <w:rFonts w:ascii="Times New Roman;Times;serif" w:hAnsi="Times New Roman;Times;serif"/>
          <w:sz w:val="22"/>
        </w:rPr>
        <w:t>), and the Borrower has established and maintained procedures and controls which it reasonably believes are adequate to promote and achieve compliance by the Borrower and its Subsidiaries in all material respects with all applicable Anti-Corruption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5.17</w:t>
      </w:r>
      <w:r>
        <w:rPr>
          <w:rFonts w:ascii="Times New Roman;Times;serif" w:hAnsi="Times New Roman;Times;serif"/>
          <w:b/>
          <w:sz w:val="22"/>
        </w:rPr>
        <w:t>Disclosure</w:t>
      </w:r>
      <w:r>
        <w:rPr>
          <w:rFonts w:ascii="Times New Roman;Times;serif" w:hAnsi="Times New Roman;Times;serif"/>
          <w:sz w:val="22"/>
        </w:rPr>
        <w:t xml:space="preserve">.  Neither this Agreement nor any other document, certificate or statement furnished to the Agent or any Lender by or on behalf of the Borrower in connection herewith contains any untrue statement of a material fact or omits to state a material fact necessary in order to make the statements contained herein and therein, taken as a whole as of the date thereof, not misleading; </w:t>
      </w:r>
      <w:r>
        <w:rPr>
          <w:rFonts w:ascii="Times New Roman;Times;serif" w:hAnsi="Times New Roman;Times;serif"/>
          <w:sz w:val="22"/>
          <w:u w:val="single"/>
        </w:rPr>
        <w:t>provided</w:t>
      </w:r>
      <w:r>
        <w:rPr>
          <w:rFonts w:ascii="Times New Roman;Times;serif" w:hAnsi="Times New Roman;Times;serif"/>
          <w:sz w:val="22"/>
        </w:rPr>
        <w:t>, that, with respect to projected financial information, the Borrower represents only that such information was prepared in good faith based upon assumptions believed to be reasonable at the time and information available to it at such time, it being understood that the Borrower is under no obligation to update such projections or underlying information.  As of the Closing Date, the information included in the Beneficial Ownership Certification, if applicable, is true and correct in all respects.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5.18</w:t>
      </w:r>
      <w:r>
        <w:rPr>
          <w:rFonts w:ascii="Times New Roman;Times;serif" w:hAnsi="Times New Roman;Times;serif"/>
          <w:b/>
          <w:sz w:val="22"/>
        </w:rPr>
        <w:t>No Affected Financial Institution</w:t>
      </w:r>
      <w:r>
        <w:rPr>
          <w:rFonts w:ascii="Times New Roman;Times;serif" w:hAnsi="Times New Roman;Times;serif"/>
          <w:sz w:val="22"/>
        </w:rPr>
        <w:t>.  No Loan Party is an Affected Financial Institution.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5.19</w:t>
      </w:r>
      <w:r>
        <w:rPr>
          <w:rFonts w:ascii="Times New Roman;Times;serif" w:hAnsi="Times New Roman;Times;serif"/>
          <w:b/>
          <w:sz w:val="22"/>
        </w:rPr>
        <w:t>Outbound Investment Rules</w:t>
      </w:r>
      <w:r>
        <w:rPr>
          <w:rFonts w:ascii="Times New Roman;Times;serif" w:hAnsi="Times New Roman;Times;serif"/>
          <w:sz w:val="22"/>
        </w:rPr>
        <w:t>.  Neither the Borrower nor any Subsidiary is a “covered foreign person” as that term is used in the Outbound Investment Rules. Neither the Borrower nor any Subsidiary currently engages, or has any present intention to engage in the future, directly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the Borrower or such Subsidiary were a United States Person, or (c) any other activity that would cause the Agent, any Lender, the L/C Issuer or the Swing Line Lender to be in violation of the Outbound Investment Rules or cause the Agent, any Lender, the L/C Issuer or the Swing Line Lender to be legally prohibited by the Outbound Investment Rules from performing under this Agreement or any other Loan Document.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AFFIRMATIVE COVENANTS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On and after the Closing Date, and so long as any Lender shall have any Commitment hereunder, any Loan or other Obligation hereunder (other than any contingent indemnification Obligation) shall remain unpaid or unsatisfied, or any Letter of Credit shall remain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6.01</w:t>
      </w:r>
      <w:r>
        <w:rPr>
          <w:rFonts w:ascii="Times New Roman;Times;serif" w:hAnsi="Times New Roman;Times;serif"/>
          <w:b/>
          <w:sz w:val="22"/>
        </w:rPr>
        <w:t>Financial Information</w:t>
      </w:r>
      <w:r>
        <w:rPr>
          <w:rFonts w:ascii="Times New Roman;Times;serif" w:hAnsi="Times New Roman;Times;serif"/>
          <w:sz w:val="22"/>
        </w:rPr>
        <w:t>.  The Borrower shall deliver to the Agent (for distribution to the Lenders):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as soon as practicable and in any event within 60 days after the end of each quarterly period (other than the last quarterly period) in each fiscal year (or if earlier, 5 days after the date required to be filed with the SEC), consolidated statements of income and cash flows of the Borrower and its Subsidiaries for the period from the beginning of the current fiscal year to the end of such quarterly period, and a consolidated balance sheet of the Borrower and its Subsidiaries as at the end of such quarterly period, setting forth in each case in comparative form figures for the corresponding period in the preceding fiscal year, all in reasonable detail and certified by an authorized financial officer of the Borrower, subject only to changes resulting from year-end adjustments;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as soon as practicable and in any event within 120 days after the end of each fiscal year of the Borrower (or if earlier, 5 days after the date required to be filed with the SEC), consolidated statements of income and cash flows of the Borrower and its Subsidiaries for such year and a consolidated balance sheet of the Borrower and its Subsidiaries as at the end of such fiscal year, setting forth in each case in comparative form corresponding figures from the preceding annual audit, certified by independent public accountants of recognized national standing whose opinion shall be prepared in accordance with generally accepted auditing standards and shall not be subject to any “going concern” or like qualification or exception or any qualification or exception as to the scope of such audit; </w:t>
      </w:r>
      <w:r>
        <w:rPr>
          <w:rFonts w:ascii="Times New Roman;Times;serif" w:hAnsi="Times New Roman;Times;serif"/>
          <w:sz w:val="22"/>
          <w:u w:val="single"/>
        </w:rPr>
        <w:t>provided</w:t>
      </w:r>
      <w:r>
        <w:rPr>
          <w:rFonts w:ascii="Times New Roman;Times;serif" w:hAnsi="Times New Roman;Times;serif"/>
          <w:sz w:val="22"/>
        </w:rPr>
        <w:t>, that, it shall not be a violation of this clause (b) if the opinion accompanying the financial statements for the last fiscal year prior to the Maturity Date is subject to a “going concern” or like qualification solely as a result of the impending maturity of the Loans under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together with each delivery of financial statements required by clauses (a) and (b) above, a Compliance Certificate (x) setting forth computations showing the calculation of the covenants in </w:t>
      </w:r>
      <w:r>
        <w:rPr>
          <w:rFonts w:ascii="Times New Roman;Times;serif" w:hAnsi="Times New Roman;Times;serif"/>
          <w:sz w:val="22"/>
          <w:u w:val="single"/>
        </w:rPr>
        <w:t>Sections 7.01</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7.05</w:t>
      </w:r>
      <w:r>
        <w:rPr>
          <w:rFonts w:ascii="Times New Roman;Times;serif" w:hAnsi="Times New Roman;Times;serif"/>
          <w:sz w:val="22"/>
        </w:rPr>
        <w:t xml:space="preserve">, (y) stating that there exists no Default, or if any such Default exists, specifying the nature and period of existence thereof and what action the Borrower proposes to take with respect thereto and (z) attaching supplements to </w:t>
      </w:r>
      <w:r>
        <w:rPr>
          <w:rFonts w:ascii="Times New Roman;Times;serif" w:hAnsi="Times New Roman;Times;serif"/>
          <w:sz w:val="22"/>
          <w:u w:val="single"/>
        </w:rPr>
        <w:t>Schedule 5.08</w:t>
      </w:r>
      <w:r>
        <w:rPr>
          <w:rFonts w:ascii="Times New Roman;Times;serif" w:hAnsi="Times New Roman;Times;serif"/>
          <w:sz w:val="20"/>
        </w:rPr>
        <w:t xml:space="preserve"> </w:t>
      </w:r>
      <w:r>
        <w:rPr>
          <w:rFonts w:ascii="Times New Roman;Times;serif" w:hAnsi="Times New Roman;Times;serif"/>
          <w:sz w:val="22"/>
        </w:rPr>
        <w:t>as are necessary such that, as supplemented, such Schedule would be accurate and complete as of the date of such Compliance Certificate;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67</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promptly upon transmission thereof, copies of all such financial, proxy and information statements, notices and other reports as are sent to the Borrower’s public stockholders and copies of all registration statements (without exhibits) and all reports which are filed with the SEC;</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promptly upon receipt thereof, a copy of each other material report submitted to the Borrower or any of its Subsidiaries by independent accountants in connection with any material annual, interim or special audit made by them of the books of such Borrower or such Subsidiary;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 xml:space="preserve">promptly after the furnishing thereof, copies of any certificate, statement or report furnished to any other lender to, or holder of the debt securities of, the Borrower pursuant to the terms of any indenture, loan, credit or similar agreement or instrument and not otherwise required to be furnished to the Lenders pursuant to any other clause of this </w:t>
      </w:r>
      <w:r>
        <w:rPr>
          <w:rFonts w:ascii="Times New Roman;Times;serif" w:hAnsi="Times New Roman;Times;serif"/>
          <w:sz w:val="22"/>
          <w:u w:val="single"/>
        </w:rPr>
        <w:t>Section 6.01</w:t>
      </w:r>
      <w:r>
        <w:rPr>
          <w:rFonts w:ascii="Times New Roman;Times;serif" w:hAnsi="Times New Roman;Times;serif"/>
          <w:sz w:val="22"/>
        </w:rPr>
        <w: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with reasonable promptness, such other financial data as the Agent or any Lender may reasonably request.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Borrower also covenants that forthwith upon a Responsible Officer obtaining actual knowledge of a Default, it will deliver to the Agent and the Lenders an Officers’ Certificate specifying the nature and period of existence thereof and what action the Borrower proposes to take with respect thereto.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Documents required to be delivered pursuant to </w:t>
      </w:r>
      <w:r>
        <w:rPr>
          <w:rFonts w:ascii="Times New Roman;Times;serif" w:hAnsi="Times New Roman;Times;serif"/>
          <w:sz w:val="22"/>
          <w:u w:val="single"/>
        </w:rPr>
        <w:t>Section 6.01(a)</w:t>
      </w:r>
      <w:r>
        <w:rPr>
          <w:rFonts w:ascii="Times New Roman;Times;serif" w:hAnsi="Times New Roman;Times;serif"/>
          <w:sz w:val="22"/>
        </w:rPr>
        <w:t xml:space="preserve">,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(d)</w:t>
      </w:r>
      <w:r>
        <w:rPr>
          <w:rFonts w:ascii="Times New Roman;Times;serif" w:hAnsi="Times New Roman;Times;serif"/>
          <w:sz w:val="20"/>
        </w:rPr>
        <w:t xml:space="preserve"> </w:t>
      </w:r>
      <w:r>
        <w:rPr>
          <w:rFonts w:ascii="Times New Roman;Times;serif" w:hAnsi="Times New Roman;Times;serif"/>
          <w:sz w:val="22"/>
        </w:rPr>
        <w:t xml:space="preserve">(to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Times;serif" w:hAnsi="Times New Roman;Times;serif"/>
          <w:sz w:val="22"/>
          <w:u w:val="single"/>
        </w:rPr>
        <w:t>Schedule 10.02</w:t>
      </w:r>
      <w:r>
        <w:rPr>
          <w:rFonts w:ascii="Times New Roman;Times;serif" w:hAnsi="Times New Roman;Times;serif"/>
          <w:sz w:val="22"/>
        </w:rPr>
        <w:t xml:space="preserve">; or (ii) on which such documents are posted on the Borrower’s behalf on an Internet or intranet website, if any, to which each Lender and the Agent have access (whether a commercial, third-party website or whether sponsored by the Agent);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in the case of documents that are not available on http://www.sec.gov: (A) the Borrower shall deliver paper copies of such documents to the Agent or any Lender that requests the Borrower to deliver such paper copies until a written request to cease delivering paper copies is given by the Agent or such Lender and (B) the Borrower shall notify the Agent and each Lender (by fax transmission or e-mail transmission) of the posting of any such documents and upon the request of the Agent or any Lender, shall provide to the Agent by e-mail electronic versions (</w:t>
      </w:r>
      <w:r>
        <w:rPr>
          <w:rFonts w:ascii="Times New Roman;Times;serif" w:hAnsi="Times New Roman;Times;serif"/>
          <w:i/>
          <w:sz w:val="22"/>
        </w:rPr>
        <w:t>i</w:t>
      </w:r>
      <w:r>
        <w:rPr>
          <w:rFonts w:ascii="Times New Roman;Times;serif" w:hAnsi="Times New Roman;Times;serif"/>
          <w:sz w:val="22"/>
        </w:rPr>
        <w:t>.</w:t>
      </w:r>
      <w:r>
        <w:rPr>
          <w:rFonts w:ascii="Times New Roman;Times;serif" w:hAnsi="Times New Roman;Times;serif"/>
          <w:i/>
          <w:sz w:val="22"/>
        </w:rPr>
        <w:t>e</w:t>
      </w:r>
      <w:r>
        <w:rPr>
          <w:rFonts w:ascii="Times New Roman;Times;serif" w:hAnsi="Times New Roman;Times;serif"/>
          <w:sz w:val="22"/>
        </w:rPr>
        <w:t>., soft copies) of such documents.  The Agent shall have no obligation to request the delivery of or to maintain paper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The Borrower hereby acknowledges that (1) the Agent and/or the Arranger may, but shall not be obligated to, make available to the Lenders and the L/C Issuer materials and/or information provided by or on behalf of the Borrower hereunder (collectively, “</w:t>
      </w:r>
      <w:r>
        <w:rPr>
          <w:rFonts w:ascii="Times New Roman;Times;serif" w:hAnsi="Times New Roman;Times;serif"/>
          <w:sz w:val="22"/>
          <w:u w:val="single"/>
        </w:rPr>
        <w:t>Borrower Materials</w:t>
      </w:r>
      <w:r>
        <w:rPr>
          <w:rFonts w:ascii="Times New Roman;Times;serif" w:hAnsi="Times New Roman;Times;serif"/>
          <w:sz w:val="20"/>
        </w:rPr>
        <w:t>”</w:t>
      </w:r>
      <w:r>
        <w:rPr>
          <w:rFonts w:ascii="Times New Roman;Times;serif" w:hAnsi="Times New Roman;Times;serif"/>
          <w:sz w:val="22"/>
        </w:rPr>
        <w:t>) by posting the Borrower Materials on Debt Domain, IntraLinks, Syndtrak or another similar electronic system (the “</w:t>
      </w:r>
      <w:r>
        <w:rPr>
          <w:rFonts w:ascii="Times New Roman;Times;serif" w:hAnsi="Times New Roman;Times;serif"/>
          <w:sz w:val="22"/>
          <w:u w:val="single"/>
        </w:rPr>
        <w:t>Platform</w:t>
      </w:r>
      <w:r>
        <w:rPr>
          <w:rFonts w:ascii="Times New Roman;Times;serif" w:hAnsi="Times New Roman;Times;serif"/>
          <w:sz w:val="20"/>
        </w:rPr>
        <w:t>”</w:t>
      </w:r>
      <w:r>
        <w:rPr>
          <w:rFonts w:ascii="Times New Roman;Times;serif" w:hAnsi="Times New Roman;Times;serif"/>
          <w:sz w:val="22"/>
        </w:rPr>
        <w:t>) and (2) certain of the Lenders (each, a “</w:t>
      </w:r>
      <w:r>
        <w:rPr>
          <w:rFonts w:ascii="Times New Roman;Times;serif" w:hAnsi="Times New Roman;Times;serif"/>
          <w:sz w:val="22"/>
          <w:u w:val="single"/>
        </w:rPr>
        <w:t>Public Lender</w:t>
      </w:r>
      <w:r>
        <w:rPr>
          <w:rFonts w:ascii="Times New Roman;Times;serif" w:hAnsi="Times New Roman;Times;serif"/>
          <w:sz w:val="20"/>
        </w:rPr>
        <w:t>”</w:t>
      </w:r>
      <w:r>
        <w:rPr>
          <w:rFonts w:ascii="Times New Roman;Times;serif" w:hAnsi="Times New Roman;Times;serif"/>
          <w:sz w:val="22"/>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by the Borrower as “PUBLIC” which, at a minimum, shall mean that the word “PUBLIC” shall appear prominently on the first page thereof; (x) by marking Borrower Materials “PUBLIC,” the Borrower shall be deemed to have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authorized the Agent, the Arranger, the L/C Issuer and the Lenders to treat such Borrower Materials as not containing any material non-public information with respect to the Borrower or its securities for purposes of United States Federal and state securities laws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to the extent such Borrower Materials constitute Information, they shall be treated as set forth in </w:t>
      </w:r>
      <w:r>
        <w:rPr>
          <w:rFonts w:ascii="Times New Roman;Times;serif" w:hAnsi="Times New Roman;Times;serif"/>
          <w:sz w:val="22"/>
          <w:u w:val="single"/>
        </w:rPr>
        <w:t>Section 10.07</w:t>
      </w:r>
      <w:r>
        <w:rPr>
          <w:rFonts w:ascii="Times New Roman;Times;serif" w:hAnsi="Times New Roman;Times;serif"/>
          <w:sz w:val="22"/>
        </w:rPr>
        <w:t>); (y) all Borrower Materials marked “PUBLIC” are permitted to be made available through a portion of the Platform designated “Public Side Information;” and (z) the Agent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6.02</w:t>
      </w:r>
      <w:r>
        <w:rPr>
          <w:rFonts w:ascii="Times New Roman;Times;serif" w:hAnsi="Times New Roman;Times;serif"/>
          <w:b/>
          <w:sz w:val="22"/>
        </w:rPr>
        <w:t>Inspection of Property</w:t>
      </w:r>
      <w:r>
        <w:rPr>
          <w:rFonts w:ascii="Times New Roman;Times;serif" w:hAnsi="Times New Roman;Times;serif"/>
          <w:sz w:val="22"/>
        </w:rPr>
        <w:t>.  The Borrower shall, and shall cause its Subsidiaries to, permit any employees or designated representatives of the Agent, any of its Related Parties or any other Lender with a Commitment in excess of $5,000,000, at such Person’s expense, to visit and inspect any of the properties of the Borrower and its Subsidiaries, to examine their books and financial records and to make copies thereof or extracts therefrom and to discuss their affairs, finances and accounts with the Responsible Officers and the Borrower’s independent certified public accountants, all at such reasonable times and as often as such Person may reasonably request; provided that a principal financial officer of the Borrower shall have reasonable prior notice of, and may elect to be present during, discussions with the Borrower’s independent public accountants.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6.03</w:t>
      </w:r>
      <w:r>
        <w:rPr>
          <w:rFonts w:ascii="Times New Roman;Times;serif" w:hAnsi="Times New Roman;Times;serif"/>
          <w:b/>
          <w:sz w:val="22"/>
        </w:rPr>
        <w:t>Covenant to Secure Obligations Equally</w:t>
      </w:r>
      <w:r>
        <w:rPr>
          <w:rFonts w:ascii="Times New Roman;Times;serif" w:hAnsi="Times New Roman;Times;serif"/>
          <w:sz w:val="22"/>
        </w:rPr>
        <w:t xml:space="preserve">.   (a) If the Borrower or any of its Domestic Subsidiaries shall create, assume or otherwise incur any Lien upon any of its property or assets, whether now owned or hereafter acquired, other than Liens permitted by the provisions of </w:t>
      </w:r>
      <w:r>
        <w:rPr>
          <w:rFonts w:ascii="Times New Roman;Times;serif" w:hAnsi="Times New Roman;Times;serif"/>
          <w:sz w:val="22"/>
          <w:u w:val="single"/>
        </w:rPr>
        <w:t>Section 7.02</w:t>
      </w:r>
      <w:r>
        <w:rPr>
          <w:rFonts w:ascii="Times New Roman;Times;serif" w:hAnsi="Times New Roman;Times;serif"/>
          <w:sz w:val="20"/>
        </w:rPr>
        <w:t xml:space="preserve"> </w:t>
      </w:r>
      <w:r>
        <w:rPr>
          <w:rFonts w:ascii="Times New Roman;Times;serif" w:hAnsi="Times New Roman;Times;serif"/>
          <w:sz w:val="22"/>
        </w:rPr>
        <w:t xml:space="preserve">(including in such permitted Liens, without limitation, Liens securing Title XI Debt to the extent such Title XI Debt is permitted Priority Debt) or (b) if the Borrower or any of its Subsidiaries shall create, assume or otherwise incur any Lien upon any of its property or assets, whether now owned or hereafter acquired to secure its obligations under any Note Purchase Agreement (other than (x) the Collateral and/or (y) cash collateral in an amount not to exceed, for each such Note Purchase Agreement, the amount of Cash Collateral being provided by the Borrower and its Subsidiaries pursuant to </w:t>
      </w:r>
      <w:r>
        <w:rPr>
          <w:rFonts w:ascii="Times New Roman;Times;serif" w:hAnsi="Times New Roman;Times;serif"/>
          <w:sz w:val="22"/>
          <w:u w:val="single"/>
        </w:rPr>
        <w:t>Section 2.15</w:t>
      </w:r>
      <w:r>
        <w:rPr>
          <w:rFonts w:ascii="Times New Roman;Times;serif" w:hAnsi="Times New Roman;Times;serif"/>
          <w:sz w:val="22"/>
        </w:rPr>
        <w:t>), then in either case, the Borrower will make, or will cause its Subsidiaries to make, effective provision whereby the Obligations will be secured by such Lien equally and ratably with any and all other Debt thereby secured so long as any such other Debt shall be so secured pursuant to an agreement or agreements (including security agreements and similar collateral documents and an intercreditor agreement) reasonably acceptable to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6.04</w:t>
      </w:r>
      <w:r>
        <w:rPr>
          <w:rFonts w:ascii="Times New Roman;Times;serif" w:hAnsi="Times New Roman;Times;serif"/>
          <w:b/>
          <w:sz w:val="22"/>
        </w:rPr>
        <w:t>Maintenance of Properties; Insurance</w:t>
      </w:r>
      <w:r>
        <w:rPr>
          <w:rFonts w:ascii="Times New Roman;Times;serif" w:hAnsi="Times New Roman;Times;serif"/>
          <w:sz w:val="22"/>
        </w:rPr>
        <w:t xml:space="preserve">.  The Borrower shall, and shall cause its Subsidiaries to (a) maintain or cause to be maintained in good repair, working order and condition all material properties used or useful at that time in its business and from time to time will make or cause to be made all appropriate repairs, renewals and replacements thereof and (b) maintain insurance with reputable and financially sound insurers in such amounts and against such liabilities and hazards as is customarily maintained by other companies operating similar businesses and together with each delivery of financial statements under </w:t>
      </w:r>
      <w:r>
        <w:rPr>
          <w:rFonts w:ascii="Times New Roman;Times;serif" w:hAnsi="Times New Roman;Times;serif"/>
          <w:sz w:val="22"/>
          <w:u w:val="single"/>
        </w:rPr>
        <w:t>Section 6.01(b)</w:t>
      </w:r>
      <w:r>
        <w:rPr>
          <w:rFonts w:ascii="Times New Roman;Times;serif" w:hAnsi="Times New Roman;Times;serif"/>
          <w:sz w:val="22"/>
        </w:rPr>
        <w:t>, upon the request of the Agent, deliver certificates of insurance to the foregoing effect to the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6.05</w:t>
      </w:r>
      <w:r>
        <w:rPr>
          <w:rFonts w:ascii="Times New Roman;Times;serif" w:hAnsi="Times New Roman;Times;serif"/>
          <w:b/>
          <w:sz w:val="22"/>
        </w:rPr>
        <w:t>Environmental and Safety Laws</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Borrower shall deliver promptly to the Agent notice of (i) any material enforcement, cleanup, removal or other material governmental or regulatory action instituted or, to the Borrower’s best knowledge, threatened against the Borrower or any Material Subsidiary pursuant to any Environmental and Safety Laws, (ii) all material Environmental Liabilities and Costs against or in respect of the property, Borrower or any Material Subsidiary or any of its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69</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material properties and (iii) the Borrower’s or any Material Subsidiary’s discovery of any occurrence or condition on any material real property adjoining or in the vicinity of any of its properties that the Borrower or such Material Subsidiary has reason to believe would cause such property or any material part thereof to be subject to any material restrictions on its ownership, occupancy, transferability or use under any Environmental and Safety Laws.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Borrower shall, and shall cause its Material Subsidiaries to, keep and maintain its properties and conduct its and their operations in compliance in all material respects with all applicable Environmental and Safety Laws except where the failure to do so would not reasonably be expected to have a Material Adverse Effect.</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6.06</w:t>
      </w:r>
      <w:r>
        <w:rPr>
          <w:rFonts w:ascii="Times New Roman;Times;serif" w:hAnsi="Times New Roman;Times;serif"/>
          <w:b/>
          <w:sz w:val="22"/>
        </w:rPr>
        <w:t>Use of Proceeds</w:t>
      </w:r>
      <w:r>
        <w:rPr>
          <w:rFonts w:ascii="Times New Roman;Times;serif" w:hAnsi="Times New Roman;Times;serif"/>
          <w:sz w:val="22"/>
        </w:rPr>
        <w:t xml:space="preserve">.  The Borrower shall, and shall cause its Subsidiaries to, use the proceeds of the Credit Extensions (a) to finance working capital, capital expenditures (including Acquisitions) and other lawful corporate purposes, (b) to refinance certain existing indebtedness, (c) for support of commercial paper issued by the Borrower, and (d) to pay fees and expenses incurred in connection with this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in no event shall the proceeds of any Credit Extension be used in contravention of any law or of any Loan Document.</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6.07</w:t>
      </w:r>
      <w:r>
        <w:rPr>
          <w:rFonts w:ascii="Times New Roman;Times;serif" w:hAnsi="Times New Roman;Times;serif"/>
          <w:b/>
          <w:sz w:val="22"/>
        </w:rPr>
        <w:t>United States Citizen</w:t>
      </w:r>
      <w:r>
        <w:rPr>
          <w:rFonts w:ascii="Times New Roman;Times;serif" w:hAnsi="Times New Roman;Times;serif"/>
          <w:sz w:val="22"/>
        </w:rPr>
        <w:t>.   The Borrower covenants that it will, and will cause each of its Subsidiaries that owns or operates any Vessel, at all times to preserve and maintain its status as a Section 2 Citizen.  For purposes hereof, “</w:t>
      </w:r>
      <w:r>
        <w:rPr>
          <w:rFonts w:ascii="Times New Roman;Times;serif" w:hAnsi="Times New Roman;Times;serif"/>
          <w:sz w:val="22"/>
          <w:u w:val="single"/>
        </w:rPr>
        <w:t>Section 2 Citizen</w:t>
      </w:r>
      <w:r>
        <w:rPr>
          <w:rFonts w:ascii="Times New Roman;Times;serif" w:hAnsi="Times New Roman;Times;serif"/>
          <w:sz w:val="20"/>
        </w:rPr>
        <w:t xml:space="preserve">” </w:t>
      </w:r>
      <w:r>
        <w:rPr>
          <w:rFonts w:ascii="Times New Roman;Times;serif" w:hAnsi="Times New Roman;Times;serif"/>
          <w:sz w:val="22"/>
        </w:rPr>
        <w:t>means a Person that is a citizen of the United States as required for the coastwise trade under Section 50501 of Title 46 of the United States Code and the regulations in effect from time to time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6.08</w:t>
      </w:r>
      <w:r>
        <w:rPr>
          <w:rFonts w:ascii="Times New Roman;Times;serif" w:hAnsi="Times New Roman;Times;serif"/>
          <w:b/>
          <w:sz w:val="22"/>
        </w:rPr>
        <w:t>Guarantors</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Together with each delivery of financial statements required by </w:t>
      </w:r>
      <w:r>
        <w:rPr>
          <w:rFonts w:ascii="Times New Roman;Times;serif" w:hAnsi="Times New Roman;Times;serif"/>
          <w:sz w:val="22"/>
          <w:u w:val="single"/>
        </w:rPr>
        <w:t>Sections 6.01(a)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6.01(b)</w:t>
      </w:r>
      <w:r>
        <w:rPr>
          <w:rFonts w:ascii="Times New Roman;Times;serif" w:hAnsi="Times New Roman;Times;serif"/>
          <w:sz w:val="22"/>
        </w:rPr>
        <w:t>, the Borrower shall notify the Agent if any wholly-owned Subsidiary has become a Material Domestic Subsidiary after the Closing Date.  Within 30 days after such notification (or such longer period as determined by Agent in its sole discretion), the Borrower shall cause such wholly-owned Material Domestic Subsidiary to (i) become a Guarantor by executing and delivering to the Agent a joinder to the Guaranty, and (ii) at the request of the Agent, deliver to the Agent such organization documents, resolutions and favorable opinions of counsel, all in form, content and scope similar to those delivered on the Closing Date or otherwise reasonably satisfactory to the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If a Guarantor is a party to any transaction of merger, consolidation or other combination permitted by </w:t>
      </w:r>
      <w:r>
        <w:rPr>
          <w:rFonts w:ascii="Times New Roman;Times;serif" w:hAnsi="Times New Roman;Times;serif"/>
          <w:sz w:val="22"/>
          <w:u w:val="single"/>
        </w:rPr>
        <w:t>Section 7.04(b)</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7.04(c)</w:t>
      </w:r>
      <w:r>
        <w:rPr>
          <w:rFonts w:ascii="Times New Roman;Times;serif" w:hAnsi="Times New Roman;Times;serif"/>
          <w:sz w:val="22"/>
        </w:rPr>
        <w:t>, the continuing or surviving Person of such transaction shall, within 30 days after the consummation of such transaction (or such longer period as determined by Agent in its sole discretion), (i) become a Guarantor by executing and delivering to the Agent a joinder to the Guaranty and (ii) at the request of the Agent, deliver to the Agent such organization documents, resolutions and favorable opinions of counsel, all in form, content and scope similar to those delivered on the Closing Date or otherwise reasonably satisfactory to the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Notwithstanding the forgoing, concurrently with such time as any Person becomes a guarantor or other obligor under any Note Purchase Agreement, the Borrower shall cause such Person to (i) become a Guarantor by executing and delivering to the Agent a joinder to the Guaranty, and (ii) at the request of the Agent, deliver to the Agent such organization documents, resolutions and favorable opinions of counsel, all in form, content and scope similar to those delivered on the Closing Date or otherwise reasonably satisfactory to the Agent.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70</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So long as no Default exists, if a Guarantor ceases to be a Material Domestic Subsidiary, then upon the written request of the Borrower, the Agent shall release such Guarantor from its obligations under the Guaranty pursuant to </w:t>
      </w:r>
      <w:r>
        <w:rPr>
          <w:rFonts w:ascii="Times New Roman;Times;serif" w:hAnsi="Times New Roman;Times;serif"/>
          <w:sz w:val="22"/>
          <w:u w:val="single"/>
        </w:rPr>
        <w:t>Section 9.09</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Agent shall not release such Guarantor unless such Guarantor is not at such time (or concurrently with such release by the Agent will cease to be) a guarantor or obligor under any Note Purchase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6.09</w:t>
      </w:r>
      <w:r>
        <w:rPr>
          <w:rFonts w:ascii="Times New Roman;Times;serif" w:hAnsi="Times New Roman;Times;serif"/>
          <w:b/>
          <w:sz w:val="22"/>
        </w:rPr>
        <w:t>Collateral</w:t>
      </w:r>
      <w:r>
        <w:rPr>
          <w:rFonts w:ascii="Times New Roman;Times;serif" w:hAnsi="Times New Roman;Times;serif"/>
          <w:sz w:val="22"/>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2"/>
        </w:rPr>
        <w:t>At any time, at the written election of the Borrower (the “</w:t>
      </w:r>
      <w:r>
        <w:rPr>
          <w:rFonts w:ascii="Times New Roman;Times;serif" w:hAnsi="Times New Roman;Times;serif"/>
          <w:sz w:val="22"/>
          <w:u w:val="single"/>
        </w:rPr>
        <w:t>Collateral Election</w:t>
      </w:r>
      <w:r>
        <w:rPr>
          <w:rFonts w:ascii="Times New Roman;Times;serif" w:hAnsi="Times New Roman;Times;serif"/>
          <w:sz w:val="20"/>
        </w:rPr>
        <w:t>”</w:t>
      </w:r>
      <w:r>
        <w:rPr>
          <w:rFonts w:ascii="Times New Roman;Times;serif" w:hAnsi="Times New Roman;Times;serif"/>
          <w:sz w:val="22"/>
        </w:rPr>
        <w:t xml:space="preserve">), the Loan Parties shall deliver to the Agent (a) all Collateral Documents and such other documents as are necessary to perfect the Agent’s Lien in the applicable Collateral and (b) resolutions approving the granting of such security and entry into the applicable Collateral Documents in form and substance satisfactory to the Agent;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at any time the Loan Parties have granted a Lien on the Collateral to the holders of the Senior Notes, the Borrower shall be required to deliver such documentation as is necessary to perfect the Agent’s Lien on such Collateral on a pari passu basis. The Borrower may make the Collateral Election at any time with respect to any Security Agreement. In addition, from time to time on or after the Closing Date, the Borrower may enter into additional note purchase and/or credit agreements with lenders which are not party to an Intercreditor Agreement for purpose of such additional note purchase and/or credit agreements, and the Borrower may designate, at the written election of the Borrower delivered to the Agent, such lenders to become parties to such Intercreditor Agreement. Notwithstanding the foregoing, so long as no (i) Default has occurred or is continuing and (ii) the Borrower has revoked its applicable collateral election under the Senior Notes, the Borrower may revoke the Collateral Election with respect to the applicable Security Agreement(s) and, at the expense of the Borrower, the Agent shall deliver such releases as are necessary to evidence the termination of the applicable Liens.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6.10</w:t>
      </w:r>
      <w:r>
        <w:rPr>
          <w:rFonts w:ascii="Times New Roman;Times;serif" w:hAnsi="Times New Roman;Times;serif"/>
          <w:b/>
          <w:sz w:val="22"/>
        </w:rPr>
        <w:t>Anti-Corruption Laws</w:t>
      </w:r>
      <w:r>
        <w:rPr>
          <w:rFonts w:ascii="Times New Roman;Times;serif" w:hAnsi="Times New Roman;Times;serif"/>
          <w:sz w:val="22"/>
        </w:rPr>
        <w:t>.   The Borrower shall, and shall cause its Subsidiaries to, conduct its businesses in compliance in all material respects with all applicable Anti-Corruption Laws and maintain procedures and controls which it reasonably believes are adequate to promote and achieve compliance in all material respects by the Borrower and its Subsidiaries with all applicable Anti-Corruption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6.11</w:t>
      </w:r>
      <w:r>
        <w:rPr>
          <w:rFonts w:ascii="Times New Roman;Times;serif" w:hAnsi="Times New Roman;Times;serif"/>
          <w:b/>
          <w:sz w:val="22"/>
        </w:rPr>
        <w:t>Incumbency Certificates</w:t>
      </w:r>
      <w:r>
        <w:rPr>
          <w:rFonts w:ascii="Times New Roman;Times;serif" w:hAnsi="Times New Roman;Times;serif"/>
          <w:sz w:val="22"/>
        </w:rPr>
        <w:t>.     To the extent reasonably requested by the Agent, the applicable Loan Party will provide an incumbency certificate for any Responsible Officer of such Loan Party, and to the extent reasonably requested by the Agent, appropriate authorization documentation, in form and substance reasonably satisfactory to the Agent.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6.12</w:t>
      </w:r>
      <w:r>
        <w:rPr>
          <w:rFonts w:ascii="Times New Roman;Times;serif" w:hAnsi="Times New Roman;Times;serif"/>
          <w:b/>
          <w:sz w:val="22"/>
        </w:rPr>
        <w:t>KYC Information.  </w:t>
      </w:r>
      <w:r>
        <w:rPr>
          <w:rFonts w:ascii="Times New Roman;Times;serif" w:hAnsi="Times New Roman;Times;serif"/>
          <w:sz w:val="22"/>
        </w:rPr>
        <w:t>Promptly following any request therefor, the Borrower will provide information and documentation reasonably requested by the Agent or any Lender for purposes of compliance with applicable “know your customer” and anti-money laundering rules and regulations, including, without limitation, the PATRIOT Act and any change in its status as exempt from the reporting requirements of the Beneficial Ownership Regulation and, if applicable, deliver to the Agent or directly to the applicable Lender any additional information (including a Beneficial Ownership Certification) necessary in order to comply with the Beneficial Ownership Regulation.</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6.13</w:t>
      </w:r>
      <w:r>
        <w:rPr>
          <w:rFonts w:ascii="Times New Roman;Times;serif" w:hAnsi="Times New Roman;Times;serif"/>
          <w:b/>
          <w:sz w:val="22"/>
        </w:rPr>
        <w:t>Most-Favored Lender.  </w:t>
      </w:r>
      <w:r>
        <w:rPr>
          <w:rFonts w:ascii="Times New Roman;Times;serif" w:hAnsi="Times New Roman;Times;serif"/>
          <w:sz w:val="22"/>
        </w:rPr>
        <w:t>If the Borrower shall at any time after the Closing Date enter into any modification, amendment or restatement of any Note Purchase Agreement in any manner which (a) has added or subsequently adds additional financial or negative covenants or events of default for the benefit of the holders of the notes issued pursuant to such Note Purchase Agreement or (b) has made or subsequently makes the financial or negative covenants and/or events of default set forth therein more restrictive on the Borrower or any Subsidiary than the covenants and/or events of default contained in this Agreement, then such more restrictive financial or negative covenants, events of default and any related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definitions (the “</w:t>
      </w:r>
      <w:r>
        <w:rPr>
          <w:rFonts w:ascii="Times New Roman;Times;serif" w:hAnsi="Times New Roman;Times;serif"/>
          <w:sz w:val="22"/>
          <w:u w:val="single"/>
        </w:rPr>
        <w:t>Additional Provisions</w:t>
      </w:r>
      <w:r>
        <w:rPr>
          <w:rFonts w:ascii="Times New Roman;Times;serif" w:hAnsi="Times New Roman;Times;serif"/>
          <w:sz w:val="20"/>
        </w:rPr>
        <w:t>”</w:t>
      </w:r>
      <w:r>
        <w:rPr>
          <w:rFonts w:ascii="Times New Roman;Times;serif" w:hAnsi="Times New Roman;Times;serif"/>
          <w:sz w:val="22"/>
        </w:rPr>
        <w:t>) shall automatically be deemed to be incorporated into this Agreement by reference and this Agreement shall be deemed to be amended to include such Additional Provisions from the time any such modification, amendment or restatement of such Note Purchase Agreement becomes binding upon the Borrower.  Promptly but in no event more than five (5) Business Days following the execution of any agreement providing for Additional Provisions, the Borrower shall furnish the Agent with a copy of such agreement. Upon written request of the Required Lenders, the Borrower will enter into an amendment to this Agreement pursuant to which this Agreement will be formally amended to incorporate the Additional Provisions on the terms set forth herein.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VII.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NEGATIVE COVENANTS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On and after the Closing Date, and so long as any Lender shall have any Commitment hereunder, any Loan or other Obligation (other than any contingent indemnification Obligation) hereunder shall remain unpaid or unsatisfied, or any Letter of Credit shall remain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7.01</w:t>
      </w:r>
      <w:r>
        <w:rPr>
          <w:rFonts w:ascii="Times New Roman;Times;serif" w:hAnsi="Times New Roman;Times;serif"/>
          <w:b/>
          <w:sz w:val="22"/>
        </w:rPr>
        <w:t>Financial Covenants</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Maximum Consolidated Leverage Ratio</w:t>
      </w:r>
      <w:r>
        <w:rPr>
          <w:rFonts w:ascii="Times New Roman;Times;serif" w:hAnsi="Times New Roman;Times;serif"/>
          <w:sz w:val="22"/>
        </w:rPr>
        <w:t xml:space="preserve">.  The Borrower shall not permit the Consolidated Leverage Ratio as of the end of any fiscal quarter of the Borrower to exceed 3.50 to 1.0;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in connection with any Acquisition in an Eligible Business Line that is not a Hostile Acquisition for which the aggregate purchase consideration equals or exceeds $75,000,000, the maximum permitted Consolidated Leverage Ratio, at the election of the Borrower, with prior written notice from the Borrower to the Agent, shall increase to 4.00 to 1.0 on one occasion during the term of this Agreement, for the period beginning on the date of the consummation of such Acquisition and continuing until the fourth consecutive fiscal quarter end which occurs on or after the date of the consummation of such Acquisition.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Maximum Priority Debt</w:t>
      </w:r>
      <w:r>
        <w:rPr>
          <w:rFonts w:ascii="Times New Roman;Times;serif" w:hAnsi="Times New Roman;Times;serif"/>
          <w:sz w:val="22"/>
        </w:rPr>
        <w:t xml:space="preserve">.  The Borrower shall not permit (i) the principal amount of Priority Debt at any time to exceed 20% of Consolidated Tangible Assets as of the most recently ended fiscal quarter for which financial statements have been delivered pursuant to </w:t>
      </w:r>
      <w:r>
        <w:rPr>
          <w:rFonts w:ascii="Times New Roman;Times;serif" w:hAnsi="Times New Roman;Times;serif"/>
          <w:sz w:val="22"/>
          <w:u w:val="single"/>
        </w:rPr>
        <w:t>Section 6.01(a)</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6.01(b)</w:t>
      </w:r>
      <w:r>
        <w:rPr>
          <w:rFonts w:ascii="Times New Roman;Times;serif" w:hAnsi="Times New Roman;Times;serif"/>
          <w:sz w:val="20"/>
        </w:rPr>
        <w:t xml:space="preserve"> </w:t>
      </w:r>
      <w:r>
        <w:rPr>
          <w:rFonts w:ascii="Times New Roman;Times;serif" w:hAnsi="Times New Roman;Times;serif"/>
          <w:sz w:val="22"/>
        </w:rPr>
        <w:t>and (ii) the principal amount of Priority Debt that is not Title XI Priority Debt at any time to exceed 10% of Consolidated Tangible Assets as of the most recently ended  fiscal  quarter for which financial statements have been  delivered  pursuant  to  </w:t>
      </w:r>
      <w:r>
        <w:rPr>
          <w:rFonts w:ascii="Times New Roman;Times;serif" w:hAnsi="Times New Roman;Times;serif"/>
          <w:sz w:val="22"/>
          <w:u w:val="single"/>
        </w:rPr>
        <w:t>Section 6.01(a)</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6.01(b)</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7.02</w:t>
      </w:r>
      <w:r>
        <w:rPr>
          <w:rFonts w:ascii="Times New Roman;Times;serif" w:hAnsi="Times New Roman;Times;serif"/>
          <w:b/>
          <w:sz w:val="22"/>
        </w:rPr>
        <w:t>Liens</w:t>
      </w:r>
      <w:r>
        <w:rPr>
          <w:rFonts w:ascii="Times New Roman;Times;serif" w:hAnsi="Times New Roman;Times;serif"/>
          <w:sz w:val="22"/>
        </w:rPr>
        <w:t xml:space="preserve">.  The Borrower shall not, and shall not permit any Subsidiary to, create, assume or suffer to exist at any time any Lien on or with respect to any of its property or assets, whether now owned or hereafter acquired (whether or not provision is made for the equal and ratable securing of the Obligations in accordance with the provisions of </w:t>
      </w:r>
      <w:r>
        <w:rPr>
          <w:rFonts w:ascii="Times New Roman;Times;serif" w:hAnsi="Times New Roman;Times;serif"/>
          <w:sz w:val="22"/>
          <w:u w:val="single"/>
        </w:rPr>
        <w:t>Section 6.03</w:t>
      </w:r>
      <w:r>
        <w:rPr>
          <w:rFonts w:ascii="Times New Roman;Times;serif" w:hAnsi="Times New Roman;Times;serif"/>
          <w:sz w:val="20"/>
        </w:rPr>
        <w:t xml:space="preserve"> </w:t>
      </w:r>
      <w:r>
        <w:rPr>
          <w:rFonts w:ascii="Times New Roman;Times;serif" w:hAnsi="Times New Roman;Times;serif"/>
          <w:sz w:val="22"/>
        </w:rPr>
        <w:t xml:space="preserve">but subject to the limitation on Priority Debt in </w:t>
      </w:r>
      <w:r>
        <w:rPr>
          <w:rFonts w:ascii="Times New Roman;Times;serif" w:hAnsi="Times New Roman;Times;serif"/>
          <w:sz w:val="22"/>
          <w:u w:val="single"/>
        </w:rPr>
        <w:t>Section 7.01(b)</w:t>
      </w:r>
      <w:r>
        <w:rPr>
          <w:rFonts w:ascii="Times New Roman;Times;serif" w:hAnsi="Times New Roman;Times;serif"/>
          <w:sz w:val="22"/>
        </w:rPr>
        <w:t>), except: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Liens for taxes not yet delinquent or which are being actively contested in good faith by appropriate proceedings and for which adequate reserves have been established to the extent required by GAAP;</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Liens (other than Liens pursuant to ERISA) incidental to the conduct of its business or the ownership of its property and assets which were not incurred in connection with the borrowing of money or the obtaining of advances of credit (including, without limitation, Liens on vessels or equipment (i) for crew and stevedores wages, (ii) for salvage and general average, (iii) arising by operation of law in the ordinary course of business in operating, maintaining or repairing vessels, and (iv) for damages arising from maritime torts which are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unclaimed, or which are claimed and are covered by insurance and any deductible applicable thereto), and which do not in the aggregate materially detract from the value of its property or assets or materially impair the use thereof in the operation of its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Liens on property or assets of a Subsidiary securing obligations of such Subsidiary to the Borrower or another Subsidiary;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Liens encumbering the CCF to the extent incurred to secure the financing by the Borrower or Matson Navigation of “qualified vessels”  as defined in Section 607 of the Merchant Marine Act, 1936, as amended;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 xml:space="preserve">Liens existing on the Closing Date and listed on </w:t>
      </w:r>
      <w:r>
        <w:rPr>
          <w:rFonts w:ascii="Times New Roman;Times;serif" w:hAnsi="Times New Roman;Times;serif"/>
          <w:sz w:val="22"/>
          <w:u w:val="single"/>
        </w:rPr>
        <w:t>Schedule 7.02</w:t>
      </w:r>
      <w:r>
        <w:rPr>
          <w:rFonts w:ascii="Times New Roman;Times;serif" w:hAnsi="Times New Roman;Times;serif"/>
          <w:sz w:val="20"/>
        </w:rPr>
        <w:t xml:space="preserve"> </w:t>
      </w:r>
      <w:r>
        <w:rPr>
          <w:rFonts w:ascii="Times New Roman;Times;serif" w:hAnsi="Times New Roman;Times;serif"/>
          <w:sz w:val="22"/>
        </w:rPr>
        <w:t xml:space="preserve">and any renewals or extensions thereof,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property covered thereby is not changed;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 xml:space="preserve">other Liens securing Debt not otherwise permitted by clauses (a) through (e) above, inclusive;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aggregate amount of all Priority Debt does not, at any time, exceed the level prohibited by </w:t>
      </w:r>
      <w:r>
        <w:rPr>
          <w:rFonts w:ascii="Times New Roman;Times;serif" w:hAnsi="Times New Roman;Times;serif"/>
          <w:sz w:val="22"/>
          <w:u w:val="single"/>
        </w:rPr>
        <w:t>Section 7.01(b)</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further that, notwithstanding the foregoing, the Borrower shall not, and shall not permit any Subsidiary to, create or permit to exist any Lien on any property securing Debt outstanding or issued under the Note Purchase Agreements (other than (x) Collateral and/or (y) cash collateral in an amount, for each such Note Purchase Agreement, not to exceed the amount of Cash Collateral being provided by the Borrower and its Subsidiaries pursuant to </w:t>
      </w:r>
      <w:r>
        <w:rPr>
          <w:rFonts w:ascii="Times New Roman;Times;serif" w:hAnsi="Times New Roman;Times;serif"/>
          <w:sz w:val="22"/>
          <w:u w:val="single"/>
        </w:rPr>
        <w:t>Section 2.15</w:t>
      </w:r>
      <w:r>
        <w:rPr>
          <w:rFonts w:ascii="Times New Roman;Times;serif" w:hAnsi="Times New Roman;Times;serif"/>
          <w:sz w:val="22"/>
        </w:rPr>
        <w:t>) unless and until the Obligations shall be secured equally and ratably with such Debt pursuant to an agreement or agreements (including security agreements and similar collateral documents and an intercreditor agreement) reasonably acceptable to the Required Lenders;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 xml:space="preserve">any Lien securing obligations existing on any property of any Person at the time it becomes a Subsidiary, or existing prior to the time of acquisition upon any property acquired by the Borrower or any Subsidiary through purchase, merger or consolidation or otherwise, whether or not assumed by the Borrower or such Subsidiary;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 any such Lien shall not encumber any other property of the Borrower or such Subsidiary (other than proceeds of such acquired property) and (ii) the obligations secured by such Lien were not incurred in connection with, or in anticipation or contemplation of, such acquisition or such Person becoming a Subsidiary;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(i) other Liens securing obligations that do not constitute Debt provided that the aggregate amount of such obligations at any time outstanding does not exceed the greater of (x) $50,000,000 and (y) 5% of Consolidated EBITDA for the most recently ended four fiscal quarters of the Borrower and (ii) other Liens securing obligations that do not constitute Debt provided that the aggregate fair market value (as reasonably determined by the Borrower acting in good faith) of all assets subject to all such Liens does not exceed the greater of (x) $50,000,000 and (y) 5% of Consolidated EBITDA for the most recently ended four fiscal quarters of the Borrower;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any Lien pursuant to any Loan Document;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(j)</w:t>
      </w:r>
      <w:r>
        <w:rPr>
          <w:rFonts w:ascii="Times New Roman;Times;serif" w:hAnsi="Times New Roman;Times;serif"/>
          <w:sz w:val="22"/>
        </w:rPr>
        <w:t>any Lien on the Collateral pursuant to the Collateral Documents (subject to an Intercreditor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7.03</w:t>
      </w:r>
      <w:r>
        <w:rPr>
          <w:rFonts w:ascii="Times New Roman;Times;serif" w:hAnsi="Times New Roman;Times;serif"/>
          <w:b/>
          <w:sz w:val="22"/>
        </w:rPr>
        <w:t>Loans, Advances and Investments</w:t>
      </w:r>
      <w:r>
        <w:rPr>
          <w:rFonts w:ascii="Times New Roman;Times;serif" w:hAnsi="Times New Roman;Times;serif"/>
          <w:sz w:val="22"/>
        </w:rPr>
        <w:t xml:space="preserve">.  The Borrower shall not permit, and shall not permit any Subsidiary to make or permit to remain outstanding any loan or advance to, or own, purchase </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or acquire any stock, obligations or securities of, or any other interest in, or make any capital contribution to, any Person, or consummate any Acquisition, </w:t>
      </w:r>
      <w:r>
        <w:rPr>
          <w:rFonts w:ascii="Times New Roman;Times;serif" w:hAnsi="Times New Roman;Times;serif"/>
          <w:sz w:val="22"/>
          <w:u w:val="single"/>
        </w:rPr>
        <w:t>except</w:t>
      </w:r>
      <w:r>
        <w:rPr>
          <w:rFonts w:ascii="Times New Roman;Times;serif" w:hAnsi="Times New Roman;Times;serif"/>
          <w:sz w:val="20"/>
        </w:rPr>
        <w:t xml:space="preserve"> </w:t>
      </w:r>
      <w:r>
        <w:rPr>
          <w:rFonts w:ascii="Times New Roman;Times;serif" w:hAnsi="Times New Roman;Times;serif"/>
          <w:sz w:val="22"/>
        </w:rPr>
        <w:t>that the Borrower or any Subsidiary may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make, or permit to remain outstanding, loans or advances to the Borrower or any Subsidiary;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own, purchase or acquire stock, obligations or securities of a Subsidiary, and, so long as the Borrower is in compliance with the financial covenants set forth in </w:t>
      </w:r>
      <w:r>
        <w:rPr>
          <w:rFonts w:ascii="Times New Roman;Times;serif" w:hAnsi="Times New Roman;Times;serif"/>
          <w:sz w:val="22"/>
          <w:u w:val="single"/>
        </w:rPr>
        <w:t>Section 7.01</w:t>
      </w:r>
      <w:r>
        <w:rPr>
          <w:rFonts w:ascii="Times New Roman;Times;serif" w:hAnsi="Times New Roman;Times;serif"/>
          <w:sz w:val="20"/>
        </w:rPr>
        <w:t xml:space="preserve"> </w:t>
      </w:r>
      <w:r>
        <w:rPr>
          <w:rFonts w:ascii="Times New Roman;Times;serif" w:hAnsi="Times New Roman;Times;serif"/>
          <w:sz w:val="22"/>
        </w:rPr>
        <w:t>on a pro forma basis immediately after giving effect to such transaction, consummate Acquisitions;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acquire and own stock, obligations, securities or other investments (i) consisting of extensions of credit arising from the grant of trade credit, or received in settlement or partial satisfaction thereof of obligations (including any Debt or trade credit) owing to the Borrower or any Subsidiary or (ii) received in satisfaction of judgments or pursuant to any plan of reorganization or similar arrangement upon the bankruptcy or insolvency of trade creditors or account debtors;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make investments in accordance with the resolutions of the Board of Directors of the Borrower;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resolutions authorize only investments rated investment grade by S&amp;P, Moody’s, or any other nationally recognized credit rating agency or investments in the Borrower’s accounts receivable purchased or held by the CCF;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 xml:space="preserve">make any investment in any stock, obligations or securities of, or any other interest in, or any capital contribution to, an Eligible Business Line (subject, in the case of any Acquisition, to </w:t>
      </w:r>
      <w:r>
        <w:rPr>
          <w:rFonts w:ascii="Times New Roman;Times;serif" w:hAnsi="Times New Roman;Times;serif"/>
          <w:sz w:val="22"/>
          <w:u w:val="single"/>
        </w:rPr>
        <w:t>Section 7.03(b)</w:t>
      </w:r>
      <w:r>
        <w:rPr>
          <w:rFonts w:ascii="Times New Roman;Times;serif" w:hAnsi="Times New Roman;Times;serif"/>
          <w:sz w:val="22"/>
        </w:rPr>
        <w: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make other investments, loans and advances which in the aggregate (at original cost) at any time outstanding do not exceed the greater of (x) $250,000,000 and (y) 25% of Consolidated EBITDA for the most recently ended four fiscal quarters.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Notwithstanding the foregoing, (i) amounts in the CCF may be invested only as provided in subsection (d) above and (ii) for the avoidance of doubt, this </w:t>
      </w:r>
      <w:r>
        <w:rPr>
          <w:rFonts w:ascii="Times New Roman;Times;serif" w:hAnsi="Times New Roman;Times;serif"/>
          <w:sz w:val="22"/>
          <w:u w:val="single"/>
        </w:rPr>
        <w:t>Section 7.03</w:t>
      </w:r>
      <w:r>
        <w:rPr>
          <w:rFonts w:ascii="Times New Roman;Times;serif" w:hAnsi="Times New Roman;Times;serif"/>
          <w:sz w:val="20"/>
        </w:rPr>
        <w:t xml:space="preserve"> </w:t>
      </w:r>
      <w:r>
        <w:rPr>
          <w:rFonts w:ascii="Times New Roman;Times;serif" w:hAnsi="Times New Roman;Times;serif"/>
          <w:sz w:val="22"/>
        </w:rPr>
        <w:t>shall not apply to any Guarantee.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7.04</w:t>
      </w:r>
      <w:r>
        <w:rPr>
          <w:rFonts w:ascii="Times New Roman;Times;serif" w:hAnsi="Times New Roman;Times;serif"/>
          <w:b/>
          <w:sz w:val="22"/>
        </w:rPr>
        <w:t>Merger</w:t>
      </w:r>
      <w:r>
        <w:rPr>
          <w:rFonts w:ascii="Times New Roman;Times;serif" w:hAnsi="Times New Roman;Times;serif"/>
          <w:sz w:val="22"/>
        </w:rPr>
        <w:t xml:space="preserve">.  The Borrower shall not, and shall not permit any Subsidiary to, consummate any transaction of merger, consolidation or other combination with any other Person; </w:t>
      </w:r>
      <w:r>
        <w:rPr>
          <w:rFonts w:ascii="Times New Roman;Times;serif" w:hAnsi="Times New Roman;Times;serif"/>
          <w:sz w:val="22"/>
          <w:u w:val="single"/>
        </w:rPr>
        <w:t>provided that</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any Subsidiary may merge with the Borrower;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the Borrower shall be the continuing or surviving corporation and immediately after such merger no Event of Default shall exist;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any Subsidiary may merge with another Subsidiary;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a Material Domestic Subsidiary merges with a Foreign Subsidiary, such Material Domestic Subsidiary shall be the surviving Person and immediately after such merger no Event of Default shall exist;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the Borrower or any Subsidiary may merge, consolidate or combine with any other Person in connection with an Acquisition permitted by </w:t>
      </w:r>
      <w:r>
        <w:rPr>
          <w:rFonts w:ascii="Times New Roman;Times;serif" w:hAnsi="Times New Roman;Times;serif"/>
          <w:sz w:val="22"/>
          <w:u w:val="single"/>
        </w:rPr>
        <w:t>Section 7.03(b)</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 immediately after such merger, consolidation or combination, no Event of Default shall exist and (ii) if the Borrower is a party to such transaction, the Borrower will be the continuing or surviving corporation.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7.05</w:t>
      </w:r>
      <w:r>
        <w:rPr>
          <w:rFonts w:ascii="Times New Roman;Times;serif" w:hAnsi="Times New Roman;Times;serif"/>
          <w:b/>
          <w:sz w:val="22"/>
        </w:rPr>
        <w:t>Sale of Capital Assets</w:t>
      </w:r>
      <w:r>
        <w:rPr>
          <w:rFonts w:ascii="Times New Roman;Times;serif" w:hAnsi="Times New Roman;Times;serif"/>
          <w:sz w:val="22"/>
        </w:rPr>
        <w:t xml:space="preserve">.   The Borrower shall not, and shall not permit any Subsidiary to, sell, lease, transfer or otherwise dispose of any Capital Asset to any Person, </w:t>
      </w:r>
      <w:r>
        <w:rPr>
          <w:rFonts w:ascii="Times New Roman;Times;serif" w:hAnsi="Times New Roman;Times;serif"/>
          <w:sz w:val="22"/>
          <w:u w:val="single"/>
        </w:rPr>
        <w:t>except</w:t>
      </w:r>
      <w:r>
        <w:rPr>
          <w:rFonts w:ascii="Times New Roman;Times;serif" w:hAnsi="Times New Roman;Times;serif"/>
          <w:sz w:val="20"/>
        </w:rPr>
        <w:t xml:space="preserve"> </w:t>
      </w:r>
      <w:r>
        <w:rPr>
          <w:rFonts w:ascii="Times New Roman;Times;serif" w:hAnsi="Times New Roman;Times;serif"/>
          <w:sz w:val="22"/>
        </w:rPr>
        <w:t xml:space="preserve">that (a) any Loan Party may sell or otherwise dispose of any Capital Asset to any other Loan Party, (b) any Subsidiary that is not a Loan Party may sell or otherwise dispose of any Capital Asset to the Borrower or any other Subsidiary, (c) the Borrower or any Subsidiary may sell or otherwise dispose of any obsolete, worn out or surplus property (other than Vessels) and (d) during any rolling twelve-month period, the Borrower or any Subsidiary may sell or otherwise dispose of Capital Assets which constituted up to 10% of the total value of the consolidated assets of Matson Navigation and its Subsidiaries as of December 31, 2024, so long as such Capital Assets, when considered together with all other Capital Assets sold or otherwise disposed of subsequent to December 31, 2024, do not constitute in excess of 30% of the total value of the consolidated assets of Matson Navigation and its Subsidiaries as of December 31, 2024; </w:t>
      </w:r>
      <w:r>
        <w:rPr>
          <w:rFonts w:ascii="Times New Roman;Times;serif" w:hAnsi="Times New Roman;Times;serif"/>
          <w:sz w:val="22"/>
          <w:u w:val="single"/>
        </w:rPr>
        <w:t>provided</w:t>
      </w:r>
      <w:r>
        <w:rPr>
          <w:rFonts w:ascii="Times New Roman;Times;serif" w:hAnsi="Times New Roman;Times;serif"/>
          <w:sz w:val="22"/>
        </w:rPr>
        <w:t xml:space="preserve">, that to the extent that the Borrower and its Subsidiaries have reinvested the net cash proceeds from any such sale in Capital Assets within eighteen (18) months of the date of such sale, or have committed to so reinvest such net cash proceeds by the end of such eighteen-month period and have actually reinvested such net cash proceeds within twenty-four (24) months of the date of such sale, the amount of such reinvested net cash proceeds shall not constitute utilization of the foregoing 30% limitation;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xml:space="preserve">, that this </w:t>
      </w:r>
      <w:r>
        <w:rPr>
          <w:rFonts w:ascii="Times New Roman;Times;serif" w:hAnsi="Times New Roman;Times;serif"/>
          <w:sz w:val="22"/>
          <w:u w:val="single"/>
        </w:rPr>
        <w:t>Section 7.05</w:t>
      </w:r>
      <w:r>
        <w:rPr>
          <w:rFonts w:ascii="Times New Roman;Times;serif" w:hAnsi="Times New Roman;Times;serif"/>
          <w:sz w:val="20"/>
        </w:rPr>
        <w:t xml:space="preserve"> </w:t>
      </w:r>
      <w:r>
        <w:rPr>
          <w:rFonts w:ascii="Times New Roman;Times;serif" w:hAnsi="Times New Roman;Times;serif"/>
          <w:sz w:val="22"/>
        </w:rPr>
        <w:t>shall not apply to any Lien permitted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7.06</w:t>
      </w:r>
      <w:r>
        <w:rPr>
          <w:rFonts w:ascii="Times New Roman;Times;serif" w:hAnsi="Times New Roman;Times;serif"/>
          <w:b/>
          <w:sz w:val="22"/>
        </w:rPr>
        <w:t>Use of Proceeds</w:t>
      </w:r>
      <w:r>
        <w:rPr>
          <w:rFonts w:ascii="Times New Roman;Times;serif" w:hAnsi="Times New Roman;Times;serif"/>
          <w:sz w:val="22"/>
        </w:rPr>
        <w:t>.  The Borrower shall not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7.07</w:t>
      </w:r>
      <w:r>
        <w:rPr>
          <w:rFonts w:ascii="Times New Roman;Times;serif" w:hAnsi="Times New Roman;Times;serif"/>
          <w:b/>
          <w:sz w:val="22"/>
        </w:rPr>
        <w:t>Transactions with Affiliates</w:t>
      </w:r>
      <w:r>
        <w:rPr>
          <w:rFonts w:ascii="Times New Roman;Times;serif" w:hAnsi="Times New Roman;Times;serif"/>
          <w:sz w:val="22"/>
        </w:rPr>
        <w:t xml:space="preserve">.  The </w:t>
      </w:r>
      <w:r>
        <w:rPr>
          <w:rFonts w:ascii="Times New Roman;Times;serif" w:hAnsi="Times New Roman;Times;serif"/>
          <w:sz w:val="20"/>
        </w:rPr>
        <w:t xml:space="preserve">Borrower shall not, and shall not permit any Subsidiary to, directly or indirectly, purchase, acquire or lease any property from, </w:t>
      </w:r>
      <w:r>
        <w:rPr>
          <w:rFonts w:ascii="Times New Roman;Times;serif" w:hAnsi="Times New Roman;Times;serif"/>
          <w:sz w:val="22"/>
        </w:rPr>
        <w:t xml:space="preserve">or sell, transfer or lease any property to, or otherwise deal with, in the ordinary course of business or otherwise any Affiliate;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 xml:space="preserve">the following shall be permitted: (i) the Borrower and Subsidiaries may enter into such transactions on terms no less favorable to the Borrower or Subsidiary than if no such relationship existed, (ii) customary fees, indemnities and reimbursements may be paid to officers, employees, consultants and directors of the Borrower and its Subsidiaries; (iii) the Borrower and its Subsidiaries may enter into and make payments and provide benefits pursuant to reasonable and customary employment arrangements with officers and senior management employees; (iv) the Borrower may sell or issue its capital stock, (v) transactions between the Borrower and any Subsidiary, and among Subsidiaries of the Borrower and (vi) Restricted Payments made in compliance with </w:t>
      </w:r>
      <w:r>
        <w:rPr>
          <w:rFonts w:ascii="Times New Roman;Times;serif" w:hAnsi="Times New Roman;Times;serif"/>
          <w:sz w:val="22"/>
          <w:u w:val="single"/>
        </w:rPr>
        <w:t>Section 7.08</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7.08</w:t>
      </w:r>
      <w:r>
        <w:rPr>
          <w:rFonts w:ascii="Times New Roman;Times;serif" w:hAnsi="Times New Roman;Times;serif"/>
          <w:b/>
          <w:sz w:val="22"/>
        </w:rPr>
        <w:t>Dividend Limitation</w:t>
      </w:r>
      <w:r>
        <w:rPr>
          <w:rFonts w:ascii="Times New Roman;Times;serif" w:hAnsi="Times New Roman;Times;serif"/>
          <w:sz w:val="22"/>
        </w:rPr>
        <w:t>.  The Borrower shall not pay or declare any dividend on any class of stock or make any other distribution on account of any class of its stock, or redeem, purchase or otherwise acquire, directly or indirectly, any shares of its stock (all of the foregoing being herein called “</w:t>
      </w:r>
      <w:r>
        <w:rPr>
          <w:rFonts w:ascii="Times New Roman;Times;serif" w:hAnsi="Times New Roman;Times;serif"/>
          <w:sz w:val="22"/>
          <w:u w:val="single"/>
        </w:rPr>
        <w:t>Restricted Payments</w:t>
      </w:r>
      <w:r>
        <w:rPr>
          <w:rFonts w:ascii="Times New Roman;Times;serif" w:hAnsi="Times New Roman;Times;serif"/>
          <w:sz w:val="20"/>
        </w:rPr>
        <w:t>”</w:t>
      </w:r>
      <w:r>
        <w:rPr>
          <w:rFonts w:ascii="Times New Roman;Times;serif" w:hAnsi="Times New Roman;Times;serif"/>
          <w:sz w:val="22"/>
        </w:rPr>
        <w:t xml:space="preserve">) unless (i) at the time any proposed Restricted Payment is to be made, and after giving effect to any proposed Restricted Payment, no Default exists or would exist after giving effect to such Restricted Payment and (ii) the Borrower is in compliance with the financial covenants set forth in </w:t>
      </w:r>
      <w:r>
        <w:rPr>
          <w:rFonts w:ascii="Times New Roman;Times;serif" w:hAnsi="Times New Roman;Times;serif"/>
          <w:sz w:val="22"/>
          <w:u w:val="single"/>
        </w:rPr>
        <w:t>Section 7.01</w:t>
      </w:r>
      <w:r>
        <w:rPr>
          <w:rFonts w:ascii="Times New Roman;Times;serif" w:hAnsi="Times New Roman;Times;serif"/>
          <w:sz w:val="20"/>
        </w:rPr>
        <w:t xml:space="preserve"> </w:t>
      </w:r>
      <w:r>
        <w:rPr>
          <w:rFonts w:ascii="Times New Roman;Times;serif" w:hAnsi="Times New Roman;Times;serif"/>
          <w:sz w:val="22"/>
        </w:rPr>
        <w:t>on a pro forma basis after giving effect to such Restricted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7.09</w:t>
      </w:r>
      <w:r>
        <w:rPr>
          <w:rFonts w:ascii="Times New Roman;Times;serif" w:hAnsi="Times New Roman;Times;serif"/>
          <w:b/>
          <w:sz w:val="22"/>
        </w:rPr>
        <w:t>Sanctions</w:t>
      </w:r>
      <w:r>
        <w:rPr>
          <w:rFonts w:ascii="Times New Roman;Times;serif" w:hAnsi="Times New Roman;Times;serif"/>
          <w:sz w:val="22"/>
        </w:rPr>
        <w:t>.  The Borrower shall not, and shall not permit any Subsidiary to, directly, or knowingly indirectly, use the proceeds of any Credit Extension (a) in connection with any investment in, or any transaction or dealings with, any Person that, at the time of such funding, is the subject of Sanctions in a manner that will result in a violation of Sanctions, or (b) in any other manner in violation of Sanctions.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7.10</w:t>
      </w:r>
      <w:r>
        <w:rPr>
          <w:rFonts w:ascii="Times New Roman;Times;serif" w:hAnsi="Times New Roman;Times;serif"/>
          <w:b/>
          <w:sz w:val="22"/>
        </w:rPr>
        <w:t>Anti-Corruption Laws</w:t>
      </w:r>
      <w:r>
        <w:rPr>
          <w:rFonts w:ascii="Times New Roman;Times;serif" w:hAnsi="Times New Roman;Times;serif"/>
          <w:sz w:val="22"/>
        </w:rPr>
        <w:t>.  The Borrower shall not, and shall not permit any Subsidiary to, directly, or knowingly indirectly, use the proceeds of any Credit Extension for any purpose which would breach Anti-Corruption Laws in any material respect.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7.11</w:t>
      </w:r>
      <w:r>
        <w:rPr>
          <w:rFonts w:ascii="Times New Roman;Times;serif" w:hAnsi="Times New Roman;Times;serif"/>
          <w:b/>
          <w:sz w:val="22"/>
        </w:rPr>
        <w:t>Outbound Investment Rules</w:t>
      </w:r>
      <w:r>
        <w:rPr>
          <w:rFonts w:ascii="Times New Roman;Times;serif" w:hAnsi="Times New Roman;Times;serif"/>
          <w:sz w:val="22"/>
        </w:rPr>
        <w:t>.  The Borrower shall not, directly or indirectly (a) be or become a “covered foreign person”, as that term is defined in the Outbound Investment Rules, or (b) engage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or such Subsidiary were a United States Person, or (iii) any other activity that would cause the Agent, any Lender, the L/C Issuer or the Swing Line Lender to be in violation of the Outbound Investment Rules or cause the Agent, any Lender, the L/C Issuer or the Swing Line Lender to be legally prohibited by the Outbound Investment Rules from performing under this Agreement or any other Loan Document.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VIII.</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EVENTS OF DEFAULT AND REMEDIES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8.01</w:t>
      </w:r>
      <w:r>
        <w:rPr>
          <w:rFonts w:ascii="Times New Roman;Times;serif" w:hAnsi="Times New Roman;Times;serif"/>
          <w:b/>
          <w:sz w:val="22"/>
        </w:rPr>
        <w:t>Events of Default</w:t>
      </w:r>
      <w:r>
        <w:rPr>
          <w:rFonts w:ascii="Times New Roman;Times;serif" w:hAnsi="Times New Roman;Times;serif"/>
          <w:sz w:val="22"/>
        </w:rPr>
        <w:t>.  Any of the following shall constitute an “</w:t>
      </w:r>
      <w:r>
        <w:rPr>
          <w:rFonts w:ascii="Times New Roman;Times;serif" w:hAnsi="Times New Roman;Times;serif"/>
          <w:sz w:val="22"/>
          <w:u w:val="single"/>
        </w:rPr>
        <w:t>Event of Default</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Non-Payment</w:t>
      </w:r>
      <w:r>
        <w:rPr>
          <w:rFonts w:ascii="Times New Roman;Times;serif" w:hAnsi="Times New Roman;Times;serif"/>
          <w:sz w:val="22"/>
        </w:rPr>
        <w:t>.  The Borrower or any other Loan Party fails to pay (i) when and as required to be paid herein, any amount of principal of any Loan or any L/C Obligation, or (ii) within five days after the same becomes due, any interest on any Loan or on any L/C Obligation, any fee due hereunder or any other amount payable hereunder or under any other Loan Document;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Specific Covenants</w:t>
      </w:r>
      <w:r>
        <w:rPr>
          <w:rFonts w:ascii="Times New Roman;Times;serif" w:hAnsi="Times New Roman;Times;serif"/>
          <w:sz w:val="22"/>
        </w:rPr>
        <w:t xml:space="preserve">.  The Borrower fails to perform or observe any agreement contained in </w:t>
      </w:r>
      <w:r>
        <w:rPr>
          <w:rFonts w:ascii="Times New Roman;Times;serif" w:hAnsi="Times New Roman;Times;serif"/>
          <w:sz w:val="22"/>
          <w:u w:val="single"/>
        </w:rPr>
        <w:t>Article VII</w:t>
      </w:r>
      <w:r>
        <w:rPr>
          <w:rFonts w:ascii="Times New Roman;Times;serif" w:hAnsi="Times New Roman;Times;serif"/>
          <w:sz w:val="22"/>
        </w:rPr>
        <w: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Other Defaults</w:t>
      </w:r>
      <w:r>
        <w:rPr>
          <w:rFonts w:ascii="Times New Roman;Times;serif" w:hAnsi="Times New Roman;Times;serif"/>
          <w:sz w:val="22"/>
        </w:rPr>
        <w:t>.  The Borrower or any other Loan Party fails to perform or observe any other covenant or agreement (not specified in subsection (a) or (b) above) contained in any Loan Document on its part to be performed or observed and such failure shall not be remedied within 30 days after any Responsible Officer obtains actual knowledge thereof;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Representations and Warranties</w:t>
      </w:r>
      <w:r>
        <w:rPr>
          <w:rFonts w:ascii="Times New Roman;Times;serif" w:hAnsi="Times New Roman;Times;serif"/>
          <w:sz w:val="22"/>
        </w:rPr>
        <w:t xml:space="preserve">.  Any representation or warranty made by the Borrower herein or by any Loan Party or any of its officers in any Loan Document or any writing furnished in connection with or pursuant to this Agreement or any other Loan Document shall be false or misleading in any material respect on the date as of which made;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to the extent that such breach of representation or warranty relates to clause (c) of the definition of Material Adverse Effect, such breach of representation or warranty shall only constitute an Event of Default under this subsection (d) if such Loan Party knowingly breached such representation or warranty;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Cross-Default</w:t>
      </w:r>
      <w:r>
        <w:rPr>
          <w:rFonts w:ascii="Times New Roman;Times;serif" w:hAnsi="Times New Roman;Times;serif"/>
          <w:sz w:val="22"/>
        </w:rPr>
        <w:t xml:space="preserve">.  (i) An Event of Default (as defined in any Note Purchase Agreement) has occurred and is continuing under such Note Purchase Agreement; or (ii) the Borrower or any Material Subsidiary defaults in any payment of principal of, or premium or interest on, any Debt (other than the Obligations) beyond any period of grace provided with respect thereto, or the Borrower or any Material Subsidiary fails to perform or observe any other agreement, term or condition contained in any agreement relating to any such Debt (or any other event under any such agreement occurs and is continuing) and the effect of such default or other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failure or event is to cause, or to permit the holder or holders of such Debt (or a trustee on behalf of such holder or holders) to cause, such Debt to become due (or to be required to be repurchased by the Borrower or any Subsidiary) prior to any stated maturity;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aggregate amount of all Debt as to which such a default or other failure or event shall occur and be continuing exceeds the greater of (x) $75,000,000 and (y) 5% of Consolidated EBITDA for the most recently completed four fiscal quarters;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Insolvency Proceedings, Etc.</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(i)Any Loan Party or any Material Subsidiary makes an assignment for the benefit of creditors or is generally not paying its debts as such debts become due; or</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(ii)any decree or order for relief in respect of any Loan Party or any Material Subsidiary is entered under any Debtor Relief Laws of any jurisdiction; or</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(iii)any Loan Party or any Material Subsidiary petitions or applies to any tribunal for, or consents to, the appointment of, or taking possession by, a trustee, receiver, custodian, liquidator or similar official of any Loan Party or any such Material Subsidiary, or of any substantial part of the assets of any Loan Party or any such Material Subsidiary, or commences a voluntary case under the Bankruptcy Code of the United States or any proceedings (other than proceedings for the voluntary liquidation and dissolution of a Material Subsidiary) relating to any Loan Party or any Material Subsidiary under any other Debtor Relief Laws; or</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(iv)any petition or application of the type described in clause (iii) above is filed, or any such proceedings are commenced, against any Loan Party or any Material Subsidiary and any Loan Party or such Material Subsidiary by any act indicates its approval thereof, consent thereto or acquiescence therein, or an order, judgment or decree is entered appointing any such trustee, receiver, custodian, liquidator or similar official, or approving the petition in any such proceedings, and such order, judgment or decree remains unstayed and in effect for more than 30 days;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u w:val="single"/>
        </w:rPr>
        <w:t>Dissolution, Etc</w:t>
      </w:r>
      <w:r>
        <w:rPr>
          <w:rFonts w:ascii="Times New Roman;Times;serif" w:hAnsi="Times New Roman;Times;serif"/>
          <w:sz w:val="22"/>
        </w:rPr>
        <w:t>.  Any order, judgment or decree is entered in any proceedings against any Loan Party or any Material Subsidiary decreeing the dissolution of such Loan Party or such Material Subsidiary and such order, judgment or decree remains unstayed and in effect for more than 30 days;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u w:val="single"/>
        </w:rPr>
        <w:t>ERISA</w:t>
      </w:r>
      <w:r>
        <w:rPr>
          <w:rFonts w:ascii="Times New Roman;Times;serif" w:hAnsi="Times New Roman;Times;serif"/>
          <w:sz w:val="22"/>
        </w:rPr>
        <w:t xml:space="preserve">.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Borrower or any ERISA Affiliate that a Plan may become a subject of such proceedings, (iii) the aggregate amount under all Plans of the fair market value of the assets (within the meaning of section 303 of ERISA), is less than 70% of the “Funding Target” (within the meaning of section 303 of ERISA), (iv) the Borrower or any ERISA Affiliate shall have incurred or is reasonably expected to incur any liability pursuant to Title I or IV or ERISA or the penalty or excise tax provisions of the Code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77</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relating to employee benefit plans, (v) the Borrower or any ERISA Affiliate withdraws from any Multiemployer Plan, or (vi) the Borrower or any Subsidiary establishes or amends any employee welfare benefit plan that provides post-employment welfare benefits in a manner that would increase the liability of the Borrower or any Subsidiary thereunder; and any such event or events described in clauses (i) through (vi) above, either individually or together with any other such event or events, could reasonably be expected to have a Material Adverse Effect of the type described in clause (a) or (b) of the definition thereof;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u w:val="single"/>
        </w:rPr>
        <w:t>Judgments</w:t>
      </w:r>
      <w:r>
        <w:rPr>
          <w:rFonts w:ascii="Times New Roman;Times;serif" w:hAnsi="Times New Roman;Times;serif"/>
          <w:sz w:val="22"/>
        </w:rPr>
        <w:t>.  Any judgment(s) or decree(s) in the aggregate amount exceeding the greater of (x) $75,000,000 and (y) 5% of Consolidated EBITDA for the most recently completed four fiscal quarters shall be entered against the Borrower or any of its Material Subsidiaries that are not paid or fully covered (beyond any applicable deductibles) by insurance and such judgment or decree shall not have been vacated, discharged or stayed or bonded pending appeal within 60 days from the entry thereof;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(j)</w:t>
      </w:r>
      <w:r>
        <w:rPr>
          <w:rFonts w:ascii="Times New Roman;Times;serif" w:hAnsi="Times New Roman;Times;serif"/>
          <w:sz w:val="22"/>
          <w:u w:val="single"/>
        </w:rPr>
        <w:t>Invalidity of Loan Documents</w:t>
      </w:r>
      <w:r>
        <w:rPr>
          <w:rFonts w:ascii="Times New Roman;Times;serif" w:hAnsi="Times New Roman;Times;serif"/>
          <w:sz w:val="22"/>
        </w:rPr>
        <w:t>.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Loan Document; or any Loan Party denies that it has any or further liability or obligation under any Loan Document, or purports to revoke, terminate or rescind any Loan Document;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(k)</w:t>
      </w:r>
      <w:r>
        <w:rPr>
          <w:rFonts w:ascii="Times New Roman;Times;serif" w:hAnsi="Times New Roman;Times;serif"/>
          <w:sz w:val="22"/>
          <w:u w:val="single"/>
        </w:rPr>
        <w:t>Change of Control</w:t>
      </w:r>
      <w:r>
        <w:rPr>
          <w:rFonts w:ascii="Times New Roman;Times;serif" w:hAnsi="Times New Roman;Times;serif"/>
          <w:sz w:val="22"/>
        </w:rPr>
        <w:t>.  There occurs any Change of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8.02</w:t>
      </w:r>
      <w:r>
        <w:rPr>
          <w:rFonts w:ascii="Times New Roman;Times;serif" w:hAnsi="Times New Roman;Times;serif"/>
          <w:b/>
          <w:sz w:val="22"/>
        </w:rPr>
        <w:t>Remedies Upon Event of Default</w:t>
      </w:r>
      <w:r>
        <w:rPr>
          <w:rFonts w:ascii="Times New Roman;Times;serif" w:hAnsi="Times New Roman;Times;serif"/>
          <w:sz w:val="22"/>
        </w:rPr>
        <w:t>.  If any Event of Default occurs and is continuing, the Agent shall, at the request of, or may, with the consent of, the Required Lenders, take any or all of the following actions: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declare the commitment of each Lender to make Loans and any obligation of the L/C Issuer to make L/C Credit Extensions to be terminated, whereupon such commitments and obligation shall be terminated;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require that the Borrower Cash Collateralize the L/C Obligations (in an amount equal to the Minimum Collateral Amount with respect thereto);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exercise on behalf of itself, the Lenders and the L/C Issuer all rights and remedies available to it, the Lenders and the L/C Issuer under the Loan Documents or applicable law or at equity;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upon the occurrence of an actual or deemed entry of an order for relief with respect to the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Agent or any Lender.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8.03</w:t>
      </w:r>
      <w:r>
        <w:rPr>
          <w:rFonts w:ascii="Times New Roman;Times;serif" w:hAnsi="Times New Roman;Times;serif"/>
          <w:b/>
          <w:sz w:val="22"/>
        </w:rPr>
        <w:t>Application of Funds</w:t>
      </w:r>
      <w:r>
        <w:rPr>
          <w:rFonts w:ascii="Times New Roman;Times;serif" w:hAnsi="Times New Roman;Times;serif"/>
          <w:sz w:val="22"/>
        </w:rPr>
        <w:t xml:space="preserve">.  After the exercise of remedies provided for in </w:t>
      </w:r>
      <w:r>
        <w:rPr>
          <w:rFonts w:ascii="Times New Roman;Times;serif" w:hAnsi="Times New Roman;Times;serif"/>
          <w:sz w:val="22"/>
          <w:u w:val="single"/>
        </w:rPr>
        <w:t>Section 8.02</w:t>
      </w:r>
      <w:r>
        <w:rPr>
          <w:rFonts w:ascii="Times New Roman;Times;serif" w:hAnsi="Times New Roman;Times;serif"/>
          <w:sz w:val="20"/>
        </w:rPr>
        <w:t xml:space="preserve"> </w:t>
      </w:r>
      <w:r>
        <w:rPr>
          <w:rFonts w:ascii="Times New Roman;Times;serif" w:hAnsi="Times New Roman;Times;serif"/>
          <w:sz w:val="22"/>
        </w:rPr>
        <w:t xml:space="preserve">(or after the Loans have automatically become immediately due and payable and the L/C Obligations have automatically been required to be Cash Collateralized as set forth in the proviso to </w:t>
      </w:r>
      <w:r>
        <w:rPr>
          <w:rFonts w:ascii="Times New Roman;Times;serif" w:hAnsi="Times New Roman;Times;serif"/>
          <w:sz w:val="22"/>
          <w:u w:val="single"/>
        </w:rPr>
        <w:t>Section 8.02</w:t>
      </w:r>
      <w:r>
        <w:rPr>
          <w:rFonts w:ascii="Times New Roman;Times;serif" w:hAnsi="Times New Roman;Times;serif"/>
          <w:sz w:val="22"/>
        </w:rPr>
        <w:t xml:space="preserve">), any amounts received on account of the Obligations, subject to the terms of any applicable Intercreditor Agreement, shall, subject to the provisions of </w:t>
      </w:r>
      <w:r>
        <w:rPr>
          <w:rFonts w:ascii="Times New Roman;Times;serif" w:hAnsi="Times New Roman;Times;serif"/>
          <w:sz w:val="22"/>
          <w:u w:val="single"/>
        </w:rPr>
        <w:t>Sections 2.15</w:t>
      </w:r>
      <w:r>
        <w:rPr>
          <w:rFonts w:ascii="Times New Roman;Times;serif" w:hAnsi="Times New Roman;Times;serif"/>
          <w:sz w:val="20"/>
        </w:rPr>
        <w:t xml:space="preserve"> </w:t>
      </w:r>
      <w:r>
        <w:rPr>
          <w:rFonts w:ascii="Times New Roman;Times;serif" w:hAnsi="Times New Roman;Times;serif"/>
          <w:sz w:val="22"/>
        </w:rPr>
        <w:t>and</w:t>
      </w:r>
      <w:r>
        <w:rPr>
          <w:rFonts w:ascii="Times New Roman;Times;serif" w:hAnsi="Times New Roman;Times;serif"/>
          <w:sz w:val="20"/>
          <w:u w:val="single"/>
        </w:rPr>
        <w:t xml:space="preserve"> </w:t>
      </w:r>
      <w:r>
        <w:rPr>
          <w:rFonts w:ascii="Times New Roman;Times;serif" w:hAnsi="Times New Roman;Times;serif"/>
          <w:sz w:val="22"/>
          <w:u w:val="single"/>
        </w:rPr>
        <w:t>2.16</w:t>
      </w:r>
      <w:r>
        <w:rPr>
          <w:rFonts w:ascii="Times New Roman;Times;serif" w:hAnsi="Times New Roman;Times;serif"/>
          <w:sz w:val="22"/>
        </w:rPr>
        <w:t>, be applied by the Agent in the following order: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u w:val="single"/>
        </w:rPr>
        <w:t>First</w:t>
      </w:r>
      <w:r>
        <w:rPr>
          <w:rFonts w:ascii="Times New Roman;Times;serif" w:hAnsi="Times New Roman;Times;serif"/>
          <w:sz w:val="22"/>
        </w:rPr>
        <w:t xml:space="preserve">, to payment of that portion of the Obligations constituting fees, indemnities, expenses and other amounts (including fees, charges and disbursements of counsel to the Agent and amounts payable under </w:t>
      </w:r>
      <w:r>
        <w:rPr>
          <w:rFonts w:ascii="Times New Roman;Times;serif" w:hAnsi="Times New Roman;Times;serif"/>
          <w:sz w:val="22"/>
          <w:u w:val="single"/>
        </w:rPr>
        <w:t>Article III</w:t>
      </w:r>
      <w:r>
        <w:rPr>
          <w:rFonts w:ascii="Times New Roman;Times;serif" w:hAnsi="Times New Roman;Times;serif"/>
          <w:sz w:val="22"/>
        </w:rPr>
        <w:t>) payable to the Agent in its capacity as such;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u w:val="single"/>
        </w:rPr>
        <w:t>Second</w:t>
      </w:r>
      <w:r>
        <w:rPr>
          <w:rFonts w:ascii="Times New Roman;Times;serif" w:hAnsi="Times New Roman;Times;serif"/>
          <w:sz w:val="22"/>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Times New Roman;Times;serif" w:hAnsi="Times New Roman;Times;serif"/>
          <w:sz w:val="22"/>
          <w:u w:val="single"/>
        </w:rPr>
        <w:t>Article III</w:t>
      </w:r>
      <w:r>
        <w:rPr>
          <w:rFonts w:ascii="Times New Roman;Times;serif" w:hAnsi="Times New Roman;Times;serif"/>
          <w:sz w:val="22"/>
        </w:rPr>
        <w:t xml:space="preserve">), ratably among them in proportion to the respective amounts described in this clause </w:t>
      </w:r>
      <w:r>
        <w:rPr>
          <w:rFonts w:ascii="Times New Roman;Times;serif" w:hAnsi="Times New Roman;Times;serif"/>
          <w:sz w:val="22"/>
          <w:u w:val="single"/>
        </w:rPr>
        <w:t>Second</w:t>
      </w:r>
      <w:r>
        <w:rPr>
          <w:rFonts w:ascii="Times New Roman;Times;serif" w:hAnsi="Times New Roman;Times;serif"/>
          <w:sz w:val="20"/>
        </w:rPr>
        <w:t xml:space="preserve"> </w:t>
      </w:r>
      <w:r>
        <w:rPr>
          <w:rFonts w:ascii="Times New Roman;Times;serif" w:hAnsi="Times New Roman;Times;serif"/>
          <w:sz w:val="22"/>
        </w:rPr>
        <w:t>payable to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u w:val="single"/>
        </w:rPr>
        <w:t>Third</w:t>
      </w:r>
      <w:r>
        <w:rPr>
          <w:rFonts w:ascii="Times New Roman;Times;serif" w:hAnsi="Times New Roman;Times;serif"/>
          <w:sz w:val="22"/>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clause </w:t>
      </w:r>
      <w:r>
        <w:rPr>
          <w:rFonts w:ascii="Times New Roman;Times;serif" w:hAnsi="Times New Roman;Times;serif"/>
          <w:sz w:val="22"/>
          <w:u w:val="single"/>
        </w:rPr>
        <w:t>Third</w:t>
      </w:r>
      <w:r>
        <w:rPr>
          <w:rFonts w:ascii="Times New Roman;Times;serif" w:hAnsi="Times New Roman;Times;serif"/>
          <w:sz w:val="20"/>
        </w:rPr>
        <w:t xml:space="preserve"> </w:t>
      </w:r>
      <w:r>
        <w:rPr>
          <w:rFonts w:ascii="Times New Roman;Times;serif" w:hAnsi="Times New Roman;Times;serif"/>
          <w:sz w:val="22"/>
        </w:rPr>
        <w:t>payable to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u w:val="single"/>
        </w:rPr>
        <w:t>Fourth</w:t>
      </w:r>
      <w:r>
        <w:rPr>
          <w:rFonts w:ascii="Times New Roman;Times;serif" w:hAnsi="Times New Roman;Times;serif"/>
          <w:sz w:val="22"/>
        </w:rPr>
        <w:t xml:space="preserve">, to payment of that portion of the Obligations constituting unpaid principal of the Loans and L/C Borrowings, ratably among the Lenders and the L/C Issuer in proportion to the respective amounts described in this clause </w:t>
      </w:r>
      <w:r>
        <w:rPr>
          <w:rFonts w:ascii="Times New Roman;Times;serif" w:hAnsi="Times New Roman;Times;serif"/>
          <w:sz w:val="22"/>
          <w:u w:val="single"/>
        </w:rPr>
        <w:t>Fourth</w:t>
      </w:r>
      <w:r>
        <w:rPr>
          <w:rFonts w:ascii="Times New Roman;Times;serif" w:hAnsi="Times New Roman;Times;serif"/>
          <w:sz w:val="20"/>
        </w:rPr>
        <w:t xml:space="preserve"> </w:t>
      </w:r>
      <w:r>
        <w:rPr>
          <w:rFonts w:ascii="Times New Roman;Times;serif" w:hAnsi="Times New Roman;Times;serif"/>
          <w:sz w:val="22"/>
        </w:rPr>
        <w:t>held by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u w:val="single"/>
        </w:rPr>
        <w:t>Fifth</w:t>
      </w:r>
      <w:r>
        <w:rPr>
          <w:rFonts w:ascii="Times New Roman;Times;serif" w:hAnsi="Times New Roman;Times;serif"/>
          <w:sz w:val="22"/>
        </w:rPr>
        <w:t xml:space="preserve">, to the Agent for the account of the L/C Issuer, to Cash Collateralize that portion of L/C Obligations comprised of the aggregate undrawn amount of Letters of Credit to the extent not otherwise Cash Collateralized by the Borrower pursuant to </w:t>
      </w:r>
      <w:r>
        <w:rPr>
          <w:rFonts w:ascii="Times New Roman;Times;serif" w:hAnsi="Times New Roman;Times;serif"/>
          <w:sz w:val="22"/>
          <w:u w:val="single"/>
        </w:rPr>
        <w:t>Sections 2.03</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2.15</w:t>
      </w:r>
      <w:r>
        <w:rPr>
          <w:rFonts w:ascii="Times New Roman;Times;serif" w:hAnsi="Times New Roman;Times;serif"/>
          <w:sz w:val="22"/>
        </w:rPr>
        <w: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u w:val="single"/>
        </w:rPr>
        <w:t>Last</w:t>
      </w:r>
      <w:r>
        <w:rPr>
          <w:rFonts w:ascii="Times New Roman;Times;serif" w:hAnsi="Times New Roman;Times;serif"/>
          <w:sz w:val="22"/>
        </w:rPr>
        <w:t>, the balance, if any, after all of the Obligations have been indefeasibly paid in full, to the Borrower or as otherwise required by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Subject to </w:t>
      </w:r>
      <w:r>
        <w:rPr>
          <w:rFonts w:ascii="Times New Roman;Times;serif" w:hAnsi="Times New Roman;Times;serif"/>
          <w:sz w:val="22"/>
          <w:u w:val="single"/>
        </w:rPr>
        <w:t>Sections 2.03(c)</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2.15</w:t>
      </w:r>
      <w:r>
        <w:rPr>
          <w:rFonts w:ascii="Times New Roman;Times;serif" w:hAnsi="Times New Roman;Times;serif"/>
          <w:sz w:val="22"/>
        </w:rPr>
        <w:t xml:space="preserve">, amounts used to Cash Collateralize the aggregate undrawn amount of Letters of Credit pursuant to clause </w:t>
      </w:r>
      <w:r>
        <w:rPr>
          <w:rFonts w:ascii="Times New Roman;Times;serif" w:hAnsi="Times New Roman;Times;serif"/>
          <w:sz w:val="22"/>
          <w:u w:val="single"/>
        </w:rPr>
        <w:t>Fifth</w:t>
      </w:r>
      <w:r>
        <w:rPr>
          <w:rFonts w:ascii="Times New Roman;Times;serif" w:hAnsi="Times New Roman;Times;serif"/>
          <w:sz w:val="20"/>
        </w:rPr>
        <w:t xml:space="preserve"> </w:t>
      </w:r>
      <w:r>
        <w:rPr>
          <w:rFonts w:ascii="Times New Roman;Times;serif" w:hAnsi="Times New Roman;Times;serif"/>
          <w:sz w:val="22"/>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IX.</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9.01</w:t>
      </w:r>
      <w:r>
        <w:rPr>
          <w:rFonts w:ascii="Times New Roman;Times;serif" w:hAnsi="Times New Roman;Times;serif"/>
          <w:b/>
          <w:sz w:val="22"/>
        </w:rPr>
        <w:t>Appointment and Authority</w:t>
      </w:r>
      <w:r>
        <w:rPr>
          <w:rFonts w:ascii="Times New Roman;Times;serif" w:hAnsi="Times New Roman;Times;serif"/>
          <w:sz w:val="22"/>
        </w:rPr>
        <w:t xml:space="preserve">.  Each of the Lenders and the L/C Issuer hereby irrevocably appoints Bank of America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Article are solely for the benefit of the Agent, the Lenders and the L/C Issuer, and no Loan Party shall have rights as a third 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Instead such term is used as a matter of market custom, and is intended to create or reflect only an administrative relationship between contracting parties.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2"/>
        </w:rPr>
        <w:t xml:space="preserve">Each of the Lenders (in its capacities as a Lender and Swing Line Lender (if applicable)) and the L/C Issuer (a) irrevocably appoints and authorizes Bank of America to act on its behalf as Collateral Agent under any applicable Intercreditor Agreement and (b) consents to and approves the terms of such Intercreditor Agreement.  By execution hereof, the Lenders acknowledge the terms of such Intercreditor Agreement and agree to be bound by the terms thereof and further authorize and direct the Agent and the Collateral Agent to enter into such Intercreditor Agreement on behalf of all the Lenders, to perform their obligations thereunder and to deliver and accept notices thereunder on behalf of the Lenders (and the Agent shall promptly provide copies of such notices to the Lenders).  In this connection, the Agent, as “Collateral Agent” and any co-agents, sub-agents and attorneys-in-fact appointed by the Agent pursuant to </w:t>
      </w:r>
      <w:r>
        <w:rPr>
          <w:rFonts w:ascii="Times New Roman;Times;serif" w:hAnsi="Times New Roman;Times;serif"/>
          <w:sz w:val="22"/>
          <w:u w:val="single"/>
        </w:rPr>
        <w:t>Section 9.05</w:t>
      </w:r>
      <w:r>
        <w:rPr>
          <w:rFonts w:ascii="Times New Roman;Times;serif" w:hAnsi="Times New Roman;Times;serif"/>
          <w:sz w:val="20"/>
        </w:rPr>
        <w:t xml:space="preserve"> </w:t>
      </w:r>
      <w:r>
        <w:rPr>
          <w:rFonts w:ascii="Times New Roman;Times;serif" w:hAnsi="Times New Roman;Times;serif"/>
          <w:sz w:val="22"/>
        </w:rPr>
        <w:t xml:space="preserve">for purposes of holding or enforcing any Lien on the Collateral (or any portion thereof) granted under the Collateral Documents, or for exercising any rights and remedies thereunder at the direction of the Agent, shall be entitled to the benefits of all provisions of this </w:t>
      </w:r>
      <w:r>
        <w:rPr>
          <w:rFonts w:ascii="Times New Roman;Times;serif" w:hAnsi="Times New Roman;Times;serif"/>
          <w:sz w:val="22"/>
          <w:u w:val="single"/>
        </w:rPr>
        <w:t>Article IX</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Article X</w:t>
      </w:r>
      <w:r>
        <w:rPr>
          <w:rFonts w:ascii="Times New Roman;Times;serif" w:hAnsi="Times New Roman;Times;serif"/>
          <w:sz w:val="20"/>
        </w:rPr>
        <w:t xml:space="preserve"> </w:t>
      </w:r>
      <w:r>
        <w:rPr>
          <w:rFonts w:ascii="Times New Roman;Times;serif" w:hAnsi="Times New Roman;Times;serif"/>
          <w:sz w:val="22"/>
        </w:rPr>
        <w:t xml:space="preserve">(including </w:t>
      </w:r>
      <w:r>
        <w:rPr>
          <w:rFonts w:ascii="Times New Roman;Times;serif" w:hAnsi="Times New Roman;Times;serif"/>
          <w:sz w:val="22"/>
          <w:u w:val="single"/>
        </w:rPr>
        <w:t>Section 11.04(c)</w:t>
      </w:r>
      <w:r>
        <w:rPr>
          <w:rFonts w:ascii="Times New Roman;Times;serif" w:hAnsi="Times New Roman;Times;serif"/>
          <w:sz w:val="22"/>
        </w:rPr>
        <w:t xml:space="preserve">, as though such co-agents, sub-agents and attorneys-in-fact were the “collateral agent” under the Loan Documents) as if set forth in full herein with respect thereto.  Notwithstanding anything to the contrary contained herein or in any other Loan Document, the Agent and Collateral Agent are hereby irrevocably authorized and directed by each Lender to take any action requested by the Borrower having the effect of releasing any Collateral, subject to </w:t>
      </w:r>
      <w:r>
        <w:rPr>
          <w:rFonts w:ascii="Times New Roman;Times;serif" w:hAnsi="Times New Roman;Times;serif"/>
          <w:sz w:val="22"/>
          <w:u w:val="single"/>
        </w:rPr>
        <w:t>Section 6.09</w:t>
      </w:r>
      <w:r>
        <w:rPr>
          <w:rFonts w:ascii="Times New Roman;Times;serif" w:hAnsi="Times New Roman;Times;serif"/>
          <w:sz w:val="22"/>
        </w:rPr>
        <w:t xml:space="preserve">, (i) to the extent necessary to permit consummation of any transaction not prohibited by any Loan Document or that has been consented to in accordance with </w:t>
      </w:r>
      <w:r>
        <w:rPr>
          <w:rFonts w:ascii="Times New Roman;Times;serif" w:hAnsi="Times New Roman;Times;serif"/>
          <w:sz w:val="22"/>
          <w:u w:val="single"/>
        </w:rPr>
        <w:t>Section 10.01</w:t>
      </w:r>
      <w:r>
        <w:rPr>
          <w:rFonts w:ascii="Times New Roman;Times;serif" w:hAnsi="Times New Roman;Times;serif"/>
          <w:sz w:val="20"/>
        </w:rPr>
        <w:t xml:space="preserve"> </w:t>
      </w:r>
      <w:r>
        <w:rPr>
          <w:rFonts w:ascii="Times New Roman;Times;serif" w:hAnsi="Times New Roman;Times;serif"/>
          <w:sz w:val="22"/>
        </w:rPr>
        <w:t>or (ii) pursuant to the terms of the applicable Collateral Documents.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9.02</w:t>
      </w:r>
      <w:r>
        <w:rPr>
          <w:rFonts w:ascii="Times New Roman;Times;serif" w:hAnsi="Times New Roman;Times;serif"/>
          <w:b/>
          <w:sz w:val="22"/>
        </w:rPr>
        <w:t>Rights as a Lender</w:t>
      </w:r>
      <w:r>
        <w:rPr>
          <w:rFonts w:ascii="Times New Roman;Times;serif" w:hAnsi="Times New Roman;Times;serif"/>
          <w:sz w:val="22"/>
        </w:rPr>
        <w:t>.  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the Borrower or any Subsidiary or other Affiliate thereof as if such Person were not the Agent hereunder and without any duty to account therefor to the Lenders or to provide notice to or consent of the Lenders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9.03</w:t>
      </w:r>
      <w:r>
        <w:rPr>
          <w:rFonts w:ascii="Times New Roman;Times;serif" w:hAnsi="Times New Roman;Times;serif"/>
          <w:b/>
          <w:sz w:val="22"/>
        </w:rPr>
        <w:t>Exculpatory Provisions</w:t>
      </w:r>
      <w:r>
        <w:rPr>
          <w:rFonts w:ascii="Times New Roman;Times;serif" w:hAnsi="Times New Roman;Times;serif"/>
          <w:sz w:val="22"/>
        </w:rPr>
        <w:t>.  The Agent shall not have any duties or obligations except those expressly set forth herein and in the other Loan Documents, and its duties hereunder shall be administrative in nature.  Without limiting the generality of the foregoing, the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shall not be subject to any fiduciary or other implied duties, regardless of whether a Default has occurred and is continuing;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Agent shall not be required to take any action that, in its opinion or the opinion of its counsel, may expose the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80</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shall not, except as expressly set forth herein and in the other Loan Documents, have any duty or responsibility to disclose, and shall not be liable for the failure to disclose, any information relating to the Borrower, its Subsidiaries or any of its Affiliates that is communicated to or obtained by the Person serving as the Agent or any of its Affiliates in any capacity.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Neither the Agent nor any of its Related Parties shall be liable for any action taken or not taken by the Agent under or in connection with this Agreement or any other Loan Document or the transactions contemplated hereby or thereby (i) with the consent or at the request of the Required Lenders (or such other number or percentage of the Lenders as shall be necessary, or as the Agent shall believe in good faith shall be necessary, under the circumstances as provided in </w:t>
      </w:r>
      <w:r>
        <w:rPr>
          <w:rFonts w:ascii="Times New Roman;Times;serif" w:hAnsi="Times New Roman;Times;serif"/>
          <w:sz w:val="22"/>
          <w:u w:val="single"/>
        </w:rPr>
        <w:t>Sections 10.01</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8.02</w:t>
      </w:r>
      <w:r>
        <w:rPr>
          <w:rFonts w:ascii="Times New Roman;Times;serif" w:hAnsi="Times New Roman;Times;serif"/>
          <w:sz w:val="22"/>
        </w:rPr>
        <w:t>) or (ii) in the absence of its own gross negligence or willful misconduct as determined by a court of competent jurisdiction by final and nonappealable judgment.  Any such action taken or failure to act pursuant to the foregoing shall be binding on all Lenders.  The Agent shall be deemed not to have knowledge of any Default unless and until notice describing such Default is given in writing to the Agent by the Borrower, a Lender or the L/C Issuer.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Neither the Agent nor any of its Related Parties shall have any duty or obligation to any Lender or participant or any other Person to ascertain or inquire into (A) any statement, warranty or representation made in or in connection with this Agreement or any other Loan Document, (B) the contents of any certificate, report or other document delivered hereunder or thereunder or in connection herewith or therewith, (C) the performance or observance of any of the covenants, agreements or other terms or conditions set forth herein or therein or the occurrence of any Default, (D) the validity, enforceability, effectiveness or genuineness of this Agreement, any other Loan Document or any other agreement, instrument or document, or the creation, perfection or priority of any Lien purported to be created by the Collateral Documents, (E) the value or the sufficiency of any Collateral, or (F) the satisfaction of any condition set forth in </w:t>
      </w:r>
      <w:r>
        <w:rPr>
          <w:rFonts w:ascii="Times New Roman;Times;serif" w:hAnsi="Times New Roman;Times;serif"/>
          <w:sz w:val="22"/>
          <w:u w:val="single"/>
        </w:rPr>
        <w:t>Article IV</w:t>
      </w:r>
      <w:r>
        <w:rPr>
          <w:rFonts w:ascii="Times New Roman;Times;serif" w:hAnsi="Times New Roman;Times;serif"/>
          <w:sz w:val="20"/>
        </w:rPr>
        <w:t xml:space="preserve"> </w:t>
      </w:r>
      <w:r>
        <w:rPr>
          <w:rFonts w:ascii="Times New Roman;Times;serif" w:hAnsi="Times New Roman;Times;serif"/>
          <w:sz w:val="22"/>
        </w:rPr>
        <w:t>or elsewhere herein, other than to confirm receipt of items expressly required to be delivered to the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9.04</w:t>
      </w:r>
      <w:r>
        <w:rPr>
          <w:rFonts w:ascii="Times New Roman;Times;serif" w:hAnsi="Times New Roman;Times;serif"/>
          <w:b/>
          <w:sz w:val="22"/>
        </w:rPr>
        <w:t>Reliance by Agent</w:t>
      </w:r>
      <w:r>
        <w:rPr>
          <w:rFonts w:ascii="Times New Roman;Times;serif" w:hAnsi="Times New Roman;Times;serif"/>
          <w:sz w:val="22"/>
        </w:rPr>
        <w:t xml:space="preserve">.  The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Agent may presume that such condition is satisfactory to such Lender or the L/C Issuer unless the Agent shall have received notice to the contrary from such Lender or the L/C Issuer prior to the making of such Loan or the issuance, extension, renewal or increase of such Letter of Credit.  The Agent may consult with legal counsel (who may be counsel for the Borrower),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Times;serif" w:hAnsi="Times New Roman;Times;serif"/>
          <w:sz w:val="22"/>
          <w:u w:val="single"/>
        </w:rPr>
        <w:t>Section 4.01</w:t>
      </w:r>
      <w:r>
        <w:rPr>
          <w:rFonts w:ascii="Times New Roman;Times;serif" w:hAnsi="Times New Roman;Times;serif"/>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proposed Closing Date specifying its objections.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9.05</w:t>
      </w:r>
      <w:r>
        <w:rPr>
          <w:rFonts w:ascii="Times New Roman;Times;serif" w:hAnsi="Times New Roman;Times;serif"/>
          <w:b/>
          <w:sz w:val="22"/>
        </w:rPr>
        <w:t>Delegation of Duties</w:t>
      </w:r>
      <w:r>
        <w:rPr>
          <w:rFonts w:ascii="Times New Roman;Times;serif" w:hAnsi="Times New Roman;Times;serif"/>
          <w:sz w:val="22"/>
        </w:rPr>
        <w:t xml:space="preserve">.  The Agent may perform any and all of its duties and exercise its rights and powers hereunder or under any other Loan Document by or through any one or more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sub-agents appointed by the Agent.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and shall apply to their respective activities in connection with the syndication of the credit facilities provided for herein as well as activities as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9.06</w:t>
      </w:r>
      <w:r>
        <w:rPr>
          <w:rFonts w:ascii="Times New Roman;Times;serif" w:hAnsi="Times New Roman;Times;serif"/>
          <w:b/>
          <w:sz w:val="22"/>
        </w:rPr>
        <w:t>Resignation of Agent</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(or such earlier day as shall be agreed by the Required Lenders) (the “</w:t>
      </w:r>
      <w:r>
        <w:rPr>
          <w:rFonts w:ascii="Times New Roman;Times;serif" w:hAnsi="Times New Roman;Times;serif"/>
          <w:sz w:val="22"/>
          <w:u w:val="single"/>
        </w:rPr>
        <w:t>Resignation Effective Date</w:t>
      </w:r>
      <w:r>
        <w:rPr>
          <w:rFonts w:ascii="Times New Roman;Times;serif" w:hAnsi="Times New Roman;Times;serif"/>
          <w:sz w:val="20"/>
        </w:rPr>
        <w:t>”</w:t>
      </w:r>
      <w:r>
        <w:rPr>
          <w:rFonts w:ascii="Times New Roman;Times;serif" w:hAnsi="Times New Roman;Times;serif"/>
          <w:sz w:val="22"/>
        </w:rPr>
        <w:t>), then the retiring Agent may (but shall not be obligated to) on behalf of the Lenders and the L/C Issuer, appoint a successor Agent meeting the qualifications set forth above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in no event shall any such successor Agent be a Defaulting Lender).  Whether or not a successor has been appointed, such resignation shall become effective in accordance with such notice on the Resignation Effective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If the Person serving as Agent is a Defaulting Lender pursuant to </w:t>
      </w:r>
      <w:r>
        <w:rPr>
          <w:rFonts w:ascii="Times New Roman;Times;serif" w:hAnsi="Times New Roman;Times;serif"/>
          <w:sz w:val="22"/>
          <w:u w:val="single"/>
        </w:rPr>
        <w:t>clause (d)</w:t>
      </w:r>
      <w:r>
        <w:rPr>
          <w:rFonts w:ascii="Times New Roman;Times;serif" w:hAnsi="Times New Roman;Times;serif"/>
          <w:sz w:val="20"/>
        </w:rPr>
        <w:t xml:space="preserve"> </w:t>
      </w:r>
      <w:r>
        <w:rPr>
          <w:rFonts w:ascii="Times New Roman;Times;serif" w:hAnsi="Times New Roman;Times;serif"/>
          <w:sz w:val="22"/>
        </w:rPr>
        <w:t>of the definition thereof, the Required Lenders may, to the extent permitted by applicable law, by notice in writing to the Borrower and such Person remove such Person as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Times;serif" w:hAnsi="Times New Roman;Times;serif"/>
          <w:sz w:val="22"/>
          <w:u w:val="single"/>
        </w:rPr>
        <w:t>Removal Effective Date</w:t>
      </w:r>
      <w:r>
        <w:rPr>
          <w:rFonts w:ascii="Times New Roman;Times;serif" w:hAnsi="Times New Roman;Times;serif"/>
          <w:sz w:val="20"/>
        </w:rPr>
        <w:t>”</w:t>
      </w:r>
      <w:r>
        <w:rPr>
          <w:rFonts w:ascii="Times New Roman;Times;serif" w:hAnsi="Times New Roman;Times;serif"/>
          <w:sz w:val="22"/>
        </w:rPr>
        <w:t>), then such removal shall nonetheless become effective in accordance with such notice on the Removal Effective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With effect from the Resignation Effective Date or the Removal Effective Date (as applicable) (1) the retiring or removed Agent shall be discharged from its duties and obligations hereunder and under the other Loan Documents, in each case solely in its capacity as Agent and as provided in subsection (d) below (except that in the case of any collateral security held by the Agent on behalf of the Lenders or the L/C Issuer under any of the Loan Documents, the retiring or removed Agent shall continue to hold such collateral security until such time as a successor Agent is appointed), and (2) except for any indemnity payments or other amounts then owed to the retiring or removed Agent, all payments, communications and determinations provided to be made by, to or through the Agent shall instead be made by or to each Lender and the L/C Issuer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(other than as provided in </w:t>
      </w:r>
      <w:r>
        <w:rPr>
          <w:rFonts w:ascii="Times New Roman;Times;serif" w:hAnsi="Times New Roman;Times;serif"/>
          <w:sz w:val="22"/>
          <w:u w:val="single"/>
        </w:rPr>
        <w:t>Section 3.01(g)</w:t>
      </w:r>
      <w:r>
        <w:rPr>
          <w:rFonts w:ascii="Times New Roman;Times;serif" w:hAnsi="Times New Roman;Times;serif"/>
          <w:sz w:val="20"/>
        </w:rPr>
        <w:t xml:space="preserve"> </w:t>
      </w:r>
      <w:r>
        <w:rPr>
          <w:rFonts w:ascii="Times New Roman;Times;serif" w:hAnsi="Times New Roman;Times;serif"/>
          <w:sz w:val="22"/>
        </w:rPr>
        <w:t xml:space="preserve">and other than any rights to indemnity payments or other amounts owed to the retiring or removed Agent as of the Resignation Effective Date or the Removal Effective Date, as applicable), and the retiring or removed Agent shall be discharged from all of its duties and obligations hereunder or under the other Loan Documents (if not already discharged therefrom as provided above in this Section) .  The fees payable by the Borrower to a successor Agent shall be the same as those payable to its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predecessor unless otherwise agreed between the Borrower and such successor.  After the retiring or removed Agent’s resignation or removal hereunder and under the other Loan Documents, the provisions of this Article and </w:t>
      </w:r>
      <w:r>
        <w:rPr>
          <w:rFonts w:ascii="Times New Roman;Times;serif" w:hAnsi="Times New Roman;Times;serif"/>
          <w:sz w:val="22"/>
          <w:u w:val="single"/>
        </w:rPr>
        <w:t>Section 10.04</w:t>
      </w:r>
      <w:r>
        <w:rPr>
          <w:rFonts w:ascii="Times New Roman;Times;serif" w:hAnsi="Times New Roman;Times;serif"/>
          <w:sz w:val="20"/>
        </w:rPr>
        <w:t xml:space="preserve"> </w:t>
      </w:r>
      <w:r>
        <w:rPr>
          <w:rFonts w:ascii="Times New Roman;Times;serif" w:hAnsi="Times New Roman;Times;serif"/>
          <w:sz w:val="22"/>
        </w:rPr>
        <w:t>shall continue in effect for the benefit of such retiring or removed Agent, its sub-agents and their respective Related Parties in respect of any actions taken or omitted to be taken by any of them (i) while the retiring or removed Agent was acting as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Any resignation by Bank of America as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Times;serif" w:hAnsi="Times New Roman;Times;serif"/>
          <w:sz w:val="22"/>
          <w:u w:val="single"/>
        </w:rPr>
        <w:t>Section 2.03(c)</w:t>
      </w:r>
      <w:r>
        <w:rPr>
          <w:rFonts w:ascii="Times New Roman;Times;serif" w:hAnsi="Times New Roman;Times;serif"/>
          <w:sz w:val="22"/>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Times;serif" w:hAnsi="Times New Roman;Times;serif"/>
          <w:sz w:val="22"/>
          <w:u w:val="single"/>
        </w:rPr>
        <w:t>Section 2.04(c)</w:t>
      </w:r>
      <w:r>
        <w:rPr>
          <w:rFonts w:ascii="Times New Roman;Times;serif" w:hAnsi="Times New Roman;Times;serif"/>
          <w:sz w:val="22"/>
        </w:rPr>
        <w:t>.  Upon the appointment by the Borrower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9.07</w:t>
      </w:r>
      <w:r>
        <w:rPr>
          <w:rFonts w:ascii="Times New Roman;Times;serif" w:hAnsi="Times New Roman;Times;serif"/>
          <w:b/>
          <w:sz w:val="22"/>
        </w:rPr>
        <w:t>Non-Reliance on Agent and Other Lenders</w:t>
      </w:r>
      <w:r>
        <w:rPr>
          <w:rFonts w:ascii="Times New Roman;Times;serif" w:hAnsi="Times New Roman;Times;serif"/>
          <w:sz w:val="22"/>
        </w:rPr>
        <w:t xml:space="preserve">.  Each Lender and the L/C Issuer expressly acknowledges that none of the Agent nor the Arranger has made any representation or warranty to it, and that no act by the Agent or the Arranger hereafter taken, including any consent to, and acceptance of any assignment or review of the affairs of any Loan Party or any Affiliate thereof, shall be deemed to constitute any representation or warranty by the Agent or the Arranger to any Lender or the L/C Issuer as to any matter, including whether the Agent or the Arranger have disclosed material information in their (or their Related Parties’) possession.  Each Lender and the L/C Issuer represents to the Agent and the Arranger that it has, independently and without reliance upon the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9.08</w:t>
      </w:r>
      <w:r>
        <w:rPr>
          <w:rFonts w:ascii="Times New Roman;Times;serif" w:hAnsi="Times New Roman;Times;serif"/>
          <w:b/>
          <w:sz w:val="22"/>
        </w:rPr>
        <w:t>No Other Duties, Etc</w:t>
      </w:r>
      <w:r>
        <w:rPr>
          <w:rFonts w:ascii="Times New Roman;Times;serif" w:hAnsi="Times New Roman;Times;serif"/>
          <w:sz w:val="22"/>
        </w:rPr>
        <w:t>.  Anything herein to the contrary notwithstanding, none of the Bookrunners, arrangers or other titles listed on the cover page hereof shall have any powers, duties or responsibilities under this Agreement or any of the other Loan Documents, except in its capacity, as applicable, as the Agent, a Lender or the L/C Issuer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9.09</w:t>
      </w:r>
      <w:r>
        <w:rPr>
          <w:rFonts w:ascii="Times New Roman;Times;serif" w:hAnsi="Times New Roman;Times;serif"/>
          <w:b/>
          <w:sz w:val="22"/>
        </w:rPr>
        <w:t>Guaranty Matters.  </w:t>
      </w:r>
      <w:r>
        <w:rPr>
          <w:rFonts w:ascii="Times New Roman;Times;serif" w:hAnsi="Times New Roman;Times;serif"/>
          <w:sz w:val="22"/>
        </w:rPr>
        <w:t xml:space="preserve">So long as no Event of Default exists or would result therefrom, the Lenders and the L/C Issuer irrevocably authorize the Agent, at its option and in its discretion, to release any Guarantor from its obligations under the Guaranty if such Person ceases to be a Material Domestic Subsidiary as a result of a transaction permitted under the Loan Documents.  Upon request by the Agent at any time, the Required Lenders will confirm in writing the Agent’s authority to release any Guarantor from its obligations under the Guaranty pursuant to this </w:t>
      </w:r>
      <w:r>
        <w:rPr>
          <w:rFonts w:ascii="Times New Roman;Times;serif" w:hAnsi="Times New Roman;Times;serif"/>
          <w:sz w:val="22"/>
          <w:u w:val="single"/>
        </w:rPr>
        <w:t>Section 9.09</w:t>
      </w:r>
      <w:r>
        <w:rPr>
          <w:rFonts w:ascii="Times New Roman;Times;serif" w:hAnsi="Times New Roman;Times;serif"/>
          <w:sz w:val="2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9.10</w:t>
      </w:r>
      <w:r>
        <w:rPr>
          <w:rFonts w:ascii="Times New Roman;Times;serif" w:hAnsi="Times New Roman;Times;serif"/>
          <w:b/>
          <w:sz w:val="22"/>
        </w:rPr>
        <w:t>Certain ERISA Matters.</w:t>
      </w:r>
    </w:p>
    <w:p>
      <w:pPr>
        <w:pStyle w:val="TextBody"/>
        <w:bidi w:val="0"/>
        <w:spacing w:before="0" w:after="0"/>
        <w:ind w:left="216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Each Lender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or any other Loan Party, that at least one of the following is and will be true:</w:t>
      </w:r>
    </w:p>
    <w:p>
      <w:pPr>
        <w:pStyle w:val="TextBody"/>
        <w:bidi w:val="0"/>
        <w:spacing w:before="0" w:after="0"/>
        <w:ind w:left="0" w:right="0" w:firstLine="72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 xml:space="preserve">(A)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84</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such other representation, warranty and covenant as may be agreed in writing between the Agent, in its sole discretion, and such Lender.</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In addition, unless either (1) clause (i) in the immediately preceding clause (a) is true with respect to a Lender or (2) a Lender has provided another representation, warranty and covenant in accordance with 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or any other Loan Party, that the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 under this Agreement, any Loan Document or any documents related hereto or thereto).</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9.11</w:t>
      </w:r>
      <w:r>
        <w:rPr>
          <w:rFonts w:ascii="Times New Roman;Times;serif" w:hAnsi="Times New Roman;Times;serif"/>
          <w:b/>
          <w:sz w:val="22"/>
        </w:rPr>
        <w:t>Recovery of Erroneous Payments.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2"/>
        </w:rPr>
        <w:t>Without limitation of any other provision in this Agreement, if at any time the Agent makes a payment hereunder in error to any Lender or the L/C Issuer (the “</w:t>
      </w:r>
      <w:r>
        <w:rPr>
          <w:rFonts w:ascii="Times New Roman;Times;serif" w:hAnsi="Times New Roman;Times;serif"/>
          <w:sz w:val="22"/>
          <w:u w:val="single"/>
        </w:rPr>
        <w:t>Credit Party</w:t>
      </w:r>
      <w:r>
        <w:rPr>
          <w:rFonts w:ascii="Times New Roman;Times;serif" w:hAnsi="Times New Roman;Times;serif"/>
          <w:sz w:val="20"/>
        </w:rPr>
        <w:t>”</w:t>
      </w:r>
      <w:r>
        <w:rPr>
          <w:rFonts w:ascii="Times New Roman;Times;serif" w:hAnsi="Times New Roman;Times;serif"/>
          <w:sz w:val="22"/>
        </w:rPr>
        <w:t>), whether or not in respect of an Obligation due and owing by the Borrower at such time, where such payment is a Rescindable Amount, then in any such event, each Credit Party receiving a Rescindable Amount severally agrees to repay to the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Agent, at the greater of the Federal Funds Rate and a rate determined by the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Agent shall inform each Credit Party promptly upon determining that any payment made to such Credit Party comprised, in whole or in part, a Rescindable Amount.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X.</w:t>
      </w:r>
    </w:p>
    <w:p>
      <w:pPr>
        <w:pStyle w:val="TextBody"/>
        <w:bidi w:val="0"/>
        <w:spacing w:before="0" w:after="0"/>
        <w:ind w:left="0" w:right="0" w:hanging="0"/>
        <w:jc w:val="center"/>
        <w:rPr>
          <w:caps/>
        </w:rPr>
      </w:pPr>
      <w:r>
        <w:rPr>
          <w:caps/>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MISCELLANEOUS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10.01</w:t>
      </w:r>
      <w:r>
        <w:rPr>
          <w:rFonts w:ascii="Times New Roman;Times;serif" w:hAnsi="Times New Roman;Times;serif"/>
          <w:b/>
          <w:sz w:val="22"/>
        </w:rPr>
        <w:t>Amendments, Etc</w:t>
      </w:r>
      <w:r>
        <w:rPr>
          <w:rFonts w:ascii="Times New Roman;Times;serif" w:hAnsi="Times New Roman;Times;serif"/>
          <w:sz w:val="22"/>
        </w:rPr>
        <w:t xml:space="preserve">.  No amendment or waiver of any provision of this Agreement or any other Loan Document, and no consent to any departure by any Loan Party therefrom, shall be effective unless in writing signed by the Required Lenders and the Borrower or the applicable Loan Party, as the case may be, and acknowledged by the Agent, and each such waiver or consent shall be effective only in the specific instance and for the specific purpose for which given;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no such amendment, waiver or consent shall: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extend or increase the Commitment of any Lender (or reinstate any Commitment terminated pursuant to </w:t>
      </w:r>
      <w:r>
        <w:rPr>
          <w:rFonts w:ascii="Times New Roman;Times;serif" w:hAnsi="Times New Roman;Times;serif"/>
          <w:sz w:val="22"/>
          <w:u w:val="single"/>
        </w:rPr>
        <w:t>Section 8.02</w:t>
      </w:r>
      <w:r>
        <w:rPr>
          <w:rFonts w:ascii="Times New Roman;Times;serif" w:hAnsi="Times New Roman;Times;serif"/>
          <w:sz w:val="22"/>
        </w:rPr>
        <w:t>) without the written consent of such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entitled to receive such payment;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reduce the principal of, or the rate of interest specified herein on, any Loan or Unreimbursed Amounts under Letters of Credit, or (subject to clause (iv) of the second proviso to this </w:t>
      </w:r>
      <w:r>
        <w:rPr>
          <w:rFonts w:ascii="Times New Roman;Times;serif" w:hAnsi="Times New Roman;Times;serif"/>
          <w:sz w:val="22"/>
          <w:u w:val="single"/>
        </w:rPr>
        <w:t>Section 10.01</w:t>
      </w:r>
      <w:r>
        <w:rPr>
          <w:rFonts w:ascii="Times New Roman;Times;serif" w:hAnsi="Times New Roman;Times;serif"/>
          <w:sz w:val="22"/>
        </w:rPr>
        <w:t xml:space="preserve">) any fees or other amounts payable hereunder or under any other Loan Document without the written consent of each Lender entitled to receive such amount;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only the consent of the Required Lenders shall be necessary (i) to amend the definition of “Default Rate” or to waive any obligation of the Borrower to pay interest or Letter of Credit Fees at the Default Rate and (ii) to amend any financial covenant hereunder (or any defined term used therein) even if the effect of such amendment would be to reduce the rate of interest on any Loan or L/C Borrowing or to reduce any fee payable 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change </w:t>
      </w:r>
      <w:r>
        <w:rPr>
          <w:rFonts w:ascii="Times New Roman;Times;serif" w:hAnsi="Times New Roman;Times;serif"/>
          <w:sz w:val="22"/>
          <w:u w:val="single"/>
        </w:rPr>
        <w:t>Section 2.13</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8.03</w:t>
      </w:r>
      <w:r>
        <w:rPr>
          <w:rFonts w:ascii="Times New Roman;Times;serif" w:hAnsi="Times New Roman;Times;serif"/>
          <w:sz w:val="20"/>
        </w:rPr>
        <w:t xml:space="preserve"> </w:t>
      </w:r>
      <w:r>
        <w:rPr>
          <w:rFonts w:ascii="Times New Roman;Times;serif" w:hAnsi="Times New Roman;Times;serif"/>
          <w:sz w:val="22"/>
        </w:rPr>
        <w:t>in a manner that would alter the pro rata sharing of payments required thereby without the written consent of each Lender directly and adversely affected thereby;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 xml:space="preserve">release all or substantially all of the value of the Guaranty without the written consent of each Lender, except to the extent the release of any Guarantor is permitted pursuant to </w:t>
      </w:r>
      <w:r>
        <w:rPr>
          <w:rFonts w:ascii="Times New Roman;Times;serif" w:hAnsi="Times New Roman;Times;serif"/>
          <w:sz w:val="22"/>
          <w:u w:val="single"/>
        </w:rPr>
        <w:t>Section 9.09</w:t>
      </w:r>
      <w:r>
        <w:rPr>
          <w:rFonts w:ascii="Times New Roman;Times;serif" w:hAnsi="Times New Roman;Times;serif"/>
          <w:sz w:val="20"/>
        </w:rPr>
        <w:t xml:space="preserve"> </w:t>
      </w:r>
      <w:r>
        <w:rPr>
          <w:rFonts w:ascii="Times New Roman;Times;serif" w:hAnsi="Times New Roman;Times;serif"/>
          <w:sz w:val="22"/>
        </w:rPr>
        <w:t>or the provisions of the Guaranty (in which case such release may be made by the Agent acting alone);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change any provision of this Section or the definition of “Required Lenders” without the written consent of each Lender directly and adversely affected thereby;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except in connection with any debtor-in-possession financing under the Bankruptcy Code of the United States, subordinate, or enter into any amendment, waiver or consent having the effect of subordinating, the Obligations to any other Debt without the written consent of each Lender, directly and adversely affected thereby;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and, </w:t>
      </w:r>
      <w:r>
        <w:rPr>
          <w:rFonts w:ascii="Times New Roman;Times;serif" w:hAnsi="Times New Roman;Times;serif"/>
          <w:sz w:val="22"/>
          <w:u w:val="single"/>
        </w:rPr>
        <w:t>provided further</w:t>
      </w:r>
      <w:r>
        <w:rPr>
          <w:rFonts w:ascii="Times New Roman;Times;serif" w:hAnsi="Times New Roman;Times;serif"/>
          <w:sz w:val="22"/>
        </w:rPr>
        <w:t xml:space="preserve">,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Agent in addition to the Lenders required above, affect the rights or duties of the Agent under this Agreement or any other Loan Document; (iv) the Fee Letter may be amended, or rights or privileges thereunder waived, in a writing executed only by the parties thereto; (v) this Agreement may be amended and restated without the consent of any Lender (but with the consent of the Borrower and the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(vi) the Autoborrow Agreement and any fee letters executed in connection therewith may be amended, or rights or privileges thereunder waived, in a writing executed only by the parties thereto and (vii) the Agent and the Borrower may make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amendments contemplated by </w:t>
      </w:r>
      <w:r>
        <w:rPr>
          <w:rFonts w:ascii="Times New Roman;Times;serif" w:hAnsi="Times New Roman;Times;serif"/>
          <w:sz w:val="22"/>
          <w:u w:val="single"/>
        </w:rPr>
        <w:t>Section 3.03(b)</w:t>
      </w:r>
      <w:r>
        <w:rPr>
          <w:rFonts w:ascii="Times New Roman;Times;serif" w:hAnsi="Times New Roman;Times;serif"/>
          <w:sz w:val="22"/>
        </w:rPr>
        <w:t>.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In addition, notwithstanding the foregoing, the Borrower may, by written notice to the Agent from time to time, make one or more offers (each, a “</w:t>
      </w:r>
      <w:r>
        <w:rPr>
          <w:rFonts w:ascii="Times New Roman;Times;serif" w:hAnsi="Times New Roman;Times;serif"/>
          <w:sz w:val="22"/>
          <w:u w:val="single"/>
        </w:rPr>
        <w:t>Loan Modification Offer</w:t>
      </w:r>
      <w:r>
        <w:rPr>
          <w:rFonts w:ascii="Times New Roman;Times;serif" w:hAnsi="Times New Roman;Times;serif"/>
          <w:sz w:val="20"/>
        </w:rPr>
        <w:t>”</w:t>
      </w:r>
      <w:r>
        <w:rPr>
          <w:rFonts w:ascii="Times New Roman;Times;serif" w:hAnsi="Times New Roman;Times;serif"/>
          <w:sz w:val="22"/>
        </w:rPr>
        <w:t>) to all the Lenders to make one or more amendments or modifications to (A) allow the maturity of the Committed Loans of the accepting Lenders to be extended and (B) increase the Applicable Rate and/or fees payable with respect to the Committed Loans and Commitments of the accepting Lenders (“</w:t>
      </w:r>
      <w:r>
        <w:rPr>
          <w:rFonts w:ascii="Times New Roman;Times;serif" w:hAnsi="Times New Roman;Times;serif"/>
          <w:sz w:val="22"/>
          <w:u w:val="single"/>
        </w:rPr>
        <w:t>Permitted Amendments</w:t>
      </w:r>
      <w:r>
        <w:rPr>
          <w:rFonts w:ascii="Times New Roman;Times;serif" w:hAnsi="Times New Roman;Times;serif"/>
          <w:sz w:val="20"/>
        </w:rPr>
        <w:t>”</w:t>
      </w:r>
      <w:r>
        <w:rPr>
          <w:rFonts w:ascii="Times New Roman;Times;serif" w:hAnsi="Times New Roman;Times;serif"/>
          <w:sz w:val="22"/>
        </w:rPr>
        <w:t>) pursuant to procedures reasonably specified by the Agent and reasonably acceptable to the Borrower.  Such notice shall set forth (i) the terms and conditions of the requested Permitted Amendment and (ii) the date on which such Permitted Amendment is requested to become effective.  Permitted Amendments shall become effective only with respect to the Committed Loans and/or Commitments of the Lenders that accept the applicable Loan Modification Offer (such Lenders, the “</w:t>
      </w:r>
      <w:r>
        <w:rPr>
          <w:rFonts w:ascii="Times New Roman;Times;serif" w:hAnsi="Times New Roman;Times;serif"/>
          <w:sz w:val="22"/>
          <w:u w:val="single"/>
        </w:rPr>
        <w:t>Accepting Lenders</w:t>
      </w:r>
      <w:r>
        <w:rPr>
          <w:rFonts w:ascii="Times New Roman;Times;serif" w:hAnsi="Times New Roman;Times;serif"/>
          <w:sz w:val="20"/>
        </w:rPr>
        <w:t>”</w:t>
      </w:r>
      <w:r>
        <w:rPr>
          <w:rFonts w:ascii="Times New Roman;Times;serif" w:hAnsi="Times New Roman;Times;serif"/>
          <w:sz w:val="22"/>
        </w:rPr>
        <w:t xml:space="preserve">) and, in the case of any Accepting Lender, only with respect to such Lender’s Committed Loans and/or Commitments as to which such Lender’s acceptance has been made.  The Borrower, each other Loan Party and each Accepting Lender shall execute and deliver to the Agent a Loan Modification Agreement and such other documentation as the Agent shall reasonably specify to evidence the acceptance of the Permitted Amendments and the terms and conditions thereof, and the Loan Parties shall also deliver such resolutions, opinions and other documents as reasonably requested by the Agent.  The Agent shall promptly notify each Lender as to the effectiveness of each Loan Modification Agreement.  Each of the parties hereto hereby agrees that (1) upon the effectiveness of any Loan Modification Agreement, this Agreement shall be deemed amended to the extent (but only to the extent) necessary to reflect the existence and terms of the Permitted Amendment evidenced thereby and only with respect to the Committed Loans and Commitments of the Accepting Lenders as to which such Lenders’ acceptance has been made and (2) any applicable Lender who is not an Accepting Lender may be replaced by the Borrower in accordance with </w:t>
      </w:r>
      <w:r>
        <w:rPr>
          <w:rFonts w:ascii="Times New Roman;Times;serif" w:hAnsi="Times New Roman;Times;serif"/>
          <w:sz w:val="22"/>
          <w:u w:val="single"/>
        </w:rPr>
        <w:t>Section 10.13</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Notwithstanding any provision herein to the contrary the Agent and the Borrower may amend, modify or supplement this Agreement or any other Loan Document to cure or correct administrative errors or omissions, any ambiguity, omission, defect or inconsistency or to effect administrative changes, and such amendment shall become effective without any further consent of any other party to such Loan Document so long as (i) such amendment, modification or supplement does not adversely affect the rights of any Lender or other holder of Obligations in any material respect and (ii) the Lenders shall have received at least five Business Days’ prior written notice thereof and the Agent shall not have received, within five Business Days of the date of such notice to the Lenders, a written notice from the Required Lenders stating that the Required Lenders object to such amendment.</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10.02</w:t>
      </w:r>
      <w:r>
        <w:rPr>
          <w:rFonts w:ascii="Times New Roman;Times;serif" w:hAnsi="Times New Roman;Times;serif"/>
          <w:b/>
          <w:sz w:val="22"/>
        </w:rPr>
        <w:t>Notices; Effectiveness; Electronic Communication</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Notices Generally</w:t>
      </w:r>
      <w:r>
        <w:rPr>
          <w:rFonts w:ascii="Times New Roman;Times;serif" w:hAnsi="Times New Roman;Times;serif"/>
          <w:sz w:val="22"/>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87</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expressly permitted hereunder to be given by telephone shall be made to the applicable telephone number, as follows:</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 xml:space="preserve">(i)if to the Borrower or any other Loan Party, the Agent, the L/C Issuer or the Swing Line Lender, to the address, fax number, e-mail address or telephone number specified for such Person on </w:t>
      </w:r>
      <w:r>
        <w:rPr>
          <w:rFonts w:ascii="Times New Roman;Times;serif" w:hAnsi="Times New Roman;Times;serif"/>
          <w:sz w:val="22"/>
          <w:u w:val="single"/>
        </w:rPr>
        <w:t>Schedule 10.02</w:t>
      </w:r>
      <w:r>
        <w:rPr>
          <w:rFonts w:ascii="Times New Roman;Times;serif" w:hAnsi="Times New Roman;Times;serif"/>
          <w:sz w:val="22"/>
        </w:rPr>
        <w:t>; and</w:t>
      </w:r>
    </w:p>
    <w:p>
      <w:pPr>
        <w:pStyle w:val="TextBody"/>
        <w:bidi w:val="0"/>
        <w:spacing w:before="0" w:after="240"/>
        <w:ind w:left="2556" w:right="0" w:firstLine="720"/>
        <w:jc w:val="both"/>
        <w:rPr>
          <w:rFonts w:ascii="Times New Roman;Times;serif" w:hAnsi="Times New Roman;Times;serif"/>
          <w:sz w:val="22"/>
        </w:rPr>
      </w:pPr>
      <w:r>
        <w:rPr>
          <w:rFonts w:ascii="Times New Roman;Times;serif" w:hAnsi="Times New Roman;Times;serif"/>
          <w:sz w:val="22"/>
        </w:rPr>
        <w:t>(ii)if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Times;serif" w:hAnsi="Times New Roman;Times;serif"/>
          <w:sz w:val="22"/>
          <w:u w:val="single"/>
        </w:rPr>
        <w:t>subsection (b)</w:t>
      </w:r>
      <w:r>
        <w:rPr>
          <w:rFonts w:ascii="Times New Roman;Times;serif" w:hAnsi="Times New Roman;Times;serif"/>
          <w:sz w:val="20"/>
        </w:rPr>
        <w:t xml:space="preserve"> </w:t>
      </w:r>
      <w:r>
        <w:rPr>
          <w:rFonts w:ascii="Times New Roman;Times;serif" w:hAnsi="Times New Roman;Times;serif"/>
          <w:sz w:val="22"/>
        </w:rPr>
        <w:t xml:space="preserve">below, shall be effective as provided in such </w:t>
      </w:r>
      <w:r>
        <w:rPr>
          <w:rFonts w:ascii="Times New Roman;Times;serif" w:hAnsi="Times New Roman;Times;serif"/>
          <w:sz w:val="22"/>
          <w:u w:val="single"/>
        </w:rPr>
        <w:t>subsection (b)</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Electronic Communications</w:t>
      </w:r>
      <w:r>
        <w:rPr>
          <w:rFonts w:ascii="Times New Roman;Times;serif" w:hAnsi="Times New Roman;Times;serif"/>
          <w:sz w:val="22"/>
        </w:rPr>
        <w:t xml:space="preserve">.  Notices and other communications to the Agent, the Lenders, the Swing Line Lender and the L/C Issuer hereunder may be delivered or furnished by electronic communication (including e-mail, FPML messaging, and Internet or intranet websites) pursuant to an electronic communications agreement (or such other procedures approved by the Agent in its sole discretion);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foregoing shall not apply to notices to any Lender, the Swing Line Lender or the L/C Issuer pursuant to </w:t>
      </w:r>
      <w:r>
        <w:rPr>
          <w:rFonts w:ascii="Times New Roman;Times;serif" w:hAnsi="Times New Roman;Times;serif"/>
          <w:sz w:val="22"/>
          <w:u w:val="single"/>
        </w:rPr>
        <w:t>Article II</w:t>
      </w:r>
      <w:r>
        <w:rPr>
          <w:rFonts w:ascii="Times New Roman;Times;serif" w:hAnsi="Times New Roman;Times;serif"/>
          <w:sz w:val="20"/>
        </w:rPr>
        <w:t xml:space="preserve"> </w:t>
      </w:r>
      <w:r>
        <w:rPr>
          <w:rFonts w:ascii="Times New Roman;Times;serif" w:hAnsi="Times New Roman;Times;serif"/>
          <w:sz w:val="22"/>
        </w:rPr>
        <w:t xml:space="preserve">if such Lender, the Swing Line Lender or the L/C Issuer, as applicable, has notified the Agent that it is incapable of receiving notices under such </w:t>
      </w:r>
      <w:r>
        <w:rPr>
          <w:rFonts w:ascii="Times New Roman;Times;serif" w:hAnsi="Times New Roman;Times;serif"/>
          <w:sz w:val="22"/>
          <w:u w:val="single"/>
        </w:rPr>
        <w:t>Article II</w:t>
      </w:r>
      <w:r>
        <w:rPr>
          <w:rFonts w:ascii="Times New Roman;Times;serif" w:hAnsi="Times New Roman;Times;serif"/>
          <w:sz w:val="20"/>
        </w:rPr>
        <w:t xml:space="preserve"> </w:t>
      </w:r>
      <w:r>
        <w:rPr>
          <w:rFonts w:ascii="Times New Roman;Times;serif" w:hAnsi="Times New Roman;Times;serif"/>
          <w:sz w:val="22"/>
        </w:rPr>
        <w:t xml:space="preserve">by electronic communication. The Agent, the Swing Line Lender, the L/C Issuer or the Borrower may each, in its discretion, agree to accept notices and other communications to it hereunder by electronic communications pursuant to procedures approved by it,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approval of such procedures may be limited to particular notices or communications.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2"/>
        </w:rPr>
        <w:t xml:space="preserve">Unless the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acknowledgement) and (ii)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for both </w:t>
      </w:r>
      <w:r>
        <w:rPr>
          <w:rFonts w:ascii="Times New Roman;Times;serif" w:hAnsi="Times New Roman;Times;serif"/>
          <w:sz w:val="22"/>
          <w:u w:val="single"/>
        </w:rPr>
        <w:t>clauses (i</w:t>
      </w:r>
      <w:r>
        <w:rPr>
          <w:rFonts w:ascii="Times New Roman;Times;serif" w:hAnsi="Times New Roman;Times;serif"/>
          <w:sz w:val="22"/>
        </w:rPr>
        <w:t>) and (</w:t>
      </w:r>
      <w:r>
        <w:rPr>
          <w:rFonts w:ascii="Times New Roman;Times;serif" w:hAnsi="Times New Roman;Times;serif"/>
          <w:sz w:val="22"/>
          <w:u w:val="single"/>
        </w:rPr>
        <w:t>ii</w:t>
      </w:r>
      <w:r>
        <w:rPr>
          <w:rFonts w:ascii="Times New Roman;Times;serif" w:hAnsi="Times New Roman;Times;serif"/>
          <w:sz w:val="22"/>
        </w:rPr>
        <w:t xml:space="preserve">), if such notice or other communication is not sent during the normal business hours of the recipient, such notice, email or communication shall be deemed to have been sent at the opening of business on the next business day for the recipient. </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The Platform</w:t>
      </w:r>
      <w:r>
        <w:rPr>
          <w:rFonts w:ascii="Times New Roman;Times;serif" w:hAnsi="Times New Roman;Times;serif"/>
          <w:sz w:val="22"/>
        </w:rPr>
        <w:t xml:space="preserve">.  THE PLATFORM IS PROVIDED “AS IS” AND “AS AVAILABLE.”  THE AGENT PARTIES (AS DEFINED BELOW) DO NOT WARRANT THE ACCURACY OR COMPLETENESS OF THE BORROWER MATERIALS OR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88</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 or any of its Related Parties (collectively, the “</w:t>
      </w:r>
      <w:r>
        <w:rPr>
          <w:rFonts w:ascii="Times New Roman;Times;serif" w:hAnsi="Times New Roman;Times;serif"/>
          <w:sz w:val="22"/>
          <w:u w:val="single"/>
        </w:rPr>
        <w:t>Agent Parties</w:t>
      </w:r>
      <w:r>
        <w:rPr>
          <w:rFonts w:ascii="Times New Roman;Times;serif" w:hAnsi="Times New Roman;Times;serif"/>
          <w:sz w:val="20"/>
        </w:rPr>
        <w:t>”</w:t>
      </w:r>
      <w:r>
        <w:rPr>
          <w:rFonts w:ascii="Times New Roman;Times;serif" w:hAnsi="Times New Roman;Times;serif"/>
          <w:sz w:val="22"/>
        </w:rPr>
        <w:t>) have any liability to the Borrower, any Lender, the L/C Issuer or any other Person for losses, claims, damages, liabilities or expenses of any kind (whether in tort, contract or otherwise) arising out of the Borrower’s, any other Loan Party’s or the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Change of Address, Etc</w:t>
      </w:r>
      <w:r>
        <w:rPr>
          <w:rFonts w:ascii="Times New Roman;Times;serif" w:hAnsi="Times New Roman;Times;serif"/>
          <w:sz w:val="22"/>
        </w:rPr>
        <w:t>.  Each of the Borrower, the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Agent, the L/C Issuer and the Swing Line Lender.  In addition, each Lender agrees to notify the Agent from time to time to ensure that the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Reliance by Agent, L/C Issuer and Lenders</w:t>
      </w:r>
      <w:r>
        <w:rPr>
          <w:rFonts w:ascii="Times New Roman;Times;serif" w:hAnsi="Times New Roman;Times;serif"/>
          <w:sz w:val="22"/>
        </w:rPr>
        <w:t>.  The Agent, the L/C Issuer and the Lenders shall be entitled to rely and act upon any notices (including telephonic or electronic Committed Loan Notices, Letter of Credit Applications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Agent, the L/C Issuer, each Lender and the Related Parties of each of them from all losses, costs, expenses and liabilities resulting from the reliance by such Person on each notice purportedly given by or on behalf of the Borrower, except to the extent such losses, costs, expenses and liabilities resulted from the gross negligence or willful misconduct of such Person.  All telephonic notices to and other telephonic communications with the Agent may be recorded by the Agent, and each of the parties hereto hereby consents to such recording.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10.03</w:t>
      </w:r>
      <w:r>
        <w:rPr>
          <w:rFonts w:ascii="Times New Roman;Times;serif" w:hAnsi="Times New Roman;Times;serif"/>
          <w:b/>
          <w:sz w:val="22"/>
        </w:rPr>
        <w:t>No Waiver; Cumulative Remedies</w:t>
      </w:r>
      <w:r>
        <w:rPr>
          <w:rFonts w:ascii="Times New Roman;Times;serif" w:hAnsi="Times New Roman;Times;serif"/>
          <w:sz w:val="22"/>
        </w:rPr>
        <w:t xml:space="preserve">.  No failure by any Lender, the L/C Issuer or the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 in accordance with </w:t>
      </w:r>
      <w:r>
        <w:rPr>
          <w:rFonts w:ascii="Times New Roman;Times;serif" w:hAnsi="Times New Roman;Times;serif"/>
          <w:sz w:val="22"/>
          <w:u w:val="single"/>
        </w:rPr>
        <w:t>Section 8.02</w:t>
      </w:r>
      <w:r>
        <w:rPr>
          <w:rFonts w:ascii="Times New Roman;Times;serif" w:hAnsi="Times New Roman;Times;serif"/>
          <w:sz w:val="20"/>
        </w:rPr>
        <w:t xml:space="preserve"> </w:t>
      </w:r>
      <w:r>
        <w:rPr>
          <w:rFonts w:ascii="Times New Roman;Times;serif" w:hAnsi="Times New Roman;Times;serif"/>
          <w:sz w:val="22"/>
        </w:rPr>
        <w:t xml:space="preserve">for the benefit of all the Lenders and the L/C Issuer;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the foregoing shall not prohibit (a) the Agent from exercising on its own behalf the rights and remedies that inure to its benefit (solely in its capacity as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Times;serif" w:hAnsi="Times New Roman;Times;serif"/>
          <w:sz w:val="22"/>
          <w:u w:val="single"/>
        </w:rPr>
        <w:t>Section 10.08</w:t>
      </w:r>
      <w:r>
        <w:rPr>
          <w:rFonts w:ascii="Times New Roman;Times;serif" w:hAnsi="Times New Roman;Times;serif"/>
          <w:sz w:val="20"/>
        </w:rPr>
        <w:t xml:space="preserve"> </w:t>
      </w:r>
      <w:r>
        <w:rPr>
          <w:rFonts w:ascii="Times New Roman;Times;serif" w:hAnsi="Times New Roman;Times;serif"/>
          <w:sz w:val="22"/>
        </w:rPr>
        <w:t xml:space="preserve">(subject to the terms of </w:t>
      </w:r>
      <w:r>
        <w:rPr>
          <w:rFonts w:ascii="Times New Roman;Times;serif" w:hAnsi="Times New Roman;Times;serif"/>
          <w:sz w:val="22"/>
          <w:u w:val="single"/>
        </w:rPr>
        <w:t>Section 2.13</w:t>
      </w:r>
      <w:r>
        <w:rPr>
          <w:rFonts w:ascii="Times New Roman;Times;serif" w:hAnsi="Times New Roman;Times;serif"/>
          <w:sz w:val="22"/>
        </w:rPr>
        <w:t xml:space="preserve">), or (d) any Lender from filing proofs of claim or appearing and filing pleadings on its own behalf during the pendency of a proceeding relative to any Loan Party under any Debtor Relief Law; and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xml:space="preserve">, that if at any time there is no Person acting as Agent hereunder and under the other Loan Documents, then (i) the Required Lenders shall have the rights otherwise ascribed to the Agent pursuant to </w:t>
      </w:r>
      <w:r>
        <w:rPr>
          <w:rFonts w:ascii="Times New Roman;Times;serif" w:hAnsi="Times New Roman;Times;serif"/>
          <w:sz w:val="22"/>
          <w:u w:val="single"/>
        </w:rPr>
        <w:t>Section 8.02</w:t>
      </w:r>
      <w:r>
        <w:rPr>
          <w:rFonts w:ascii="Times New Roman;Times;serif" w:hAnsi="Times New Roman;Times;serif"/>
          <w:sz w:val="20"/>
        </w:rPr>
        <w:t xml:space="preserve"> </w:t>
      </w:r>
      <w:r>
        <w:rPr>
          <w:rFonts w:ascii="Times New Roman;Times;serif" w:hAnsi="Times New Roman;Times;serif"/>
          <w:sz w:val="22"/>
        </w:rPr>
        <w:t xml:space="preserve">and (ii) in addition to the matters set forth in </w:t>
      </w:r>
      <w:r>
        <w:rPr>
          <w:rFonts w:ascii="Times New Roman;Times;serif" w:hAnsi="Times New Roman;Times;serif"/>
          <w:sz w:val="22"/>
          <w:u w:val="single"/>
        </w:rPr>
        <w:t>clauses (b)</w:t>
      </w:r>
      <w:r>
        <w:rPr>
          <w:rFonts w:ascii="Times New Roman;Times;serif" w:hAnsi="Times New Roman;Times;serif"/>
          <w:sz w:val="22"/>
        </w:rPr>
        <w:t xml:space="preserve">, </w:t>
      </w:r>
      <w:r>
        <w:rPr>
          <w:rFonts w:ascii="Times New Roman;Times;serif" w:hAnsi="Times New Roman;Times;serif"/>
          <w:sz w:val="22"/>
          <w:u w:val="single"/>
        </w:rPr>
        <w:t>(c)</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(d)</w:t>
      </w:r>
      <w:r>
        <w:rPr>
          <w:rFonts w:ascii="Times New Roman;Times;serif" w:hAnsi="Times New Roman;Times;serif"/>
          <w:sz w:val="20"/>
        </w:rPr>
        <w:t xml:space="preserve"> </w:t>
      </w:r>
      <w:r>
        <w:rPr>
          <w:rFonts w:ascii="Times New Roman;Times;serif" w:hAnsi="Times New Roman;Times;serif"/>
          <w:sz w:val="22"/>
        </w:rPr>
        <w:t xml:space="preserve">of the preceding proviso and subject to </w:t>
      </w:r>
      <w:r>
        <w:rPr>
          <w:rFonts w:ascii="Times New Roman;Times;serif" w:hAnsi="Times New Roman;Times;serif"/>
          <w:sz w:val="22"/>
          <w:u w:val="single"/>
        </w:rPr>
        <w:t>Section 2.13</w:t>
      </w:r>
      <w:r>
        <w:rPr>
          <w:rFonts w:ascii="Times New Roman;Times;serif" w:hAnsi="Times New Roman;Times;serif"/>
          <w:sz w:val="22"/>
        </w:rPr>
        <w:t>, any Lender may, with the consent of the Required Lenders, enforce any rights and remedies available to it and as authorized by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10.04</w:t>
      </w:r>
      <w:r>
        <w:rPr>
          <w:rFonts w:ascii="Times New Roman;Times;serif" w:hAnsi="Times New Roman;Times;serif"/>
          <w:b/>
          <w:sz w:val="22"/>
        </w:rPr>
        <w:t>Expenses; Indemnity; Damage Waiver</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Costs and Expenses</w:t>
      </w:r>
      <w:r>
        <w:rPr>
          <w:rFonts w:ascii="Times New Roman;Times;serif" w:hAnsi="Times New Roman;Times;serif"/>
          <w:sz w:val="22"/>
        </w:rPr>
        <w:t xml:space="preserve">.  The Borrower shall pay (i) except as provided in </w:t>
      </w:r>
      <w:r>
        <w:rPr>
          <w:rFonts w:ascii="Times New Roman;Times;serif" w:hAnsi="Times New Roman;Times;serif"/>
          <w:sz w:val="22"/>
          <w:u w:val="single"/>
        </w:rPr>
        <w:t>Section 10.06(b)(iv)</w:t>
      </w:r>
      <w:r>
        <w:rPr>
          <w:rFonts w:ascii="Times New Roman;Times;serif" w:hAnsi="Times New Roman;Times;serif"/>
          <w:sz w:val="22"/>
        </w:rPr>
        <w:t>, all reasonable out-of-pocket expenses incurred by the Agent and its Affiliates (including the reasonable fees, charges and disbursements of counsel for the Agent), in connection with the syndication of the credit facilities provided for herein, the preparation, negotiation, execution, delivery and administration of this Agreement, the other Loan Documents, the Collateral Documents, any Intercreditor Agreement,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Agent, any Lender or the L/C Issuer (including the fees, charges and disbursements of any counsel for the Agent, any Lender or the L/C Issuer), in connection with the enforcement or protection of its rights (A) in connection with this Agreement, the other Loan Documents, the Collateral Documents or any Intercreditor Agreement, including its rights under this Section, or (B) in connection with the Loans made or Letters of Credit issued hereunder, including all such out-of-pocket expenses incurred during any workout, restructuring or negotiations in respect of such Loans or Letters of Credit.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Indemnification by the Borrower</w:t>
      </w:r>
      <w:r>
        <w:rPr>
          <w:rFonts w:ascii="Times New Roman;Times;serif" w:hAnsi="Times New Roman;Times;serif"/>
          <w:sz w:val="22"/>
        </w:rPr>
        <w:t>.  The Borrower shall indemnify the Agent (and any sub-agent thereof), each Lender and the L/C Issuer, and each Related Party of any of the foregoing Persons (each such Person being called an “</w:t>
      </w:r>
      <w:r>
        <w:rPr>
          <w:rFonts w:ascii="Times New Roman;Times;serif" w:hAnsi="Times New Roman;Times;serif"/>
          <w:sz w:val="22"/>
          <w:u w:val="single"/>
        </w:rPr>
        <w:t>Indemnitee</w:t>
      </w:r>
      <w:r>
        <w:rPr>
          <w:rFonts w:ascii="Times New Roman;Times;serif" w:hAnsi="Times New Roman;Times;serif"/>
          <w:sz w:val="20"/>
        </w:rPr>
        <w:t>”</w:t>
      </w:r>
      <w:r>
        <w:rPr>
          <w:rFonts w:ascii="Times New Roman;Times;serif" w:hAnsi="Times New Roman;Times;serif"/>
          <w:sz w:val="22"/>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90</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any Collateral Document, any Intercreditor Agreement or any agreement or instrument contemplated hereby or thereby, the performance by the parties hereto of their respective obligations hereunder or thereunder, the consummation of the transactions contemplated hereby or thereby, or, in the case of the Agent (and any sub-agent thereof) and its Related Parties only, the administration of this Agreement, the other Loan Documents, the Collateral Documents and any Intercreditor Agreement,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Liabilities and Costs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Borrower against an Indemnitee for breach in bad faith of such Indemnitee’s obligations hereunder or under any other Loan Document or Collateral Document, if the Borrower has obtained a final and nonappealable judgment in its favor on such claim as determined by a court of competent jurisdiction or (z) arise solely from claims of any Indemnitee against one or more other Indemnitees that do not involve or have not resulted from (A) an act or omission of an Indemnitee in its capacity as Agent, L/C Issuer, arranger or bookrunner and (B) an act or omission (or an alleged act or omission) by the Borrower or any Subsidiary.  Without limiting the provisions of </w:t>
      </w:r>
      <w:r>
        <w:rPr>
          <w:rFonts w:ascii="Times New Roman;Times;serif" w:hAnsi="Times New Roman;Times;serif"/>
          <w:sz w:val="22"/>
          <w:u w:val="single"/>
        </w:rPr>
        <w:t>Section 3.01(c)</w:t>
      </w:r>
      <w:r>
        <w:rPr>
          <w:rFonts w:ascii="Times New Roman;Times;serif" w:hAnsi="Times New Roman;Times;serif"/>
          <w:sz w:val="22"/>
        </w:rPr>
        <w:t xml:space="preserve">, this </w:t>
      </w:r>
      <w:r>
        <w:rPr>
          <w:rFonts w:ascii="Times New Roman;Times;serif" w:hAnsi="Times New Roman;Times;serif"/>
          <w:sz w:val="22"/>
          <w:u w:val="single"/>
        </w:rPr>
        <w:t>Section 10.04(b)</w:t>
      </w:r>
      <w:r>
        <w:rPr>
          <w:rFonts w:ascii="Times New Roman;Times;serif" w:hAnsi="Times New Roman;Times;serif"/>
          <w:sz w:val="20"/>
        </w:rPr>
        <w:t xml:space="preserve"> </w:t>
      </w:r>
      <w:r>
        <w:rPr>
          <w:rFonts w:ascii="Times New Roman;Times;serif" w:hAnsi="Times New Roman;Times;serif"/>
          <w:sz w:val="22"/>
        </w:rPr>
        <w:t>shall not apply with respect to Taxes other than any Taxes that represent losses, claims, damages, etc. arising from any non-Tax claim.</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Reimbursement by Lenders</w:t>
      </w:r>
      <w:r>
        <w:rPr>
          <w:rFonts w:ascii="Times New Roman;Times;serif" w:hAnsi="Times New Roman;Times;serif"/>
          <w:sz w:val="22"/>
        </w:rPr>
        <w:t xml:space="preserve">.  To the extent that the Borrower for any reason fails to indefeasibly pay any amount required under subsection (a) or (b) of this Section to be paid by it to the Agent (or any sub-agent thereof), the L/C Issuer, the Swing Line Lender or any Related Party of any of the foregoing, each Lender severally agrees to pay to the Agent (or any such sub-agent), the L/C Issuer, the Swing Line Lender or such Related Party, as the case may be, such Lender's pro rata share (determined as of the time that the applicable unreimbursed expense or indemnity payment is sought based on each Lender’s share of the outstanding Loans, unfunded Commitments and participation interests in Swing Line Loans and L/C Obligations of all Lenders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Times;serif" w:hAnsi="Times New Roman;Times;serif"/>
          <w:sz w:val="22"/>
          <w:u w:val="single"/>
        </w:rPr>
        <w:t>provided</w:t>
      </w:r>
      <w:r>
        <w:rPr>
          <w:rFonts w:ascii="Times New Roman;Times;serif" w:hAnsi="Times New Roman;Times;serif"/>
          <w:sz w:val="22"/>
        </w:rPr>
        <w:t xml:space="preserve">, further that, the unreimbursed expense or indemnified loss, claim, damage, liability or related expense, as the case may be, was incurred by or asserted against the Agent (or any such sub-agent) or the L/C Issuer or the Swing Line Lender in its capacity as such, or against any Related Party of any of the foregoing acting for the Agent (or any such sub-agent), the L/C Issuer or the Swing Line Lender in connection with such capacity.   The obligations of the Lenders under this subsection (c) are subject to the provisions of </w:t>
      </w:r>
      <w:r>
        <w:rPr>
          <w:rFonts w:ascii="Times New Roman;Times;serif" w:hAnsi="Times New Roman;Times;serif"/>
          <w:sz w:val="22"/>
          <w:u w:val="single"/>
        </w:rPr>
        <w:t>Section 2.12(d)</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Waiver of Consequential Damages, Etc</w:t>
      </w:r>
      <w:r>
        <w:rPr>
          <w:rFonts w:ascii="Times New Roman;Times;serif" w:hAnsi="Times New Roman;Times;serif"/>
          <w:sz w:val="22"/>
        </w:rPr>
        <w:t xml:space="preserve">.  To the fullest extent permitted by applicable law, neither any Loan Party nor any Indemnitee shall assert, and each party hereby waives, any claim against any Indemnitee or any Loan Party, on any theory of liability, for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(other than an Indemnitee may assert, and does not waive, a claim against any Loan Party, in respect of any such damages incurred or paid by an Indemnitee to a third party).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Payments</w:t>
      </w:r>
      <w:r>
        <w:rPr>
          <w:rFonts w:ascii="Times New Roman;Times;serif" w:hAnsi="Times New Roman;Times;serif"/>
          <w:sz w:val="22"/>
        </w:rPr>
        <w:t>.  All amounts due under this Section shall be payable not later than ten Business Days after written demand therefor.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Survival</w:t>
      </w:r>
      <w:r>
        <w:rPr>
          <w:rFonts w:ascii="Times New Roman;Times;serif" w:hAnsi="Times New Roman;Times;serif"/>
          <w:sz w:val="22"/>
        </w:rPr>
        <w:t xml:space="preserve">.  The agreements in this Section and the indemnity provisions of </w:t>
      </w:r>
      <w:r>
        <w:rPr>
          <w:rFonts w:ascii="Times New Roman;Times;serif" w:hAnsi="Times New Roman;Times;serif"/>
          <w:sz w:val="22"/>
          <w:u w:val="single"/>
        </w:rPr>
        <w:t>Section 10.02(e)</w:t>
      </w:r>
      <w:r>
        <w:rPr>
          <w:rFonts w:ascii="Times New Roman;Times;serif" w:hAnsi="Times New Roman;Times;serif"/>
          <w:sz w:val="20"/>
        </w:rPr>
        <w:t xml:space="preserve"> </w:t>
      </w:r>
      <w:r>
        <w:rPr>
          <w:rFonts w:ascii="Times New Roman;Times;serif" w:hAnsi="Times New Roman;Times;serif"/>
          <w:sz w:val="22"/>
        </w:rPr>
        <w:t>shall survive the resignation of the Agent, the L/C Issuer and the Swing Line Lender, the replacement of any Lender, the termination of the Aggregate Commitments and the repayment, satisfaction or discharge of all the other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10.05</w:t>
      </w:r>
      <w:r>
        <w:rPr>
          <w:rFonts w:ascii="Times New Roman;Times;serif" w:hAnsi="Times New Roman;Times;serif"/>
          <w:b/>
          <w:sz w:val="22"/>
        </w:rPr>
        <w:t>Payments Set Aside</w:t>
      </w:r>
      <w:r>
        <w:rPr>
          <w:rFonts w:ascii="Times New Roman;Times;serif" w:hAnsi="Times New Roman;Times;serif"/>
          <w:sz w:val="22"/>
        </w:rPr>
        <w:t>.  To the extent that any payment by or on behalf of the Borrower is made to the Agent, the L/C Issuer or any Lender, or the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Agent upon demand its applicable share (without duplication) of any amount so recovered from or repaid by the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10.06</w:t>
      </w:r>
      <w:r>
        <w:rPr>
          <w:rFonts w:ascii="Times New Roman;Times;serif" w:hAnsi="Times New Roman;Times;serif"/>
          <w:b/>
          <w:sz w:val="22"/>
        </w:rPr>
        <w:t>Successors and Assigns</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Successors and Assigns Generally</w:t>
      </w:r>
      <w:r>
        <w:rPr>
          <w:rFonts w:ascii="Times New Roman;Times;serif" w:hAnsi="Times New Roman;Times;serif"/>
          <w:sz w:val="22"/>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Agent,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L/C Issuer and the Lenders) any legal or equitable right, remedy or claim under or by reason of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Assignments by Lenders</w:t>
      </w:r>
      <w:r>
        <w:rPr>
          <w:rFonts w:ascii="Times New Roman;Times;serif" w:hAnsi="Times New Roman;Times;serif"/>
          <w:sz w:val="22"/>
        </w:rPr>
        <w:t xml:space="preserve">.  Any Lender may at any time assign to one or more assignees all or a portion of its rights and obligations under this Agreement (including all or a portion of its Commitment and the Loans (including for purposes of this subsection (b), participations in L/C Obligations and in Swing Line Loans) at the time owing to it);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any such assignment shall be subject to the following conditions:</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(i)</w:t>
      </w:r>
      <w:r>
        <w:rPr>
          <w:rFonts w:ascii="Times New Roman;Times;serif" w:hAnsi="Times New Roman;Times;serif"/>
          <w:sz w:val="22"/>
          <w:u w:val="single"/>
        </w:rPr>
        <w:t>Minimum Amounts</w:t>
      </w:r>
      <w:r>
        <w:rPr>
          <w:rFonts w:ascii="Times New Roman;Times;serif" w:hAnsi="Times New Roman;Times;serif"/>
          <w:sz w:val="22"/>
        </w:rPr>
        <w:t>.</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2"/>
        </w:rPr>
        <w:t xml:space="preserve">(A)in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w:t>
      </w:r>
      <w:r>
        <w:rPr>
          <w:rFonts w:ascii="Times New Roman;Times;serif" w:hAnsi="Times New Roman;Times;serif"/>
          <w:sz w:val="22"/>
          <w:u w:val="single"/>
        </w:rPr>
        <w:t>paragraph (b)(i)(B)</w:t>
      </w:r>
      <w:r>
        <w:rPr>
          <w:rFonts w:ascii="Times New Roman;Times;serif" w:hAnsi="Times New Roman;Times;serif"/>
          <w:sz w:val="20"/>
        </w:rPr>
        <w:t xml:space="preserve"> </w:t>
      </w:r>
      <w:r>
        <w:rPr>
          <w:rFonts w:ascii="Times New Roman;Times;serif" w:hAnsi="Times New Roman;Times;serif"/>
          <w:sz w:val="22"/>
        </w:rPr>
        <w:t>of this Section in the aggregate or in the case of an assignment to a Lender, an Affiliate of a Lender or an Approved Fund, no minimum amount need be assigned; and</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(B)in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Agent or, if “Trade Date” is specified in the Assignment and Assumption, as of the Trade Date, shall not be less than $5,000,000 unless each of the Agent and, so long as no Event of Default has occurred and is continuing, the Borrower otherwise consents (each such consent not to be unreasonably withheld or delayed).</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(ii)</w:t>
      </w:r>
      <w:r>
        <w:rPr>
          <w:rFonts w:ascii="Times New Roman;Times;serif" w:hAnsi="Times New Roman;Times;serif"/>
          <w:sz w:val="22"/>
          <w:u w:val="single"/>
        </w:rPr>
        <w:t>Proportionate Amounts</w:t>
      </w:r>
      <w:r>
        <w:rPr>
          <w:rFonts w:ascii="Times New Roman;Times;serif" w:hAnsi="Times New Roman;Times;serif"/>
          <w:sz w:val="22"/>
        </w:rPr>
        <w:t>.  Each partial assignment shall be made as an assignment of a proportionate part of all the assigning Lender’s rights and obligations under this Agreement with respect to the Loans or the Commitment assigned, except that this clause (ii) shall not apply to the Swing Line Lender’s rights and obligations in respect of Swing Line Loans;</w:t>
      </w:r>
    </w:p>
    <w:p>
      <w:pPr>
        <w:pStyle w:val="TextBody"/>
        <w:bidi w:val="0"/>
        <w:spacing w:before="0" w:after="240"/>
        <w:ind w:left="2556" w:right="0" w:firstLine="720"/>
        <w:jc w:val="both"/>
        <w:rPr>
          <w:rFonts w:ascii="Times New Roman;Times;serif" w:hAnsi="Times New Roman;Times;serif"/>
          <w:sz w:val="20"/>
        </w:rPr>
      </w:pPr>
      <w:r>
        <w:rPr>
          <w:rFonts w:ascii="Times New Roman;Times;serif" w:hAnsi="Times New Roman;Times;serif"/>
          <w:sz w:val="22"/>
        </w:rPr>
        <w:t>(iii)</w:t>
      </w:r>
      <w:r>
        <w:rPr>
          <w:rFonts w:ascii="Times New Roman;Times;serif" w:hAnsi="Times New Roman;Times;serif"/>
          <w:sz w:val="22"/>
          <w:u w:val="single"/>
        </w:rPr>
        <w:t>Required Consents</w:t>
      </w:r>
      <w:r>
        <w:rPr>
          <w:rFonts w:ascii="Times New Roman;Times;serif" w:hAnsi="Times New Roman;Times;serif"/>
          <w:sz w:val="22"/>
        </w:rPr>
        <w:t>.  No consent shall be required for any assignment except to the extent required by subsection (b)(i)(B) of this Section and, in addition:</w:t>
      </w:r>
    </w:p>
    <w:p>
      <w:pPr>
        <w:pStyle w:val="TextBody"/>
        <w:bidi w:val="0"/>
        <w:spacing w:before="0" w:after="240"/>
        <w:ind w:left="2880" w:right="0" w:firstLine="720"/>
        <w:jc w:val="both"/>
        <w:rPr>
          <w:rFonts w:ascii="Times New Roman;Times;serif" w:hAnsi="Times New Roman;Times;serif"/>
          <w:sz w:val="22"/>
        </w:rPr>
      </w:pPr>
      <w:r>
        <w:rPr>
          <w:rFonts w:ascii="Times New Roman;Times;serif" w:hAnsi="Times New Roman;Times;serif"/>
          <w:sz w:val="22"/>
        </w:rPr>
        <w:t>(A)the consent of the Borrower (such consent not to be unreasonably withheld or delayed) shall be required unless (1) an Event of Default has occurred and is continuing at the time of such assignment or (2) such assignment is to a Lender, an Affiliate of a Lender or an Approved Fund;</w:t>
      </w:r>
    </w:p>
    <w:p>
      <w:pPr>
        <w:pStyle w:val="TextBody"/>
        <w:bidi w:val="0"/>
        <w:spacing w:before="0" w:after="240"/>
        <w:ind w:left="2880" w:right="0" w:firstLine="720"/>
        <w:jc w:val="both"/>
        <w:rPr>
          <w:rFonts w:ascii="Times New Roman;Times;serif" w:hAnsi="Times New Roman;Times;serif"/>
          <w:sz w:val="22"/>
        </w:rPr>
      </w:pPr>
      <w:r>
        <w:rPr>
          <w:rFonts w:ascii="Times New Roman;Times;serif" w:hAnsi="Times New Roman;Times;serif"/>
          <w:sz w:val="22"/>
        </w:rPr>
        <w:t>(B)the consent of the Agent (such consent not to be unreasonably withheld or delayed) shall be required if such assignment is to a Person that is not a Lender, an Affiliate of such Lender or an Approved Fund with respect to such Lender;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93</w:t>
      </w:r>
    </w:p>
    <w:p>
      <w:pPr>
        <w:pStyle w:val="HorizontalLine"/>
        <w:pBdr>
          <w:bottom w:val="double" w:sz="2" w:space="0" w:color="808080"/>
        </w:pBdr>
        <w:bidi w:val="0"/>
        <w:spacing w:before="0" w:after="283"/>
        <w:jc w:val="left"/>
        <w:rPr/>
      </w:pPr>
      <w:r>
        <w:rPr/>
      </w:r>
    </w:p>
    <w:p>
      <w:pPr>
        <w:pStyle w:val="TextBody"/>
        <w:bidi w:val="0"/>
        <w:spacing w:before="0" w:after="240"/>
        <w:ind w:left="2880" w:right="0" w:firstLine="720"/>
        <w:jc w:val="both"/>
        <w:rPr>
          <w:rFonts w:ascii="Times New Roman;Times;serif" w:hAnsi="Times New Roman;Times;serif"/>
          <w:sz w:val="22"/>
        </w:rPr>
      </w:pPr>
      <w:r>
        <w:rPr>
          <w:rFonts w:ascii="Times New Roman;Times;serif" w:hAnsi="Times New Roman;Times;serif"/>
          <w:sz w:val="22"/>
        </w:rPr>
        <w:t>(C)the consent of the L/C Issuer and the Swing Line Lender (such consent not to be unreasonably withheld or delayed) shall be required for any assignment.</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2"/>
        </w:rPr>
        <w:t>(iv)</w:t>
      </w:r>
      <w:r>
        <w:rPr>
          <w:rFonts w:ascii="Times New Roman;Times;serif" w:hAnsi="Times New Roman;Times;serif"/>
          <w:sz w:val="22"/>
          <w:u w:val="single"/>
        </w:rPr>
        <w:t>Assignment and Assumption</w:t>
      </w:r>
      <w:r>
        <w:rPr>
          <w:rFonts w:ascii="Times New Roman;Times;serif" w:hAnsi="Times New Roman;Times;serif"/>
          <w:sz w:val="22"/>
        </w:rPr>
        <w:t xml:space="preserve">.  The parties to each assignment shall execute and deliver to the Agent an Assignment and Assumption, together with a processing and recordation fee of $3,500;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the Agent may, in its sole discretion, elect to waive such processing and recordation fee in the case of any assignment.  Except as otherwise provided in </w:t>
      </w:r>
      <w:r>
        <w:rPr>
          <w:rFonts w:ascii="Times New Roman;Times;serif" w:hAnsi="Times New Roman;Times;serif"/>
          <w:sz w:val="22"/>
          <w:u w:val="single"/>
        </w:rPr>
        <w:t>Section 10.13</w:t>
      </w:r>
      <w:r>
        <w:rPr>
          <w:rFonts w:ascii="Times New Roman;Times;serif" w:hAnsi="Times New Roman;Times;serif"/>
          <w:sz w:val="22"/>
        </w:rPr>
        <w:t>, such processing and recordation fees, together with the costs and expenses of the Agent incurred in connection with the execution and delivery of such Assignment and Assumption, shall be paid by either the assignor or the assignee.  The assignee, if it is not a Lender, shall deliver to the Agent an Administrative Questionnaire.</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2"/>
        </w:rPr>
        <w:t>(v)</w:t>
      </w:r>
      <w:r>
        <w:rPr>
          <w:rFonts w:ascii="Times New Roman;Times;serif" w:hAnsi="Times New Roman;Times;serif"/>
          <w:sz w:val="22"/>
          <w:u w:val="single"/>
        </w:rPr>
        <w:t>No Assignment to Certain Persons</w:t>
      </w:r>
      <w:r>
        <w:rPr>
          <w:rFonts w:ascii="Times New Roman;Times;serif" w:hAnsi="Times New Roman;Times;serif"/>
          <w:sz w:val="22"/>
        </w:rPr>
        <w:t>.  No such assignment shall be made to (A) the Borrower or any of its Subsidiaries or Affiliates, (B) a natural person (or a holding company, investment vehicle or trust for, or owned and operated for the primary benefit of, a natural person) or (C) any Defaulting Lender or any of its Subsidiaries, or any Person who, upon becoming a Lender hereunder, would constitute any of the foregoing Persons described in this clause (C).</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2"/>
        </w:rPr>
        <w:t>(vi)</w:t>
      </w:r>
      <w:r>
        <w:rPr>
          <w:rFonts w:ascii="Times New Roman;Times;serif" w:hAnsi="Times New Roman;Times;serif"/>
          <w:sz w:val="22"/>
          <w:u w:val="single"/>
        </w:rPr>
        <w:t>Certain Additional Payments</w:t>
      </w:r>
      <w:r>
        <w:rPr>
          <w:rFonts w:ascii="Times New Roman;Times;serif" w:hAnsi="Times New Roman;Times;serif"/>
          <w:sz w:val="22"/>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Borrower and the Agent, the applicable pro rata share of Committed Loans previously requested but not funded by the Defaulting Lender, to each of which the applicable assignee and assignor hereby irrevocably consent), to (x) pay and satisfy in full all payment liabilities then owed by such Defaulting Lender to the Agent, the L/C Issuer or any Lender hereunder (and interest accrued thereon) and (y) acquire (and fund as appropriate) its full pro rata share of all Committed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Subject to acceptance and recording thereof by the Agent pursuant to subsection (c) of this Section, from and after the effective date specified in each Assignment and Assumption, the assignee thereunder shall be a party to this Agreement and any applicable Intercreditor Agreement and, to the extent of the interest assigned by such Assignment and Assumption, have the rights and obligations of a Lender under this Agreement and any applicable Intercreditor Agreement, and the assigning Lender thereunder shall, to the extent of the interest assigned by such Assignment and Assumption, be released from its obligations under this Agreement and any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applicable Intercreditor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Times;serif" w:hAnsi="Times New Roman;Times;serif"/>
          <w:sz w:val="22"/>
          <w:u w:val="single"/>
        </w:rPr>
        <w:t>Sections 3.01</w:t>
      </w:r>
      <w:r>
        <w:rPr>
          <w:rFonts w:ascii="Times New Roman;Times;serif" w:hAnsi="Times New Roman;Times;serif"/>
          <w:sz w:val="22"/>
        </w:rPr>
        <w:t xml:space="preserve">, </w:t>
      </w:r>
      <w:r>
        <w:rPr>
          <w:rFonts w:ascii="Times New Roman;Times;serif" w:hAnsi="Times New Roman;Times;serif"/>
          <w:sz w:val="22"/>
          <w:u w:val="single"/>
        </w:rPr>
        <w:t>3.04</w:t>
      </w:r>
      <w:r>
        <w:rPr>
          <w:rFonts w:ascii="Times New Roman;Times;serif" w:hAnsi="Times New Roman;Times;serif"/>
          <w:sz w:val="22"/>
        </w:rPr>
        <w:t xml:space="preserve">, </w:t>
      </w:r>
      <w:r>
        <w:rPr>
          <w:rFonts w:ascii="Times New Roman;Times;serif" w:hAnsi="Times New Roman;Times;serif"/>
          <w:sz w:val="22"/>
          <w:u w:val="single"/>
        </w:rPr>
        <w:t>3.05</w:t>
      </w:r>
      <w:r>
        <w:rPr>
          <w:rFonts w:ascii="Times New Roman;Times;serif" w:hAnsi="Times New Roman;Times;serif"/>
          <w:sz w:val="22"/>
        </w:rPr>
        <w:t xml:space="preserve">, and </w:t>
      </w:r>
      <w:r>
        <w:rPr>
          <w:rFonts w:ascii="Times New Roman;Times;serif" w:hAnsi="Times New Roman;Times;serif"/>
          <w:sz w:val="22"/>
          <w:u w:val="single"/>
        </w:rPr>
        <w:t>10.04</w:t>
      </w:r>
      <w:r>
        <w:rPr>
          <w:rFonts w:ascii="Times New Roman;Times;serif" w:hAnsi="Times New Roman;Times;serif"/>
          <w:sz w:val="20"/>
        </w:rPr>
        <w:t xml:space="preserve"> </w:t>
      </w:r>
      <w:r>
        <w:rPr>
          <w:rFonts w:ascii="Times New Roman;Times;serif" w:hAnsi="Times New Roman;Times;serif"/>
          <w:sz w:val="22"/>
        </w:rPr>
        <w:t xml:space="preserve">with respect to facts and circumstances occurring prior to the effective date of such assignment; </w:t>
      </w:r>
      <w:r>
        <w:rPr>
          <w:rFonts w:ascii="Times New Roman;Times;serif" w:hAnsi="Times New Roman;Times;serif"/>
          <w:sz w:val="22"/>
          <w:u w:val="single"/>
        </w:rPr>
        <w:t>provided</w:t>
      </w:r>
      <w:r>
        <w:rPr>
          <w:rFonts w:ascii="Times New Roman;Times;serif" w:hAnsi="Times New Roman;Times;serif"/>
          <w:sz w:val="22"/>
        </w:rPr>
        <w:t>, that except to the extent otherwise expressly agreed by the affected parties, no assignment by a Defaulting Lender will constitute a waiver or release of any claim of any party hereunder arising from that Lender’s having been a Defaulting Lender.  Upon request, and upon receipt of the original Note from the assignor marked “Cancelled,”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Register</w:t>
      </w:r>
      <w:r>
        <w:rPr>
          <w:rFonts w:ascii="Times New Roman;Times;serif" w:hAnsi="Times New Roman;Times;serif"/>
          <w:sz w:val="22"/>
        </w:rPr>
        <w:t>.  The Agent, acting solely for this purpose as an agent of the Borrower (and such agency being solely for tax purposes), shall maintain at the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Times;serif" w:hAnsi="Times New Roman;Times;serif"/>
          <w:sz w:val="22"/>
          <w:u w:val="single"/>
        </w:rPr>
        <w:t>Register</w:t>
      </w:r>
      <w:r>
        <w:rPr>
          <w:rFonts w:ascii="Times New Roman;Times;serif" w:hAnsi="Times New Roman;Times;serif"/>
          <w:sz w:val="20"/>
        </w:rPr>
        <w:t>”</w:t>
      </w:r>
      <w:r>
        <w:rPr>
          <w:rFonts w:ascii="Times New Roman;Times;serif" w:hAnsi="Times New Roman;Times;serif"/>
          <w:sz w:val="22"/>
        </w:rPr>
        <w:t>).  The entries in the Register shall be conclusive,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Participations</w:t>
      </w:r>
      <w:r>
        <w:rPr>
          <w:rFonts w:ascii="Times New Roman;Times;serif" w:hAnsi="Times New Roman;Times;serif"/>
          <w:sz w:val="22"/>
        </w:rPr>
        <w:t>.  Any Lender may at any time, without the consent of, or notice to, the Borrower or the Agent, sell 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Times New Roman;Times;serif" w:hAnsi="Times New Roman;Times;serif"/>
          <w:sz w:val="22"/>
          <w:u w:val="single"/>
        </w:rPr>
        <w:t>Participant</w:t>
      </w:r>
      <w:r>
        <w:rPr>
          <w:rFonts w:ascii="Times New Roman;Times;serif" w:hAnsi="Times New Roman;Times;serif"/>
          <w:sz w:val="20"/>
        </w:rPr>
        <w:t>”</w:t>
      </w:r>
      <w:r>
        <w:rPr>
          <w:rFonts w:ascii="Times New Roman;Times;serif" w:hAnsi="Times New Roman;Times;serif"/>
          <w:sz w:val="22"/>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 such Lender’s obligations under this Agreement shall remain unchanged, (ii) such Lender shall remain solely responsible to the other parties hereto for the performance of such obligations and (iii) the Borrower, the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Times;serif" w:hAnsi="Times New Roman;Times;serif"/>
          <w:sz w:val="22"/>
          <w:u w:val="single"/>
        </w:rPr>
        <w:t>Section 10.04(c)</w:t>
      </w:r>
      <w:r>
        <w:rPr>
          <w:rFonts w:ascii="Times New Roman;Times;serif" w:hAnsi="Times New Roman;Times;serif"/>
          <w:sz w:val="20"/>
        </w:rPr>
        <w:t xml:space="preserve"> </w:t>
      </w:r>
      <w:r>
        <w:rPr>
          <w:rFonts w:ascii="Times New Roman;Times;serif" w:hAnsi="Times New Roman;Times;serif"/>
          <w:sz w:val="22"/>
        </w:rPr>
        <w:t>without regard to the existence of any participation.</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such agreement or instrument may provide that such Lender will not, without the consent of the Participant, agree to any amendment, waiver or other modification described in the first proviso to </w:t>
      </w:r>
      <w:r>
        <w:rPr>
          <w:rFonts w:ascii="Times New Roman;Times;serif" w:hAnsi="Times New Roman;Times;serif"/>
          <w:sz w:val="22"/>
          <w:u w:val="single"/>
        </w:rPr>
        <w:t>Section 10.01</w:t>
      </w:r>
      <w:r>
        <w:rPr>
          <w:rFonts w:ascii="Times New Roman;Times;serif" w:hAnsi="Times New Roman;Times;serif"/>
          <w:sz w:val="20"/>
        </w:rPr>
        <w:t xml:space="preserve"> </w:t>
      </w:r>
      <w:r>
        <w:rPr>
          <w:rFonts w:ascii="Times New Roman;Times;serif" w:hAnsi="Times New Roman;Times;serif"/>
          <w:sz w:val="22"/>
        </w:rPr>
        <w:t xml:space="preserve">that affects such Participant.  The Borrower agrees that each Participant shall be entitled to the benefits of </w:t>
      </w:r>
      <w:r>
        <w:rPr>
          <w:rFonts w:ascii="Times New Roman;Times;serif" w:hAnsi="Times New Roman;Times;serif"/>
          <w:sz w:val="22"/>
          <w:u w:val="single"/>
        </w:rPr>
        <w:t>Sections 3.01</w:t>
      </w:r>
      <w:r>
        <w:rPr>
          <w:rFonts w:ascii="Times New Roman;Times;serif" w:hAnsi="Times New Roman;Times;serif"/>
          <w:sz w:val="22"/>
        </w:rPr>
        <w:t xml:space="preserve">, </w:t>
      </w:r>
      <w:r>
        <w:rPr>
          <w:rFonts w:ascii="Times New Roman;Times;serif" w:hAnsi="Times New Roman;Times;serif"/>
          <w:sz w:val="22"/>
          <w:u w:val="single"/>
        </w:rPr>
        <w:t>3.04</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3.05</w:t>
      </w:r>
      <w:r>
        <w:rPr>
          <w:rFonts w:ascii="Times New Roman;Times;serif" w:hAnsi="Times New Roman;Times;serif"/>
          <w:sz w:val="20"/>
        </w:rPr>
        <w:t xml:space="preserve"> </w:t>
      </w:r>
      <w:r>
        <w:rPr>
          <w:rFonts w:ascii="Times New Roman;Times;serif" w:hAnsi="Times New Roman;Times;serif"/>
          <w:sz w:val="22"/>
        </w:rPr>
        <w:t xml:space="preserve">to the same extent as if it were a Lender and had acquired its interest by assignment pursuant to </w:t>
      </w:r>
      <w:r>
        <w:rPr>
          <w:rFonts w:ascii="Times New Roman;Times;serif" w:hAnsi="Times New Roman;Times;serif"/>
          <w:sz w:val="22"/>
          <w:u w:val="single"/>
        </w:rPr>
        <w:t>subsection (b)</w:t>
      </w:r>
      <w:r>
        <w:rPr>
          <w:rFonts w:ascii="Times New Roman;Times;serif" w:hAnsi="Times New Roman;Times;serif"/>
          <w:sz w:val="20"/>
        </w:rPr>
        <w:t xml:space="preserve"> </w:t>
      </w:r>
      <w:r>
        <w:rPr>
          <w:rFonts w:ascii="Times New Roman;Times;serif" w:hAnsi="Times New Roman;Times;serif"/>
          <w:sz w:val="22"/>
        </w:rPr>
        <w:t xml:space="preserve">of this Section (it being understood that the documentation required under </w:t>
      </w:r>
      <w:r>
        <w:rPr>
          <w:rFonts w:ascii="Times New Roman;Times;serif" w:hAnsi="Times New Roman;Times;serif"/>
          <w:sz w:val="22"/>
          <w:u w:val="single"/>
        </w:rPr>
        <w:t>Section 3.01(e)</w:t>
      </w:r>
      <w:r>
        <w:rPr>
          <w:rFonts w:ascii="Times New Roman;Times;serif" w:hAnsi="Times New Roman;Times;serif"/>
          <w:sz w:val="20"/>
        </w:rPr>
        <w:t xml:space="preserve"> </w:t>
      </w:r>
      <w:r>
        <w:rPr>
          <w:rFonts w:ascii="Times New Roman;Times;serif" w:hAnsi="Times New Roman;Times;serif"/>
          <w:sz w:val="22"/>
        </w:rPr>
        <w:t xml:space="preserve">shall be delivered to the Lender who sells the participation) to the same extent as if it were a Lender and had acquired its interest by assignment pursuant to paragraph (b) of this Section;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such Participant (A) agrees to be subject to the provisions of </w:t>
      </w:r>
      <w:r>
        <w:rPr>
          <w:rFonts w:ascii="Times New Roman;Times;serif" w:hAnsi="Times New Roman;Times;serif"/>
          <w:sz w:val="22"/>
          <w:u w:val="single"/>
        </w:rPr>
        <w:t>Sections 3.06</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10.13</w:t>
      </w:r>
      <w:r>
        <w:rPr>
          <w:rFonts w:ascii="Times New Roman;Times;serif" w:hAnsi="Times New Roman;Times;serif"/>
          <w:sz w:val="20"/>
        </w:rPr>
        <w:t xml:space="preserve"> </w:t>
      </w:r>
      <w:r>
        <w:rPr>
          <w:rFonts w:ascii="Times New Roman;Times;serif" w:hAnsi="Times New Roman;Times;serif"/>
          <w:sz w:val="22"/>
        </w:rPr>
        <w:t xml:space="preserve">as if it were an assignee under paragraph (b) of this Section and (B) shall not be entitled to receive any greater payment under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u w:val="single"/>
        </w:rPr>
        <w:t>Sections 3.01</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3.04</w:t>
      </w:r>
      <w:r>
        <w:rPr>
          <w:rFonts w:ascii="Times New Roman;Times;serif" w:hAnsi="Times New Roman;Times;serif"/>
          <w:sz w:val="22"/>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Times;serif" w:hAnsi="Times New Roman;Times;serif"/>
          <w:sz w:val="22"/>
          <w:u w:val="single"/>
        </w:rPr>
        <w:t>Section 3.06</w:t>
      </w:r>
      <w:r>
        <w:rPr>
          <w:rFonts w:ascii="Times New Roman;Times;serif" w:hAnsi="Times New Roman;Times;serif"/>
          <w:sz w:val="20"/>
        </w:rPr>
        <w:t xml:space="preserve"> </w:t>
      </w:r>
      <w:r>
        <w:rPr>
          <w:rFonts w:ascii="Times New Roman;Times;serif" w:hAnsi="Times New Roman;Times;serif"/>
          <w:sz w:val="22"/>
        </w:rPr>
        <w:t xml:space="preserve">with respect to any Participant.  To the extent permitted by law, each Participant also shall be entitled to the benefits of </w:t>
      </w:r>
      <w:r>
        <w:rPr>
          <w:rFonts w:ascii="Times New Roman;Times;serif" w:hAnsi="Times New Roman;Times;serif"/>
          <w:sz w:val="22"/>
          <w:u w:val="single"/>
        </w:rPr>
        <w:t>Section 10.08</w:t>
      </w:r>
      <w:r>
        <w:rPr>
          <w:rFonts w:ascii="Times New Roman;Times;serif" w:hAnsi="Times New Roman;Times;serif"/>
          <w:sz w:val="20"/>
        </w:rPr>
        <w:t xml:space="preserve"> </w:t>
      </w:r>
      <w:r>
        <w:rPr>
          <w:rFonts w:ascii="Times New Roman;Times;serif" w:hAnsi="Times New Roman;Times;serif"/>
          <w:sz w:val="22"/>
        </w:rPr>
        <w:t xml:space="preserve">as though it were a Lender;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such Participant agrees to be subject to </w:t>
      </w:r>
      <w:r>
        <w:rPr>
          <w:rFonts w:ascii="Times New Roman;Times;serif" w:hAnsi="Times New Roman;Times;serif"/>
          <w:sz w:val="22"/>
          <w:u w:val="single"/>
        </w:rPr>
        <w:t>Section 2.13</w:t>
      </w:r>
      <w:r>
        <w:rPr>
          <w:rFonts w:ascii="Times New Roman;Times;serif" w:hAnsi="Times New Roman;Times;serif"/>
          <w:sz w:val="20"/>
        </w:rPr>
        <w:t xml:space="preserve"> </w:t>
      </w:r>
      <w:r>
        <w:rPr>
          <w:rFonts w:ascii="Times New Roman;Times;serif" w:hAnsi="Times New Roman;Times;serif"/>
          <w:sz w:val="22"/>
        </w:rPr>
        <w:t>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sz w:val="22"/>
          <w:u w:val="single"/>
        </w:rPr>
        <w:t>Participant Register</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or unless otherwise required by law.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Certain Pledges</w:t>
      </w:r>
      <w:r>
        <w:rPr>
          <w:rFonts w:ascii="Times New Roman;Times;serif" w:hAnsi="Times New Roman;Times;serif"/>
          <w:sz w:val="22"/>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 such pledge or assignment shall release such Lender from any of its obligations hereunder or substitute any such pledgee or assignee for such Lender as a party hereto.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Resignation as L/C Issuer or Swing Line Lender after Assignment</w:t>
      </w:r>
      <w:r>
        <w:rPr>
          <w:rFonts w:ascii="Times New Roman;Times;serif" w:hAnsi="Times New Roman;Times;serif"/>
          <w:sz w:val="22"/>
        </w:rPr>
        <w:t xml:space="preserve">.  Notwithstanding anything to the contrary contained herein, if at any time a Lender acting as L/C Issuer or Swing Line Lender assigns all of its Commitment and Loans pursuant to subsection (b) above, such Lender may, (i) upon 30 days’ notice to the Borrower and the Lenders, resign as L/C Issuer and/or (ii) upon 30 days’ notice to the Borrower, resign as Swing Line Lender.  In the event of any such resignation as L/C Issuer or Swing Line Lender, the Borrower shall be entitled to appoint from among the Lenders a successor L/C Issuer or Swing Line Lender hereunder;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no failure by the Borrower to appoint any such successor shall affect the resignation of the applicable Lender as L/C Issuer or Swing Line Lender, as the case may be.  Any such appointment of a successor L/C Issuer or Swing Line Lender by the Borrower pursuant to this </w:t>
      </w:r>
      <w:r>
        <w:rPr>
          <w:rFonts w:ascii="Times New Roman;Times;serif" w:hAnsi="Times New Roman;Times;serif"/>
          <w:sz w:val="22"/>
          <w:u w:val="single"/>
        </w:rPr>
        <w:t>Section 10.06</w:t>
      </w:r>
      <w:r>
        <w:rPr>
          <w:rFonts w:ascii="Times New Roman;Times;serif" w:hAnsi="Times New Roman;Times;serif"/>
          <w:sz w:val="20"/>
        </w:rPr>
        <w:t xml:space="preserve"> </w:t>
      </w:r>
      <w:r>
        <w:rPr>
          <w:rFonts w:ascii="Times New Roman;Times;serif" w:hAnsi="Times New Roman;Times;serif"/>
          <w:sz w:val="22"/>
        </w:rPr>
        <w:t xml:space="preserve">shall not become effective until acceptance of the appointment by the successor L/C Issuer or Swing Line Lender.  If a Lender resigns as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Times;serif" w:hAnsi="Times New Roman;Times;serif"/>
          <w:sz w:val="22"/>
          <w:u w:val="single"/>
        </w:rPr>
        <w:t>Section 2.03(c)</w:t>
      </w:r>
      <w:r>
        <w:rPr>
          <w:rFonts w:ascii="Times New Roman;Times;serif" w:hAnsi="Times New Roman;Times;serif"/>
          <w:sz w:val="22"/>
        </w:rPr>
        <w:t xml:space="preserve">).  If a Lender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Times;serif" w:hAnsi="Times New Roman;Times;serif"/>
          <w:sz w:val="22"/>
          <w:u w:val="single"/>
        </w:rPr>
        <w:t>Section 2.04(c)</w:t>
      </w:r>
      <w:r>
        <w:rPr>
          <w:rFonts w:ascii="Times New Roman;Times;serif" w:hAnsi="Times New Roman;Times;serif"/>
          <w:sz w:val="22"/>
        </w:rPr>
        <w:t xml:space="preserv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the applicable resigning L/C Issuer to effectively assume the obligations of such L/C Issuer with respect to such Letters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10.07</w:t>
      </w:r>
      <w:r>
        <w:rPr>
          <w:rFonts w:ascii="Times New Roman;Times;serif" w:hAnsi="Times New Roman;Times;serif"/>
          <w:b/>
          <w:sz w:val="22"/>
        </w:rPr>
        <w:t>Treatment of Certain Information; Confidentiality</w:t>
      </w:r>
      <w:r>
        <w:rPr>
          <w:rFonts w:ascii="Times New Roman;Times;serif" w:hAnsi="Times New Roman;Times;serif"/>
          <w:sz w:val="22"/>
        </w:rPr>
        <w:t xml:space="preserve">.  Each of the Agent, the Lenders and the L/C Issuer agrees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Times New Roman;Times;serif" w:hAnsi="Times New Roman;Times;serif"/>
          <w:sz w:val="22"/>
          <w:u w:val="single"/>
        </w:rPr>
        <w:t>Section 2.14</w:t>
      </w:r>
      <w:r>
        <w:rPr>
          <w:rFonts w:ascii="Times New Roman;Times;serif" w:hAnsi="Times New Roman;Times;serif"/>
          <w:sz w:val="22"/>
        </w:rPr>
        <w:t xml:space="preserve">) or (ii) any actual or prospective counterparty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provider of any Platform or other electronic delivery service used by the Agent, the L/C Issuer and/or the Swing Line Lender to deliver Borrower Materials or notices to the Lenders (h) the CUSIP Service Bureau or any similar agency in connection with the application, issuance, publishing and monitoring of CUSIP numbers or other market identifiers with respect to the credit facilities provided hereunder, (i) with the prior written consent of the Borrower or (j) to the extent such Information (i) becomes publicly available other than as a result of a breach of this </w:t>
      </w:r>
      <w:r>
        <w:rPr>
          <w:rFonts w:ascii="Times New Roman;Times;serif" w:hAnsi="Times New Roman;Times;serif"/>
          <w:sz w:val="22"/>
          <w:u w:val="single"/>
        </w:rPr>
        <w:t>Section 10.07</w:t>
      </w:r>
      <w:r>
        <w:rPr>
          <w:rFonts w:ascii="Times New Roman;Times;serif" w:hAnsi="Times New Roman;Times;serif"/>
          <w:sz w:val="22"/>
        </w:rPr>
        <w:t xml:space="preserve">, (ii) becomes available to the Agent, any Lender, the L/C Issuer or any of their respective Affiliates on a nonconfidential basis from a source other than the Borrower or (iii) is independently discovered or developed by a party hereto without utilizing any Information received from the Borrower or violating the terms of this </w:t>
      </w:r>
      <w:r>
        <w:rPr>
          <w:rFonts w:ascii="Times New Roman;Times;serif" w:hAnsi="Times New Roman;Times;serif"/>
          <w:sz w:val="22"/>
          <w:u w:val="single"/>
        </w:rPr>
        <w:t>Section 10.07</w:t>
      </w:r>
      <w:r>
        <w:rPr>
          <w:rFonts w:ascii="Times New Roman;Times;serif" w:hAnsi="Times New Roman;Times;serif"/>
          <w:sz w:val="22"/>
        </w:rPr>
        <w:t>.  In addition, the Agent and the Lenders may disclose the existence of this Agreement and information about this Agreement to market data collectors, similar service providers to the lending industry and service providers to the Agent and the Lenders in connection with the administration of this Agreement, the other Loan Documents and the Commitments. For the avoidance of doubt, nothing herein prohibits any individual from communicating or disclosing information regarding suspected violations of laws, rules, or regulations to a governmental, regulatory, or self-regulatory authority.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For purposes of this Section, “</w:t>
      </w:r>
      <w:r>
        <w:rPr>
          <w:rFonts w:ascii="Times New Roman;Times;serif" w:hAnsi="Times New Roman;Times;serif"/>
          <w:sz w:val="22"/>
          <w:u w:val="single"/>
        </w:rPr>
        <w:t>Information</w:t>
      </w:r>
      <w:r>
        <w:rPr>
          <w:rFonts w:ascii="Times New Roman;Times;serif" w:hAnsi="Times New Roman;Times;serif"/>
          <w:sz w:val="20"/>
        </w:rPr>
        <w:t xml:space="preserve">” </w:t>
      </w:r>
      <w:r>
        <w:rPr>
          <w:rFonts w:ascii="Times New Roman;Times;serif" w:hAnsi="Times New Roman;Times;serif"/>
          <w:sz w:val="22"/>
        </w:rPr>
        <w:t>means all information received from the Borrower or any Subsidiary relating to the Borrower or any Subsidiary or any of their respective businesses, other than any such information that is available to the Agent, any Lender or the L/C Issuer on a nonconfidential basis prior to disclosure by the Borrower or any Subsidiary.</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Each of the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Federal and state securities laws.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10.08</w:t>
      </w:r>
      <w:r>
        <w:rPr>
          <w:rFonts w:ascii="Times New Roman;Times;serif" w:hAnsi="Times New Roman;Times;serif"/>
          <w:b/>
          <w:sz w:val="22"/>
        </w:rPr>
        <w:t>Right of Setoff</w:t>
      </w:r>
      <w:r>
        <w:rPr>
          <w:rFonts w:ascii="Times New Roman;Times;serif" w:hAnsi="Times New Roman;Times;serif"/>
          <w:sz w:val="22"/>
        </w:rPr>
        <w:t xml:space="preserve">.  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 under this Agreement or any other Loan Document to such Lender or the L/C Issuer or their respective Affiliates, irrespective of whether or not such Lender, L/C Issuer or Affiliate shall have made any demand under this Agreement or any other Loan Document and although such obligations of the Borrower or such Loan Party may be contingent or unmatured or are owed to a branch, office or Affiliate of such Lender or the L/C Issuer different from the branch,  office or Affiliate holding such deposit or obligated on such indebtedness; </w:t>
      </w:r>
      <w:r>
        <w:rPr>
          <w:rFonts w:ascii="Times New Roman;Times;serif" w:hAnsi="Times New Roman;Times;serif"/>
          <w:sz w:val="22"/>
          <w:u w:val="single"/>
        </w:rPr>
        <w:t>provided</w:t>
      </w:r>
      <w:r>
        <w:rPr>
          <w:rFonts w:ascii="Times New Roman;Times;serif" w:hAnsi="Times New Roman;Times;serif"/>
          <w:sz w:val="22"/>
        </w:rPr>
        <w:t xml:space="preserve">, that in the event that any Defaulting Lender shall exercise any such right of setoff, (x) all amounts so set off shall be paid over immediately to the Agent for further application in accordance with the provisions of </w:t>
      </w:r>
      <w:r>
        <w:rPr>
          <w:rFonts w:ascii="Times New Roman;Times;serif" w:hAnsi="Times New Roman;Times;serif"/>
          <w:sz w:val="22"/>
          <w:u w:val="single"/>
        </w:rPr>
        <w:t>Section 2.16</w:t>
      </w:r>
      <w:r>
        <w:rPr>
          <w:rFonts w:ascii="Times New Roman;Times;serif" w:hAnsi="Times New Roman;Times;serif"/>
          <w:sz w:val="20"/>
        </w:rPr>
        <w:t xml:space="preserve"> </w:t>
      </w:r>
      <w:r>
        <w:rPr>
          <w:rFonts w:ascii="Times New Roman;Times;serif" w:hAnsi="Times New Roman;Times;serif"/>
          <w:sz w:val="22"/>
        </w:rPr>
        <w:t xml:space="preserve">and, pending such payment, shall be segregated by such Defaulting Lender from its other funds and deemed held in trust for the benefit of the Agent and the Lenders, and (y) the Defaulting Lender shall provide promptly to the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Agent promptly after any such setoff and application,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failure to give such notice shall not affect the validity of such setoff and application.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10.09</w:t>
      </w:r>
      <w:r>
        <w:rPr>
          <w:rFonts w:ascii="Times New Roman;Times;serif" w:hAnsi="Times New Roman;Times;serif"/>
          <w:b/>
          <w:sz w:val="22"/>
        </w:rPr>
        <w:t>Interest Rate Limitation</w:t>
      </w:r>
      <w:r>
        <w:rPr>
          <w:rFonts w:ascii="Times New Roman;Times;serif" w:hAnsi="Times New Roman;Times;serif"/>
          <w:sz w:val="22"/>
        </w:rPr>
        <w:t>.  Notwithstanding anything to the contrary contained in any Loan Document, the interest paid or agreed to be paid under the Loan Documents shall not exceed the maximum rate of non-usurious interest permitted by applicable law (the “</w:t>
      </w:r>
      <w:r>
        <w:rPr>
          <w:rFonts w:ascii="Times New Roman;Times;serif" w:hAnsi="Times New Roman;Times;serif"/>
          <w:sz w:val="22"/>
          <w:u w:val="single"/>
        </w:rPr>
        <w:t>Maximum Rate</w:t>
      </w:r>
      <w:r>
        <w:rPr>
          <w:rFonts w:ascii="Times New Roman;Times;serif" w:hAnsi="Times New Roman;Times;serif"/>
          <w:sz w:val="20"/>
        </w:rPr>
        <w:t>”</w:t>
      </w:r>
      <w:r>
        <w:rPr>
          <w:rFonts w:ascii="Times New Roman;Times;serif" w:hAnsi="Times New Roman;Times;serif"/>
          <w:sz w:val="22"/>
        </w:rPr>
        <w:t>).  If the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10.10</w:t>
      </w:r>
      <w:r>
        <w:rPr>
          <w:rFonts w:ascii="Times New Roman;Times;serif" w:hAnsi="Times New Roman;Times;serif"/>
          <w:b/>
          <w:sz w:val="22"/>
        </w:rPr>
        <w:t>Integration; Effectiveness</w:t>
      </w:r>
      <w:r>
        <w:rPr>
          <w:rFonts w:ascii="Times New Roman;Times;serif" w:hAnsi="Times New Roman;Times;serif"/>
          <w:sz w:val="22"/>
        </w:rPr>
        <w:t xml:space="preserve">.  This Agreement, the other Loan Documents and any separate letter agreements with respect to fees payable to the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sz w:val="22"/>
          <w:u w:val="single"/>
        </w:rPr>
        <w:t>Section 4.01</w:t>
      </w:r>
      <w:r>
        <w:rPr>
          <w:rFonts w:ascii="Times New Roman;Times;serif" w:hAnsi="Times New Roman;Times;serif"/>
          <w:sz w:val="22"/>
        </w:rPr>
        <w:t>, this Agreement shall become effective when it shall have been executed by the Agent and when the Agent shall have received counterparts hereof that, when taken together, bear the signatures of each of the other parties hereto, and thereafter shall be binding upon and inure to the benefit of the parties hereto and their respective successors and assigns.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The parties to the Existing Credit Agreement each hereby agrees that, at such time as this Agreement shall have become effective pursuant to the terms of </w:t>
      </w:r>
      <w:r>
        <w:rPr>
          <w:rFonts w:ascii="Times New Roman;Times;serif" w:hAnsi="Times New Roman;Times;serif"/>
          <w:sz w:val="22"/>
          <w:u w:val="single"/>
        </w:rPr>
        <w:t>Section 4.01</w:t>
      </w:r>
      <w:r>
        <w:rPr>
          <w:rFonts w:ascii="Times New Roman;Times;serif" w:hAnsi="Times New Roman;Times;serif"/>
          <w:sz w:val="22"/>
        </w:rPr>
        <w:t>, (a) the Existing Credit Agreement automatically shall be deemed amended and restated in its entirety by this Agreement, and (b) the Commitments and Loans under the Existing Credit Agreement and as defined therein automatically shall be replaced with the Commitments and Loans hereunder.  This Agreement is not a novation of the Existing Credit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10.11</w:t>
      </w:r>
      <w:r>
        <w:rPr>
          <w:rFonts w:ascii="Times New Roman;Times;serif" w:hAnsi="Times New Roman;Times;serif"/>
          <w:b/>
          <w:sz w:val="22"/>
        </w:rPr>
        <w:t>Survival of Representations and Warranties</w:t>
      </w:r>
      <w:r>
        <w:rPr>
          <w:rFonts w:ascii="Times New Roman;Times;serif" w:hAnsi="Times New Roman;Times;serif"/>
          <w:sz w:val="22"/>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Agent and each Lender, regardless of any investigation made by the Agent or any Lender or on their behalf and notwithstanding that the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10.12</w:t>
      </w:r>
      <w:r>
        <w:rPr>
          <w:rFonts w:ascii="Times New Roman;Times;serif" w:hAnsi="Times New Roman;Times;serif"/>
          <w:b/>
          <w:sz w:val="22"/>
        </w:rPr>
        <w:t>Severability</w:t>
      </w:r>
      <w:r>
        <w:rPr>
          <w:rFonts w:ascii="Times New Roman;Times;serif" w:hAnsi="Times New Roman;Times;serif"/>
          <w:sz w:val="22"/>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Times;serif" w:hAnsi="Times New Roman;Times;serif"/>
          <w:sz w:val="22"/>
          <w:u w:val="single"/>
        </w:rPr>
        <w:t>Section 10.12</w:t>
      </w:r>
      <w:r>
        <w:rPr>
          <w:rFonts w:ascii="Times New Roman;Times;serif" w:hAnsi="Times New Roman;Times;serif"/>
          <w:sz w:val="22"/>
        </w:rPr>
        <w:t>, if and to the extent that the enforceability of any provisions in this Agreement relating to Defaulting Lenders shall be limited by Debtor Relief Laws, as determined in good faith by the Agent, the L/C Issuer or the Swing Line Lender, as applicable, then such provisions shall be deemed to be in effect only to the extent not so limited.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10.13</w:t>
      </w:r>
      <w:r>
        <w:rPr>
          <w:rFonts w:ascii="Times New Roman;Times;serif" w:hAnsi="Times New Roman;Times;serif"/>
          <w:b/>
          <w:sz w:val="22"/>
        </w:rPr>
        <w:t>Replacement of Lenders</w:t>
      </w:r>
      <w:r>
        <w:rPr>
          <w:rFonts w:ascii="Times New Roman;Times;serif" w:hAnsi="Times New Roman;Times;serif"/>
          <w:sz w:val="22"/>
        </w:rPr>
        <w:t xml:space="preserve">.  If the Borrower is entitled to replace a Lender pursuant to the provisions of </w:t>
      </w:r>
      <w:r>
        <w:rPr>
          <w:rFonts w:ascii="Times New Roman;Times;serif" w:hAnsi="Times New Roman;Times;serif"/>
          <w:sz w:val="22"/>
          <w:u w:val="single"/>
        </w:rPr>
        <w:t>Section 3.06</w:t>
      </w:r>
      <w:r>
        <w:rPr>
          <w:rFonts w:ascii="Times New Roman;Times;serif" w:hAnsi="Times New Roman;Times;serif"/>
          <w:sz w:val="22"/>
        </w:rPr>
        <w:t xml:space="preserve">, or if any Lender is a Defaulting Lender or a Non-Consenting Lender, then the Borrower may, at its sole expense and effort, upon notice to such Lender and the Agent, require such Lender to assign and delegate, without recourse (in accordance with and subject to the restrictions contained in, and consents required by, </w:t>
      </w:r>
      <w:r>
        <w:rPr>
          <w:rFonts w:ascii="Times New Roman;Times;serif" w:hAnsi="Times New Roman;Times;serif"/>
          <w:sz w:val="22"/>
          <w:u w:val="single"/>
        </w:rPr>
        <w:t>Section 10.06</w:t>
      </w:r>
      <w:r>
        <w:rPr>
          <w:rFonts w:ascii="Times New Roman;Times;serif" w:hAnsi="Times New Roman;Times;serif"/>
          <w:sz w:val="22"/>
        </w:rPr>
        <w:t xml:space="preserve">), all of its interests, rights (other than its existing rights to payments pursuant to </w:t>
      </w:r>
      <w:r>
        <w:rPr>
          <w:rFonts w:ascii="Times New Roman;Times;serif" w:hAnsi="Times New Roman;Times;serif"/>
          <w:sz w:val="22"/>
          <w:u w:val="single"/>
        </w:rPr>
        <w:t>Sections 3.01</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3.04</w:t>
      </w:r>
      <w:r>
        <w:rPr>
          <w:rFonts w:ascii="Times New Roman;Times;serif" w:hAnsi="Times New Roman;Times;serif"/>
          <w:sz w:val="22"/>
        </w:rPr>
        <w:t xml:space="preserve">) and obligations under this Agreement and the related Loan Documents to an Eligible Assignee that shall assume such obligations (which assignee may be another Lender, if a Lender accepts such assignment),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the Borrower shall have paid to the Agent the assignment fee (if any) specified in </w:t>
      </w:r>
      <w:r>
        <w:rPr>
          <w:rFonts w:ascii="Times New Roman;Times;serif" w:hAnsi="Times New Roman;Times;serif"/>
          <w:sz w:val="22"/>
          <w:u w:val="single"/>
        </w:rPr>
        <w:t>Section 10.06(b)</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Times;serif" w:hAnsi="Times New Roman;Times;serif"/>
          <w:sz w:val="22"/>
          <w:u w:val="single"/>
        </w:rPr>
        <w:t>Section 3.05</w:t>
      </w:r>
      <w:r>
        <w:rPr>
          <w:rFonts w:ascii="Times New Roman;Times;serif" w:hAnsi="Times New Roman;Times;serif"/>
          <w:sz w:val="22"/>
        </w:rPr>
        <w:t>) from the assignee (to the extent of such outstanding principal and accrued interest and fees) or the Borrower (in the case of all other amounts);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in the case of any such assignment resulting from a claim for compensation under </w:t>
      </w:r>
      <w:r>
        <w:rPr>
          <w:rFonts w:ascii="Times New Roman;Times;serif" w:hAnsi="Times New Roman;Times;serif"/>
          <w:sz w:val="22"/>
          <w:u w:val="single"/>
        </w:rPr>
        <w:t>Section 3.04</w:t>
      </w:r>
      <w:r>
        <w:rPr>
          <w:rFonts w:ascii="Times New Roman;Times;serif" w:hAnsi="Times New Roman;Times;serif"/>
          <w:sz w:val="20"/>
        </w:rPr>
        <w:t xml:space="preserve"> </w:t>
      </w:r>
      <w:r>
        <w:rPr>
          <w:rFonts w:ascii="Times New Roman;Times;serif" w:hAnsi="Times New Roman;Times;serif"/>
          <w:sz w:val="22"/>
        </w:rPr>
        <w:t xml:space="preserve">or payments required to be made pursuant to </w:t>
      </w:r>
      <w:r>
        <w:rPr>
          <w:rFonts w:ascii="Times New Roman;Times;serif" w:hAnsi="Times New Roman;Times;serif"/>
          <w:sz w:val="22"/>
          <w:u w:val="single"/>
        </w:rPr>
        <w:t>Section 3.01</w:t>
      </w:r>
      <w:r>
        <w:rPr>
          <w:rFonts w:ascii="Times New Roman;Times;serif" w:hAnsi="Times New Roman;Times;serif"/>
          <w:sz w:val="22"/>
        </w:rPr>
        <w:t>, such assignment will result in a reduction in such compensation or payments thereafter;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such assignment does not conflict with applicable laws;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in the case of an assignment resulting from a Lender becoming a Non-Consenting Lender, the applicable assignee shall have consented to the applicable amendment, waiver or consent.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99</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10.14</w:t>
      </w:r>
      <w:r>
        <w:rPr>
          <w:rFonts w:ascii="Times New Roman;Times;serif" w:hAnsi="Times New Roman;Times;serif"/>
          <w:b/>
          <w:sz w:val="22"/>
        </w:rPr>
        <w:t>Governing Law; Jurisdiction; Etc</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GOVERNING LAW</w:t>
      </w:r>
      <w:r>
        <w:rPr>
          <w:rFonts w:ascii="Times New Roman;Times;serif" w:hAnsi="Times New Roman;Times;serif"/>
          <w:sz w:val="22"/>
        </w:rPr>
        <w:t>.  THIS AGREEMENT AND ANY CLAIMS,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SUBMISSION TO JURISDICTION</w:t>
      </w:r>
      <w:r>
        <w:rPr>
          <w:rFonts w:ascii="Times New Roman;Times;serif" w:hAnsi="Times New Roman;Times;serif"/>
          <w:sz w:val="22"/>
        </w:rPr>
        <w:t>.  THE BORROWER IRREVOCABLY AND UNCONDITIONALLY AGREES THAT IT WILL NOT COMMENCE ANY ACTION, LITIGATION OR PROCEEDING OF ANY KIND OR DESCRIPTION, WHETHER IN LAW OR EQUITY, WHETHER IN CONTRACT OR IN TORT OR OTHERWISE, AGAINST THE AGENT, ANY LENDER, THE L/C ISSUER, OR ANY RELATED PARTY OF THE FOREGOING IN ANY WAY RELATING TO THIS AGREEMENT OR THE TRANSACTIONS RELATING 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AGENT, ANY LENDER OR THE L/C ISSUER MAY OTHERWISE HAVE TO BRING ANY ACTION OR PROCEEDING RELATING TO THIS AGREEMENT OR ANY OTHER LOAN DOCUMENT AGAINST THE BORROWER OR ANY OTHER LOAN PARTY OR ITS PROPERTIES IN THE COURTS OF ANY JURISDICTION.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WAIVER OF VENUE</w:t>
      </w:r>
      <w:r>
        <w:rPr>
          <w:rFonts w:ascii="Times New Roman;Times;serif" w:hAnsi="Times New Roman;Times;serif"/>
          <w:sz w:val="22"/>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SERVICE OF PROCESS</w:t>
      </w:r>
      <w:r>
        <w:rPr>
          <w:rFonts w:ascii="Times New Roman;Times;serif" w:hAnsi="Times New Roman;Times;serif"/>
          <w:sz w:val="22"/>
        </w:rPr>
        <w:t xml:space="preserve">.  EACH PARTY HERETO IRREVOCABLY CONSENTS TO SERVICE OF PROCESS IN THE MANNER PROVIDED FOR NOTICES IN </w:t>
      </w:r>
      <w:r>
        <w:rPr>
          <w:rFonts w:ascii="Times New Roman;Times;serif" w:hAnsi="Times New Roman;Times;serif"/>
          <w:sz w:val="22"/>
          <w:u w:val="single"/>
        </w:rPr>
        <w:t>SECTION 10.02</w:t>
      </w:r>
      <w:r>
        <w:rPr>
          <w:rFonts w:ascii="Times New Roman;Times;serif" w:hAnsi="Times New Roman;Times;serif"/>
          <w:sz w:val="22"/>
        </w:rPr>
        <w:t xml:space="preserve">.  NOTHING IN THIS AGREEMENT WILL AFFECT THE RIGHT OF ANY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100</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PARTY HERETO TO SERVE PROCESS IN ANY OTHER MANNER PERMITTED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10.15</w:t>
      </w:r>
      <w:r>
        <w:rPr>
          <w:rFonts w:ascii="Times New Roman;Times;serif" w:hAnsi="Times New Roman;Times;serif"/>
          <w:b/>
          <w:sz w:val="22"/>
        </w:rPr>
        <w:t>Waiver of Jury Trial</w:t>
      </w:r>
      <w:r>
        <w:rPr>
          <w:rFonts w:ascii="Times New Roman;Times;serif" w:hAnsi="Times New Roman;Times;serif"/>
          <w:sz w:val="22"/>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10.16</w:t>
      </w:r>
      <w:r>
        <w:rPr>
          <w:rFonts w:ascii="Times New Roman;Times;serif" w:hAnsi="Times New Roman;Times;serif"/>
          <w:b/>
          <w:sz w:val="22"/>
        </w:rPr>
        <w:t>No Advisory or Fiduciary Responsibility</w:t>
      </w:r>
      <w:r>
        <w:rPr>
          <w:rFonts w:ascii="Times New Roman;Times;serif" w:hAnsi="Times New Roman;Times;serif"/>
          <w:sz w:val="22"/>
        </w:rPr>
        <w:t>.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Agent, the Arranger, the other lead arranger(s) and the Lenders are arm’s-length commercial transactions between the Borrower, each other Loan Party and their respective Affiliates, on the one hand, and the Agent, the Arranger, the other lead arranger(s) and the Lenders,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Agent, the Arranger, each other lead arranger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Agent, the Arranger, any other lead arranger nor any Lender has any obligation to the Borrower, any other Loan Party or any of their respective Affiliates with respect to the transactions contemplated hereby except those obligations expressly set forth herein and in the other Loan Documents; and (iii) the Agent, the Arranger, the other lead arranger(s) and the Lenders and their respective Affiliates may be engaged in a broad range of transactions that involve interests that differ from those of the Borrower, the other Loan Parties and their respective Affiliates, and neither the Agent, the Arranger, any other lead arranger nor any Lender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Agent, the Arranger, the other lead arranger(s) or any Lender with respect to any breach or alleged breach of agency or fiduciary duty in connection with any aspect of any transaction contemplated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10.17</w:t>
      </w:r>
      <w:r>
        <w:rPr>
          <w:rFonts w:ascii="Times New Roman;Times;serif" w:hAnsi="Times New Roman;Times;serif"/>
          <w:b/>
          <w:sz w:val="22"/>
        </w:rPr>
        <w:t>Electronic Execution of Assignments and Certain Other Documents.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2"/>
        </w:rPr>
        <w:t>This Agreement, any Loan document and any other amendment, approval, consent, information, notice, certificate, request, statement, disclosure or authorization related to this Agreement (each a “</w:t>
      </w:r>
      <w:r>
        <w:rPr>
          <w:rFonts w:ascii="Times New Roman;Times;serif" w:hAnsi="Times New Roman;Times;serif"/>
          <w:sz w:val="22"/>
          <w:u w:val="single"/>
        </w:rPr>
        <w:t>Communication</w:t>
      </w:r>
      <w:r>
        <w:rPr>
          <w:rFonts w:ascii="Times New Roman;Times;serif" w:hAnsi="Times New Roman;Times;serif"/>
          <w:sz w:val="20"/>
        </w:rPr>
        <w:t>”</w:t>
      </w:r>
      <w:r>
        <w:rPr>
          <w:rFonts w:ascii="Times New Roman;Times;serif" w:hAnsi="Times New Roman;Times;serif"/>
          <w:sz w:val="22"/>
        </w:rPr>
        <w:t xml:space="preserve">), including Communications required to be in writing, may be in the form of an Electronic Record and may be executed using Electronic Signatures.  Each of the Loan Parties and each of the Agent and each Lender agrees that any Electronic Signature on or associated with any Communication shall be valid and binding on such Person to the same extent as a manual, original signature, and that any Communication entered into by Electronic Signature, will constitute the legal,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Agent and each of the Lenders of a manually signed paper Communication which has been converted into electronic form (such as scanned into PDF format), or an electronically signed Communication converted into another format, for transmission, delivery and/or retention. The Agent and each of the Lenders may, at its option, create one or more copies of any Communication in the form of an imaged Electronic Record (“</w:t>
      </w:r>
      <w:r>
        <w:rPr>
          <w:rFonts w:ascii="Times New Roman;Times;serif" w:hAnsi="Times New Roman;Times;serif"/>
          <w:sz w:val="22"/>
          <w:u w:val="single"/>
        </w:rPr>
        <w:t>Electronic Copy</w:t>
      </w:r>
      <w:r>
        <w:rPr>
          <w:rFonts w:ascii="Times New Roman;Times;serif" w:hAnsi="Times New Roman;Times;serif"/>
          <w:sz w:val="20"/>
        </w:rPr>
        <w:t>”</w:t>
      </w:r>
      <w:r>
        <w:rPr>
          <w:rFonts w:ascii="Times New Roman;Times;serif" w:hAnsi="Times New Roman;Times;serif"/>
          <w:sz w:val="22"/>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Agent, L/C Issuer nor Swing Line Lender is under any obligation to accept an Electronic Signature in any form or in any format unless expressly agreed to by such Person pursuant to procedures approved by it; provided, further, without limiting the foregoing, (a) to the extent the Agent, L/C Issuer and/or Swing Line Lender has agreed to accept such Electronic Signature, the Agent and each of the Lenders shall be entitled to rely on any such Electronic Signature purportedly given by or on behalf of any Loan Party without further verification and (b) upon the request of the Agent or any Lender, any Electronic Signature shall be promptly followed by such manually executed counterpart.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Neither the Agent,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Agent’s, L/C Issuer’s or Swing Line Lender’s reliance on any Electronic Signature transmitted telecopy, emailed .pdf or any other electronic means). The Agent,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Each of the Loan Parties and each Lender hereby waives (i) any argument, defense or right to contest the legal effect, validity or enforceability of this Agreement or any other Loan Document based solely on the lack of paper original copies of this Agreement or such other Loan Document, and (ii) waives any claim against the Agent and each Lender for any liabilities arising solely from the Agent’s and/or any Lender’s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10.18</w:t>
      </w:r>
      <w:r>
        <w:rPr>
          <w:rFonts w:ascii="Times New Roman;Times;serif" w:hAnsi="Times New Roman;Times;serif"/>
          <w:b/>
          <w:sz w:val="22"/>
        </w:rPr>
        <w:t>USA PATRIOT Act</w:t>
      </w:r>
      <w:r>
        <w:rPr>
          <w:rFonts w:ascii="Times New Roman;Times;serif" w:hAnsi="Times New Roman;Times;serif"/>
          <w:sz w:val="22"/>
        </w:rPr>
        <w:t>.  Each Lender that is subject to the PATRIOT Act (as hereinafter defined) and the Agent (for itself and not on behalf of any Lender) hereby notifies the Borrower that pursuant to the requirements of the USA PATRIOT Act (Title III of Pub.  L. 107-56 (signed into law October 26, 2001)) (the “</w:t>
      </w:r>
      <w:r>
        <w:rPr>
          <w:rFonts w:ascii="Times New Roman;Times;serif" w:hAnsi="Times New Roman;Times;serif"/>
          <w:sz w:val="22"/>
          <w:u w:val="single"/>
        </w:rPr>
        <w:t>PATRIOT Act</w:t>
      </w:r>
      <w:r>
        <w:rPr>
          <w:rFonts w:ascii="Times New Roman;Times;serif" w:hAnsi="Times New Roman;Times;serif"/>
          <w:sz w:val="20"/>
        </w:rPr>
        <w:t>”</w:t>
      </w:r>
      <w:r>
        <w:rPr>
          <w:rFonts w:ascii="Times New Roman;Times;serif" w:hAnsi="Times New Roman;Times;serif"/>
          <w:sz w:val="22"/>
        </w:rPr>
        <w:t xml:space="preserve">), it is required to obtain, verify and record information that identifies the Loan Parties, which information includes the name, address and tax identification numbers of the Loan Parties and other information that will allow such Lender or the Agent, as applicable, to identify the Loan Parties in accordance with the PATRIOT Act.  The Borrower shall, promptly following a request by the Agent or any Lender, provide all documentation and other information that the Agent or such Lender requests in order to comply with its ongoing obligations under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applicable “know your customer” and anti-money laundering rules and regulations, including the PATRIOT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10.19</w:t>
      </w:r>
      <w:r>
        <w:rPr>
          <w:rFonts w:ascii="Times New Roman;Times;serif" w:hAnsi="Times New Roman;Times;serif"/>
          <w:b/>
          <w:sz w:val="22"/>
        </w:rPr>
        <w:t>Acknowledgement and Consent to Bail-In of Affected Financial Institutions</w:t>
      </w:r>
      <w:r>
        <w:rPr>
          <w:rFonts w:ascii="Times New Roman;Times;serif" w:hAnsi="Times New Roman;Times;serif"/>
          <w:sz w:val="22"/>
        </w:rPr>
        <w:t>.  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(a) </w:t>
      </w:r>
      <w:r>
        <w:rPr>
          <w:rFonts w:ascii="Times New Roman;Times;serif" w:hAnsi="Times New Roman;Times;serif"/>
          <w:sz w:val="22"/>
        </w:rPr>
        <w:t>the application of any Write-Down and Conversion Powers by the applicable Resolution Authority to any such liabilities arising hereunder which may be payable to it by any Lender or L/C Issuer that is an Affected Financial Institution; and</w:t>
      </w:r>
    </w:p>
    <w:p>
      <w:pPr>
        <w:pStyle w:val="TextBody"/>
        <w:bidi w:val="0"/>
        <w:spacing w:before="0" w:after="0"/>
        <w:ind w:left="720" w:right="0" w:firstLine="72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(b) </w:t>
      </w:r>
      <w:r>
        <w:rPr>
          <w:rFonts w:ascii="Times New Roman;Times;serif" w:hAnsi="Times New Roman;Times;serif"/>
          <w:sz w:val="22"/>
        </w:rPr>
        <w:t>the effects of any Bail-In Action on any such liability, including, if applicable:</w:t>
      </w:r>
    </w:p>
    <w:p>
      <w:pPr>
        <w:pStyle w:val="TextBody"/>
        <w:bidi w:val="0"/>
        <w:spacing w:before="0" w:after="0"/>
        <w:ind w:left="1440" w:right="0" w:firstLine="720"/>
        <w:jc w:val="both"/>
        <w:rPr/>
      </w:pPr>
      <w:r>
        <w:rPr/>
        <w:t>​</w:t>
      </w:r>
    </w:p>
    <w:p>
      <w:pPr>
        <w:pStyle w:val="TextBody"/>
        <w:bidi w:val="0"/>
        <w:spacing w:before="0" w:after="0"/>
        <w:ind w:left="1440" w:right="0" w:firstLine="720"/>
        <w:jc w:val="both"/>
        <w:rPr>
          <w:rFonts w:ascii="Times New Roman;Times;serif" w:hAnsi="Times New Roman;Times;serif"/>
          <w:sz w:val="22"/>
        </w:rPr>
      </w:pPr>
      <w:r>
        <w:rPr>
          <w:rFonts w:ascii="Times New Roman;Times;serif" w:hAnsi="Times New Roman;Times;serif"/>
          <w:sz w:val="22"/>
        </w:rPr>
        <w:t>(i) a reduction in full or in part or cancellation of any such liability;</w:t>
      </w:r>
    </w:p>
    <w:p>
      <w:pPr>
        <w:pStyle w:val="TextBody"/>
        <w:bidi w:val="0"/>
        <w:spacing w:before="0" w:after="0"/>
        <w:ind w:left="1440" w:right="0" w:firstLine="720"/>
        <w:jc w:val="both"/>
        <w:rPr/>
      </w:pPr>
      <w:r>
        <w:rPr/>
        <w:t>​</w:t>
      </w:r>
    </w:p>
    <w:p>
      <w:pPr>
        <w:pStyle w:val="TextBody"/>
        <w:bidi w:val="0"/>
        <w:spacing w:before="0" w:after="0"/>
        <w:ind w:left="1440" w:right="0" w:firstLine="720"/>
        <w:jc w:val="both"/>
        <w:rPr>
          <w:rFonts w:ascii="Times New Roman;Times;serif" w:hAnsi="Times New Roman;Times;serif"/>
          <w:sz w:val="22"/>
        </w:rPr>
      </w:pPr>
      <w:r>
        <w:rPr>
          <w:rFonts w:ascii="Times New Roman;Times;serif" w:hAnsi="Times New Roman;Times;serif"/>
          <w:sz w:val="22"/>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1440" w:right="0" w:firstLine="720"/>
        <w:jc w:val="both"/>
        <w:rPr/>
      </w:pPr>
      <w:r>
        <w:rPr/>
        <w:t>​</w:t>
      </w:r>
    </w:p>
    <w:p>
      <w:pPr>
        <w:pStyle w:val="TextBody"/>
        <w:bidi w:val="0"/>
        <w:spacing w:before="0" w:after="0"/>
        <w:ind w:left="1440" w:right="0" w:firstLine="720"/>
        <w:jc w:val="left"/>
        <w:rPr>
          <w:rFonts w:ascii="Times New Roman;Times;serif" w:hAnsi="Times New Roman;Times;serif"/>
          <w:sz w:val="22"/>
        </w:rPr>
      </w:pPr>
      <w:r>
        <w:rPr>
          <w:rFonts w:ascii="Times New Roman;Times;serif" w:hAnsi="Times New Roman;Times;serif"/>
          <w:sz w:val="22"/>
        </w:rPr>
        <w:t>(iii) the variation of the terms of such liability in connection with the exercise of the Write-Down and Conversion Powers of the applicable Resolution Authority.</w:t>
      </w:r>
    </w:p>
    <w:p>
      <w:pPr>
        <w:pStyle w:val="TextBody"/>
        <w:bidi w:val="0"/>
        <w:spacing w:before="0" w:after="0"/>
        <w:ind w:left="1440" w:right="0" w:firstLine="72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10.20.  Acknowledgement Regarding Any Supported QFCs.</w:t>
      </w:r>
      <w:r>
        <w:rPr>
          <w:rFonts w:ascii="Times New Roman;Times;serif" w:hAnsi="Times New Roman;Times;serif"/>
          <w:sz w:val="20"/>
        </w:rPr>
        <w:t xml:space="preserve"> </w:t>
      </w:r>
      <w:r>
        <w:rPr>
          <w:rFonts w:ascii="Times New Roman;Times;serif" w:hAnsi="Times New Roman;Times;serif"/>
          <w:sz w:val="22"/>
        </w:rPr>
        <w:t>To the extent that the Loan Documents provide support, through a guarantee or otherwise, for any Swap Contract or any other agreement or instrument that is a QFC (such support, “</w:t>
      </w:r>
      <w:r>
        <w:rPr>
          <w:rFonts w:ascii="Times New Roman;Times;serif" w:hAnsi="Times New Roman;Times;serif"/>
          <w:sz w:val="22"/>
          <w:u w:val="single"/>
        </w:rPr>
        <w:t>QFC Credit Support</w:t>
      </w:r>
      <w:r>
        <w:rPr>
          <w:rFonts w:ascii="Times New Roman;Times;serif" w:hAnsi="Times New Roman;Times;serif"/>
          <w:sz w:val="20"/>
        </w:rPr>
        <w:t>”</w:t>
      </w:r>
      <w:r>
        <w:rPr>
          <w:rFonts w:ascii="Times New Roman;Times;serif" w:hAnsi="Times New Roman;Times;serif"/>
          <w:sz w:val="22"/>
        </w:rPr>
        <w:t>, and each such QFC, a “</w:t>
      </w:r>
      <w:r>
        <w:rPr>
          <w:rFonts w:ascii="Times New Roman;Times;serif" w:hAnsi="Times New Roman;Times;serif"/>
          <w:sz w:val="22"/>
          <w:u w:val="single"/>
        </w:rPr>
        <w:t>Supported QFC</w:t>
      </w:r>
      <w:r>
        <w:rPr>
          <w:rFonts w:ascii="Times New Roman;Times;serif" w:hAnsi="Times New Roman;Times;serif"/>
          <w:sz w:val="20"/>
        </w:rPr>
        <w:t>”</w:t>
      </w:r>
      <w:r>
        <w:rPr>
          <w:rFonts w:ascii="Times New Roman;Times;serif" w:hAnsi="Times New Roman;Times;serif"/>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sz w:val="22"/>
          <w:u w:val="single"/>
        </w:rPr>
        <w:t>U.S. Special Resolution Regimes</w:t>
      </w:r>
      <w:r>
        <w:rPr>
          <w:rFonts w:ascii="Times New Roman;Times;serif" w:hAnsi="Times New Roman;Times;serif"/>
          <w:sz w:val="20"/>
        </w:rPr>
        <w:t>”</w:t>
      </w:r>
      <w:r>
        <w:rPr>
          <w:rFonts w:ascii="Times New Roman;Times;serif" w:hAnsi="Times New Roman;Times;serif"/>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1440" w:right="0" w:firstLine="72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In the event a Covered Entity that is party to a Supported QFC (each, a “</w:t>
      </w:r>
      <w:r>
        <w:rPr>
          <w:rFonts w:ascii="Times New Roman;Times;serif" w:hAnsi="Times New Roman;Times;serif"/>
          <w:sz w:val="22"/>
          <w:u w:val="single"/>
        </w:rPr>
        <w:t>Covered Party</w:t>
      </w:r>
      <w:r>
        <w:rPr>
          <w:rFonts w:ascii="Times New Roman;Times;serif" w:hAnsi="Times New Roman;Times;serif"/>
          <w:sz w:val="20"/>
        </w:rPr>
        <w:t>”</w:t>
      </w:r>
      <w:r>
        <w:rPr>
          <w:rFonts w:ascii="Times New Roman;Times;serif" w:hAnsi="Times New Roman;Times;serif"/>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103</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1440" w:right="0" w:firstLine="72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As used in this </w:t>
      </w:r>
      <w:r>
        <w:rPr>
          <w:rFonts w:ascii="Times New Roman;Times;serif" w:hAnsi="Times New Roman;Times;serif"/>
          <w:sz w:val="22"/>
          <w:u w:val="single"/>
        </w:rPr>
        <w:t>Section 10.20</w:t>
      </w:r>
      <w:r>
        <w:rPr>
          <w:rFonts w:ascii="Times New Roman;Times;serif" w:hAnsi="Times New Roman;Times;serif"/>
          <w:sz w:val="22"/>
        </w:rPr>
        <w:t>, the following terms have the following meanings:</w:t>
      </w:r>
    </w:p>
    <w:p>
      <w:pPr>
        <w:pStyle w:val="TextBody"/>
        <w:bidi w:val="0"/>
        <w:spacing w:before="0" w:after="0"/>
        <w:ind w:left="1440" w:right="0" w:firstLine="720"/>
        <w:jc w:val="both"/>
        <w:rPr/>
      </w:pPr>
      <w:r>
        <w:rPr/>
        <w:t>​</w:t>
      </w:r>
    </w:p>
    <w:p>
      <w:pPr>
        <w:pStyle w:val="TextBody"/>
        <w:bidi w:val="0"/>
        <w:spacing w:before="0" w:after="0"/>
        <w:ind w:left="720" w:right="0" w:firstLine="720"/>
        <w:jc w:val="both"/>
        <w:rPr/>
      </w:pPr>
      <w:r>
        <w:rPr/>
        <w:t>“</w:t>
      </w:r>
      <w:r>
        <w:rPr>
          <w:rFonts w:ascii="Times New Roman;Times;serif" w:hAnsi="Times New Roman;Times;serif"/>
          <w:sz w:val="22"/>
          <w:u w:val="single"/>
        </w:rPr>
        <w:t>BHC Act Affiliate</w:t>
      </w:r>
      <w:r>
        <w:rPr>
          <w:rFonts w:ascii="Times New Roman;Times;serif" w:hAnsi="Times New Roman;Times;serif"/>
          <w:sz w:val="20"/>
        </w:rPr>
        <w:t xml:space="preserve">” </w:t>
      </w:r>
      <w:r>
        <w:rPr>
          <w:rFonts w:ascii="Times New Roman;Times;serif" w:hAnsi="Times New Roman;Times;serif"/>
          <w:sz w:val="22"/>
        </w:rPr>
        <w:t>of a party means an “affiliate” (as such term is defined under, and interpreted in accordance with, 12 U.S.C. 1841(k)) of such party.</w:t>
      </w:r>
    </w:p>
    <w:p>
      <w:pPr>
        <w:pStyle w:val="TextBody"/>
        <w:bidi w:val="0"/>
        <w:spacing w:before="0" w:after="0"/>
        <w:ind w:left="1440" w:right="0" w:firstLine="720"/>
        <w:jc w:val="both"/>
        <w:rPr/>
      </w:pPr>
      <w:r>
        <w:rPr/>
        <w:t>​</w:t>
      </w:r>
    </w:p>
    <w:p>
      <w:pPr>
        <w:pStyle w:val="TextBody"/>
        <w:bidi w:val="0"/>
        <w:spacing w:before="0" w:after="0"/>
        <w:ind w:left="720" w:right="0" w:firstLine="720"/>
        <w:jc w:val="both"/>
        <w:rPr/>
      </w:pPr>
      <w:r>
        <w:rPr/>
        <w:t>“</w:t>
      </w:r>
      <w:r>
        <w:rPr>
          <w:rFonts w:ascii="Times New Roman;Times;serif" w:hAnsi="Times New Roman;Times;serif"/>
          <w:sz w:val="22"/>
          <w:u w:val="single"/>
        </w:rPr>
        <w:t>Covered Entity</w:t>
      </w:r>
      <w:r>
        <w:rPr>
          <w:rFonts w:ascii="Times New Roman;Times;serif" w:hAnsi="Times New Roman;Times;serif"/>
          <w:sz w:val="20"/>
        </w:rPr>
        <w:t xml:space="preserve">” </w:t>
      </w:r>
      <w:r>
        <w:rPr>
          <w:rFonts w:ascii="Times New Roman;Times;serif" w:hAnsi="Times New Roman;Times;serif"/>
          <w:sz w:val="22"/>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0"/>
        <w:ind w:left="1440" w:right="0" w:firstLine="720"/>
        <w:jc w:val="both"/>
        <w:rPr/>
      </w:pPr>
      <w:r>
        <w:rPr/>
        <w:t>​</w:t>
      </w:r>
    </w:p>
    <w:p>
      <w:pPr>
        <w:pStyle w:val="TextBody"/>
        <w:bidi w:val="0"/>
        <w:spacing w:before="0" w:after="0"/>
        <w:ind w:left="720" w:right="0" w:firstLine="720"/>
        <w:jc w:val="both"/>
        <w:rPr/>
      </w:pPr>
      <w:r>
        <w:rPr/>
        <w:t>“</w:t>
      </w:r>
      <w:r>
        <w:rPr>
          <w:rFonts w:ascii="Times New Roman;Times;serif" w:hAnsi="Times New Roman;Times;serif"/>
          <w:sz w:val="22"/>
          <w:u w:val="single"/>
        </w:rPr>
        <w:t>Default Right</w:t>
      </w:r>
      <w:r>
        <w:rPr>
          <w:rFonts w:ascii="Times New Roman;Times;serif" w:hAnsi="Times New Roman;Times;serif"/>
          <w:sz w:val="20"/>
        </w:rPr>
        <w:t xml:space="preserve">” </w:t>
      </w:r>
      <w:r>
        <w:rPr>
          <w:rFonts w:ascii="Times New Roman;Times;serif" w:hAnsi="Times New Roman;Times;serif"/>
          <w:sz w:val="22"/>
        </w:rPr>
        <w:t>has the meaning assigned to that term in, and shall be interpreted in accordance with, 12 C.F.R. §§ 252.81, 47.2 or 382.1, as applicable.</w:t>
      </w:r>
    </w:p>
    <w:p>
      <w:pPr>
        <w:pStyle w:val="TextBody"/>
        <w:bidi w:val="0"/>
        <w:spacing w:before="0" w:after="0"/>
        <w:ind w:left="1440" w:right="0" w:firstLine="720"/>
        <w:jc w:val="both"/>
        <w:rPr/>
      </w:pPr>
      <w:r>
        <w:rPr/>
        <w:t>​</w:t>
      </w:r>
    </w:p>
    <w:p>
      <w:pPr>
        <w:pStyle w:val="TextBody"/>
        <w:bidi w:val="0"/>
        <w:spacing w:before="0" w:after="0"/>
        <w:ind w:left="720" w:right="0" w:firstLine="720"/>
        <w:jc w:val="both"/>
        <w:rPr/>
      </w:pPr>
      <w:r>
        <w:rPr/>
        <w:t>“</w:t>
      </w:r>
      <w:r>
        <w:rPr>
          <w:rFonts w:ascii="Times New Roman;Times;serif" w:hAnsi="Times New Roman;Times;serif"/>
          <w:sz w:val="22"/>
          <w:u w:val="single"/>
        </w:rPr>
        <w:t>QFC</w:t>
      </w:r>
      <w:r>
        <w:rPr>
          <w:rFonts w:ascii="Times New Roman;Times;serif" w:hAnsi="Times New Roman;Times;serif"/>
          <w:sz w:val="20"/>
        </w:rPr>
        <w:t xml:space="preserve">” </w:t>
      </w:r>
      <w:r>
        <w:rPr>
          <w:rFonts w:ascii="Times New Roman;Times;serif" w:hAnsi="Times New Roman;Times;serif"/>
          <w:sz w:val="22"/>
        </w:rPr>
        <w:t>has the meaning assigned to the term “qualified financial contract” in, and shall be interpreted in accordance with, 12 U.S.C. 5390(c)(8)(D).</w:t>
      </w:r>
    </w:p>
    <w:p>
      <w:pPr>
        <w:pStyle w:val="TextBody"/>
        <w:bidi w:val="0"/>
        <w:spacing w:before="0" w:after="0"/>
        <w:ind w:left="1440" w:right="0" w:firstLine="720"/>
        <w:jc w:val="both"/>
        <w:rPr/>
      </w:pPr>
      <w:r>
        <w:rPr/>
        <w:t>​</w:t>
      </w:r>
    </w:p>
    <w:p>
      <w:pPr>
        <w:pStyle w:val="TextBody"/>
        <w:bidi w:val="0"/>
        <w:spacing w:before="0" w:after="0"/>
        <w:ind w:left="720" w:right="0" w:firstLine="720"/>
        <w:jc w:val="both"/>
        <w:rPr/>
      </w:pPr>
      <w:r>
        <w:rPr/>
        <w:t>“</w:t>
      </w:r>
      <w:r>
        <w:rPr>
          <w:rFonts w:ascii="Times New Roman;Times;serif" w:hAnsi="Times New Roman;Times;serif"/>
          <w:sz w:val="22"/>
          <w:u w:val="single"/>
        </w:rPr>
        <w:t>Swap Contract</w:t>
      </w:r>
      <w:r>
        <w:rPr>
          <w:rFonts w:ascii="Times New Roman;Times;serif" w:hAnsi="Times New Roman;Times;serif"/>
          <w:sz w:val="20"/>
        </w:rPr>
        <w:t xml:space="preserve">” </w:t>
      </w:r>
      <w:r>
        <w:rPr>
          <w:rFonts w:ascii="Times New Roman;Times;serif" w:hAnsi="Times New Roman;Times;serif"/>
          <w:sz w:val="22"/>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Times;serif" w:hAnsi="Times New Roman;Times;serif"/>
          <w:sz w:val="22"/>
          <w:u w:val="single"/>
        </w:rPr>
        <w:t>Master Agreement</w:t>
      </w:r>
      <w:r>
        <w:rPr>
          <w:rFonts w:ascii="Times New Roman;Times;serif" w:hAnsi="Times New Roman;Times;serif"/>
          <w:sz w:val="20"/>
        </w:rPr>
        <w:t>”</w:t>
      </w:r>
      <w:r>
        <w:rPr>
          <w:rFonts w:ascii="Times New Roman;Times;serif" w:hAnsi="Times New Roman;Times;serif"/>
          <w:sz w:val="22"/>
        </w:rPr>
        <w:t>), including any such obligations or liabilities under any Master Agreement.</w:t>
      </w:r>
    </w:p>
    <w:p>
      <w:pPr>
        <w:pStyle w:val="TextBody"/>
        <w:bidi w:val="0"/>
        <w:spacing w:before="0" w:after="0"/>
        <w:ind w:left="720" w:right="0" w:firstLine="720"/>
        <w:jc w:val="both"/>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PAGES FOLLOW]</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IN WITNESS WHEREOF, the parties hereto have caused this Agreement to be duly executed as of the date first above written.</w:t>
      </w:r>
    </w:p>
    <w:tbl>
      <w:tblPr>
        <w:tblW w:w="6006" w:type="dxa"/>
        <w:jc w:val="left"/>
        <w:tblInd w:w="0" w:type="dxa"/>
        <w:tblLayout w:type="fixed"/>
        <w:tblCellMar>
          <w:top w:w="0" w:type="dxa"/>
          <w:left w:w="0" w:type="dxa"/>
          <w:bottom w:w="0" w:type="dxa"/>
          <w:right w:w="0" w:type="dxa"/>
        </w:tblCellMar>
      </w:tblPr>
      <w:tblGrid>
        <w:gridCol w:w="124"/>
        <w:gridCol w:w="781"/>
        <w:gridCol w:w="510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78740" cy="175260"/>
                      <wp:effectExtent l="0" t="0" r="0" b="0"/>
                      <wp:wrapNone/>
                      <wp:docPr id="507" name="Frame50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95935" cy="175260"/>
                      <wp:effectExtent l="0" t="0" r="0" b="0"/>
                      <wp:wrapNone/>
                      <wp:docPr id="508" name="Frame5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3239135" cy="175260"/>
                      <wp:effectExtent l="0" t="0" r="0" b="0"/>
                      <wp:wrapNone/>
                      <wp:docPr id="509" name="Frame509"/>
                      <a:graphic xmlns:a="http://schemas.openxmlformats.org/drawingml/2006/main">
                        <a:graphicData uri="http://schemas.microsoft.com/office/word/2010/wordprocessingShape">
                          <wps:wsp>
                            <wps:cNvSpPr txBox="1"/>
                            <wps:spPr>
                              <a:xfrm>
                                <a:off x="0" y="0"/>
                                <a:ext cx="323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588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w:t>
            </w:r>
          </w:p>
        </w:tc>
      </w:tr>
      <w:tr>
        <w:trPr/>
        <w:tc>
          <w:tcPr>
            <w:tcW w:w="124"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51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51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Joel M. Wine</w:t>
            </w:r>
          </w:p>
        </w:tc>
      </w:tr>
      <w:tr>
        <w:trPr/>
        <w:tc>
          <w:tcPr>
            <w:tcW w:w="124"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Name: </w:t>
            </w:r>
          </w:p>
        </w:tc>
        <w:tc>
          <w:tcPr>
            <w:tcW w:w="51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Joel M. Wine</w:t>
            </w:r>
          </w:p>
        </w:tc>
      </w:tr>
      <w:tr>
        <w:trPr/>
        <w:tc>
          <w:tcPr>
            <w:tcW w:w="124"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51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Executive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2"/>
        </w:rPr>
      </w:pPr>
      <w:r>
        <w:rPr>
          <w:rFonts w:ascii="Times New Roman;Times;serif" w:hAnsi="Times New Roman;Times;serif"/>
          <w:sz w:val="22"/>
        </w:rPr>
        <w:t>THIRD AMENDED AND RESTATED CREDIT AGREEMENT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w:t>
      </w:r>
    </w:p>
    <w:p>
      <w:pPr>
        <w:pStyle w:val="HorizontalLine"/>
        <w:pBdr>
          <w:bottom w:val="double" w:sz="2" w:space="0" w:color="808080"/>
        </w:pBdr>
        <w:bidi w:val="0"/>
        <w:spacing w:before="0" w:after="283"/>
        <w:jc w:val="left"/>
        <w:rPr/>
      </w:pPr>
      <w:r>
        <w:rPr/>
      </w:r>
    </w:p>
    <w:tbl>
      <w:tblPr>
        <w:tblW w:w="4443" w:type="dxa"/>
        <w:jc w:val="left"/>
        <w:tblInd w:w="0" w:type="dxa"/>
        <w:tblLayout w:type="fixed"/>
        <w:tblCellMar>
          <w:top w:w="0" w:type="dxa"/>
          <w:left w:w="0" w:type="dxa"/>
          <w:bottom w:w="0" w:type="dxa"/>
          <w:right w:w="0" w:type="dxa"/>
        </w:tblCellMar>
      </w:tblPr>
      <w:tblGrid>
        <w:gridCol w:w="991"/>
        <w:gridCol w:w="781"/>
        <w:gridCol w:w="2671"/>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29285" cy="175260"/>
                      <wp:effectExtent l="0" t="0" r="0" b="0"/>
                      <wp:wrapNone/>
                      <wp:docPr id="510" name="Frame51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95935" cy="175260"/>
                      <wp:effectExtent l="0" t="0" r="0" b="0"/>
                      <wp:wrapNone/>
                      <wp:docPr id="511" name="Frame5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696085" cy="175260"/>
                      <wp:effectExtent l="0" t="0" r="0" b="0"/>
                      <wp:wrapNone/>
                      <wp:docPr id="512" name="Frame512"/>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caps/>
                <w:sz w:val="22"/>
              </w:rPr>
              <w:t>AGENT</w:t>
            </w:r>
            <w:r>
              <w:rPr>
                <w:rFonts w:ascii="Times New Roman;Times;serif" w:hAnsi="Times New Roman;Times;serif"/>
                <w:caps/>
                <w:sz w:val="22"/>
              </w:rPr>
              <w:t>:</w:t>
            </w:r>
          </w:p>
        </w:tc>
        <w:tc>
          <w:tcPr>
            <w:tcW w:w="34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aps/>
                <w:sz w:val="22"/>
              </w:rPr>
              <w:t>BANK OF AMERICA, N.A.</w:t>
            </w:r>
            <w:r>
              <w:rPr>
                <w:rFonts w:ascii="Times New Roman;Times;serif" w:hAnsi="Times New Roman;Times;serif"/>
                <w:b/>
                <w:caps/>
                <w:sz w:val="22"/>
              </w:rPr>
              <w:t>,</w:t>
            </w:r>
          </w:p>
        </w:tc>
      </w:tr>
      <w:tr>
        <w:trPr/>
        <w:tc>
          <w:tcPr>
            <w:tcW w:w="991" w:type="dxa"/>
            <w:tcBorders/>
            <w:vAlign w:val="center"/>
          </w:tcPr>
          <w:p>
            <w:pPr>
              <w:pStyle w:val="TableContents"/>
              <w:bidi w:val="0"/>
              <w:spacing w:before="0" w:after="0"/>
              <w:ind w:left="0" w:right="0" w:hanging="0"/>
              <w:jc w:val="left"/>
              <w:rPr/>
            </w:pPr>
            <w:r>
              <w:rPr/>
              <w:t>​</w:t>
            </w:r>
          </w:p>
        </w:tc>
        <w:tc>
          <w:tcPr>
            <w:tcW w:w="345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Agent</w:t>
            </w:r>
          </w:p>
        </w:tc>
      </w:tr>
      <w:tr>
        <w:trPr/>
        <w:tc>
          <w:tcPr>
            <w:tcW w:w="991" w:type="dxa"/>
            <w:tcBorders/>
            <w:vAlign w:val="center"/>
          </w:tcPr>
          <w:p>
            <w:pPr>
              <w:pStyle w:val="TableContents"/>
              <w:bidi w:val="0"/>
              <w:spacing w:before="0" w:after="0"/>
              <w:ind w:left="0" w:right="0" w:hanging="0"/>
              <w:jc w:val="left"/>
              <w:rPr/>
            </w:pPr>
            <w:r>
              <w:rPr/>
              <w:t>​</w:t>
            </w:r>
          </w:p>
        </w:tc>
        <w:tc>
          <w:tcPr>
            <w:tcW w:w="3452" w:type="dxa"/>
            <w:gridSpan w:val="2"/>
            <w:tcBorders/>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2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Carolyn LaBatte-Leavitt</w:t>
            </w:r>
          </w:p>
        </w:tc>
      </w:tr>
      <w:tr>
        <w:trPr/>
        <w:tc>
          <w:tcPr>
            <w:tcW w:w="99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Name: </w:t>
            </w:r>
          </w:p>
        </w:tc>
        <w:tc>
          <w:tcPr>
            <w:tcW w:w="26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Carolyn LaBatte-Leavitt</w:t>
            </w:r>
          </w:p>
        </w:tc>
      </w:tr>
      <w:tr>
        <w:trPr/>
        <w:tc>
          <w:tcPr>
            <w:tcW w:w="99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Title: </w:t>
            </w:r>
          </w:p>
        </w:tc>
        <w:tc>
          <w:tcPr>
            <w:tcW w:w="2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2"/>
        </w:rPr>
      </w:pPr>
      <w:r>
        <w:rPr>
          <w:rFonts w:ascii="Times New Roman;Times;serif" w:hAnsi="Times New Roman;Times;serif"/>
          <w:sz w:val="22"/>
        </w:rPr>
        <w:t>THIRD AMENDED AND RESTATED CREDIT AGREEMENT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w:t>
      </w:r>
    </w:p>
    <w:p>
      <w:pPr>
        <w:pStyle w:val="HorizontalLine"/>
        <w:pBdr>
          <w:bottom w:val="double" w:sz="2" w:space="0" w:color="808080"/>
        </w:pBdr>
        <w:bidi w:val="0"/>
        <w:spacing w:before="0" w:after="283"/>
        <w:jc w:val="left"/>
        <w:rPr/>
      </w:pPr>
      <w:r>
        <w:rPr/>
      </w:r>
    </w:p>
    <w:tbl>
      <w:tblPr>
        <w:tblW w:w="5641" w:type="dxa"/>
        <w:jc w:val="left"/>
        <w:tblInd w:w="0" w:type="dxa"/>
        <w:tblLayout w:type="fixed"/>
        <w:tblCellMar>
          <w:top w:w="0" w:type="dxa"/>
          <w:left w:w="0" w:type="dxa"/>
          <w:bottom w:w="0" w:type="dxa"/>
          <w:right w:w="0" w:type="dxa"/>
        </w:tblCellMar>
      </w:tblPr>
      <w:tblGrid>
        <w:gridCol w:w="1246"/>
        <w:gridCol w:w="1166"/>
        <w:gridCol w:w="3229"/>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791210" cy="175260"/>
                      <wp:effectExtent l="0" t="0" r="0" b="0"/>
                      <wp:wrapNone/>
                      <wp:docPr id="513" name="Frame51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740410" cy="175260"/>
                      <wp:effectExtent l="0" t="0" r="0" b="0"/>
                      <wp:wrapNone/>
                      <wp:docPr id="514" name="Frame514"/>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50415" cy="175260"/>
                      <wp:effectExtent l="0" t="0" r="0" b="0"/>
                      <wp:wrapNone/>
                      <wp:docPr id="515" name="Frame515"/>
                      <a:graphic xmlns:a="http://schemas.openxmlformats.org/drawingml/2006/main">
                        <a:graphicData uri="http://schemas.microsoft.com/office/word/2010/wordprocessingShape">
                          <wps:wsp>
                            <wps:cNvSpPr txBox="1"/>
                            <wps:spPr>
                              <a:xfrm>
                                <a:off x="0" y="0"/>
                                <a:ext cx="2050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caps/>
                <w:sz w:val="22"/>
              </w:rPr>
              <w:t>lenders</w:t>
            </w:r>
            <w:r>
              <w:rPr>
                <w:rFonts w:ascii="Times New Roman;Times;serif" w:hAnsi="Times New Roman;Times;serif"/>
                <w:caps/>
                <w:sz w:val="22"/>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caps/>
                <w:sz w:val="22"/>
              </w:rPr>
            </w:pPr>
            <w:r>
              <w:rPr>
                <w:rFonts w:ascii="Times New Roman;Times;serif" w:hAnsi="Times New Roman;Times;serif"/>
                <w:caps/>
                <w:sz w:val="22"/>
              </w:rPr>
              <w:t>BANK OF AMERICA, N.A.,</w:t>
            </w:r>
          </w:p>
        </w:tc>
      </w:tr>
      <w:tr>
        <w:trPr/>
        <w:tc>
          <w:tcPr>
            <w:tcW w:w="1246"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Lender, Swing Line Lender and L/C Issuer</w:t>
            </w:r>
          </w:p>
        </w:tc>
      </w:tr>
      <w:tr>
        <w:trPr/>
        <w:tc>
          <w:tcPr>
            <w:tcW w:w="1246"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11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32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Daryl K. Hogge</w:t>
            </w:r>
          </w:p>
        </w:tc>
      </w:tr>
      <w:tr>
        <w:trPr/>
        <w:tc>
          <w:tcPr>
            <w:tcW w:w="1246" w:type="dxa"/>
            <w:tcBorders/>
            <w:vAlign w:val="center"/>
          </w:tcPr>
          <w:p>
            <w:pPr>
              <w:pStyle w:val="TableContents"/>
              <w:bidi w:val="0"/>
              <w:spacing w:before="0" w:after="0"/>
              <w:ind w:left="0" w:right="0" w:hanging="0"/>
              <w:jc w:val="left"/>
              <w:rPr/>
            </w:pPr>
            <w:r>
              <w:rPr/>
              <w:t>​</w:t>
            </w:r>
          </w:p>
        </w:tc>
        <w:tc>
          <w:tcPr>
            <w:tcW w:w="11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Name: </w:t>
            </w:r>
          </w:p>
        </w:tc>
        <w:tc>
          <w:tcPr>
            <w:tcW w:w="322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Daryl K. Hogge</w:t>
            </w:r>
          </w:p>
        </w:tc>
      </w:tr>
      <w:tr>
        <w:trPr/>
        <w:tc>
          <w:tcPr>
            <w:tcW w:w="1246" w:type="dxa"/>
            <w:tcBorders/>
            <w:vAlign w:val="center"/>
          </w:tcPr>
          <w:p>
            <w:pPr>
              <w:pStyle w:val="TableContents"/>
              <w:bidi w:val="0"/>
              <w:spacing w:before="0" w:after="0"/>
              <w:ind w:left="0" w:right="0" w:hanging="0"/>
              <w:jc w:val="left"/>
              <w:rPr/>
            </w:pPr>
            <w:r>
              <w:rPr/>
              <w:t>​</w:t>
            </w:r>
          </w:p>
        </w:tc>
        <w:tc>
          <w:tcPr>
            <w:tcW w:w="11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Title: </w:t>
            </w:r>
          </w:p>
        </w:tc>
        <w:tc>
          <w:tcPr>
            <w:tcW w:w="322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Senior 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2"/>
        </w:rPr>
      </w:pPr>
      <w:r>
        <w:rPr>
          <w:rFonts w:ascii="Times New Roman;Times;serif" w:hAnsi="Times New Roman;Times;serif"/>
          <w:sz w:val="22"/>
        </w:rPr>
        <w:t>THIRD AMENDED AND RESTATED CREDIT AGREEMENT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w:t>
      </w:r>
    </w:p>
    <w:p>
      <w:pPr>
        <w:pStyle w:val="HorizontalLine"/>
        <w:pBdr>
          <w:bottom w:val="double" w:sz="2" w:space="0" w:color="808080"/>
        </w:pBdr>
        <w:bidi w:val="0"/>
        <w:spacing w:before="0" w:after="283"/>
        <w:jc w:val="left"/>
        <w:rPr/>
      </w:pPr>
      <w:r>
        <w:rPr/>
      </w:r>
    </w:p>
    <w:tbl>
      <w:tblPr>
        <w:tblW w:w="3064" w:type="dxa"/>
        <w:jc w:val="left"/>
        <w:tblInd w:w="0" w:type="dxa"/>
        <w:tblLayout w:type="fixed"/>
        <w:tblCellMar>
          <w:top w:w="0" w:type="dxa"/>
          <w:left w:w="0" w:type="dxa"/>
          <w:bottom w:w="0" w:type="dxa"/>
          <w:right w:w="0" w:type="dxa"/>
        </w:tblCellMar>
      </w:tblPr>
      <w:tblGrid>
        <w:gridCol w:w="124"/>
        <w:gridCol w:w="938"/>
        <w:gridCol w:w="200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78740" cy="175260"/>
                      <wp:effectExtent l="0" t="0" r="0" b="0"/>
                      <wp:wrapNone/>
                      <wp:docPr id="516" name="Frame51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595630" cy="175260"/>
                      <wp:effectExtent l="0" t="0" r="0" b="0"/>
                      <wp:wrapNone/>
                      <wp:docPr id="517" name="Frame517"/>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271270" cy="175260"/>
                      <wp:effectExtent l="0" t="0" r="0" b="0"/>
                      <wp:wrapNone/>
                      <wp:docPr id="518" name="Frame518"/>
                      <a:graphic xmlns:a="http://schemas.openxmlformats.org/drawingml/2006/main">
                        <a:graphicData uri="http://schemas.microsoft.com/office/word/2010/wordprocessingShape">
                          <wps:wsp>
                            <wps:cNvSpPr txBox="1"/>
                            <wps:spPr>
                              <a:xfrm>
                                <a:off x="0" y="0"/>
                                <a:ext cx="1271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94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FIRST HAWAIIAN BANK,</w:t>
            </w:r>
          </w:p>
        </w:tc>
      </w:tr>
      <w:tr>
        <w:trPr/>
        <w:tc>
          <w:tcPr>
            <w:tcW w:w="124" w:type="dxa"/>
            <w:tcBorders/>
            <w:vAlign w:val="center"/>
          </w:tcPr>
          <w:p>
            <w:pPr>
              <w:pStyle w:val="TableContents"/>
              <w:bidi w:val="0"/>
              <w:spacing w:before="0" w:after="0"/>
              <w:ind w:left="0" w:right="0" w:hanging="0"/>
              <w:jc w:val="left"/>
              <w:rPr/>
            </w:pPr>
            <w:r>
              <w:rPr/>
              <w:t>​</w:t>
            </w:r>
          </w:p>
        </w:tc>
        <w:tc>
          <w:tcPr>
            <w:tcW w:w="294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Lender and an L/C Issuer</w:t>
            </w:r>
          </w:p>
        </w:tc>
      </w:tr>
      <w:tr>
        <w:trPr/>
        <w:tc>
          <w:tcPr>
            <w:tcW w:w="124" w:type="dxa"/>
            <w:tcBorders/>
            <w:vAlign w:val="center"/>
          </w:tcPr>
          <w:p>
            <w:pPr>
              <w:pStyle w:val="TableContents"/>
              <w:bidi w:val="0"/>
              <w:spacing w:before="0" w:after="0"/>
              <w:ind w:left="0" w:right="0" w:hanging="0"/>
              <w:jc w:val="left"/>
              <w:rPr/>
            </w:pPr>
            <w:r>
              <w:rPr/>
              <w:t>​</w:t>
            </w:r>
          </w:p>
        </w:tc>
        <w:tc>
          <w:tcPr>
            <w:tcW w:w="29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20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Devon Chow</w:t>
            </w:r>
          </w:p>
        </w:tc>
      </w:tr>
      <w:tr>
        <w:trPr/>
        <w:tc>
          <w:tcPr>
            <w:tcW w:w="124"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Name: </w:t>
            </w:r>
          </w:p>
        </w:tc>
        <w:tc>
          <w:tcPr>
            <w:tcW w:w="200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Devon Chow</w:t>
            </w:r>
          </w:p>
        </w:tc>
      </w:tr>
      <w:tr>
        <w:trPr/>
        <w:tc>
          <w:tcPr>
            <w:tcW w:w="124"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Title: </w:t>
            </w:r>
          </w:p>
        </w:tc>
        <w:tc>
          <w:tcPr>
            <w:tcW w:w="200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2"/>
        </w:rPr>
      </w:pPr>
      <w:r>
        <w:rPr>
          <w:rFonts w:ascii="Times New Roman;Times;serif" w:hAnsi="Times New Roman;Times;serif"/>
          <w:sz w:val="22"/>
        </w:rPr>
        <w:t>THIRD AMENDED AND RESTATED CREDIT AGREEMENT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w:t>
      </w:r>
    </w:p>
    <w:p>
      <w:pPr>
        <w:pStyle w:val="HorizontalLine"/>
        <w:pBdr>
          <w:bottom w:val="double" w:sz="2" w:space="0" w:color="808080"/>
        </w:pBdr>
        <w:bidi w:val="0"/>
        <w:spacing w:before="0" w:after="283"/>
        <w:jc w:val="left"/>
        <w:rPr/>
      </w:pPr>
      <w:r>
        <w:rPr/>
      </w:r>
    </w:p>
    <w:tbl>
      <w:tblPr>
        <w:tblW w:w="3619" w:type="dxa"/>
        <w:jc w:val="left"/>
        <w:tblInd w:w="0" w:type="dxa"/>
        <w:tblLayout w:type="fixed"/>
        <w:tblCellMar>
          <w:top w:w="0" w:type="dxa"/>
          <w:left w:w="0" w:type="dxa"/>
          <w:bottom w:w="0" w:type="dxa"/>
          <w:right w:w="0" w:type="dxa"/>
        </w:tblCellMar>
      </w:tblPr>
      <w:tblGrid>
        <w:gridCol w:w="124"/>
        <w:gridCol w:w="1016"/>
        <w:gridCol w:w="247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78740" cy="175260"/>
                      <wp:effectExtent l="0" t="0" r="0" b="0"/>
                      <wp:wrapNone/>
                      <wp:docPr id="519" name="Frame51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5160" cy="175260"/>
                      <wp:effectExtent l="0" t="0" r="0" b="0"/>
                      <wp:wrapNone/>
                      <wp:docPr id="520" name="Frame520"/>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574165" cy="175260"/>
                      <wp:effectExtent l="0" t="0" r="0" b="0"/>
                      <wp:wrapNone/>
                      <wp:docPr id="521" name="Frame521"/>
                      <a:graphic xmlns:a="http://schemas.openxmlformats.org/drawingml/2006/main">
                        <a:graphicData uri="http://schemas.microsoft.com/office/word/2010/wordprocessingShape">
                          <wps:wsp>
                            <wps:cNvSpPr txBox="1"/>
                            <wps:spPr>
                              <a:xfrm>
                                <a:off x="0" y="0"/>
                                <a:ext cx="157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JPMORGAN CHASE BANK, N.A.,</w:t>
            </w:r>
          </w:p>
        </w:tc>
      </w:tr>
      <w:tr>
        <w:trPr/>
        <w:tc>
          <w:tcPr>
            <w:tcW w:w="124" w:type="dxa"/>
            <w:tcBorders/>
            <w:vAlign w:val="center"/>
          </w:tcPr>
          <w:p>
            <w:pPr>
              <w:pStyle w:val="TableContents"/>
              <w:bidi w:val="0"/>
              <w:spacing w:before="0" w:after="0"/>
              <w:ind w:left="0" w:right="0" w:hanging="0"/>
              <w:jc w:val="left"/>
              <w:rPr/>
            </w:pPr>
            <w:r>
              <w:rPr/>
              <w:t>​</w:t>
            </w:r>
          </w:p>
        </w:tc>
        <w:tc>
          <w:tcPr>
            <w:tcW w:w="34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left"/>
              <w:rPr/>
            </w:pPr>
            <w:r>
              <w:rPr/>
              <w:t>​</w:t>
            </w:r>
          </w:p>
        </w:tc>
        <w:tc>
          <w:tcPr>
            <w:tcW w:w="34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24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Will Price</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Name: </w:t>
            </w:r>
          </w:p>
        </w:tc>
        <w:tc>
          <w:tcPr>
            <w:tcW w:w="247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Will Price</w:t>
            </w:r>
          </w:p>
        </w:tc>
      </w:tr>
      <w:tr>
        <w:trPr/>
        <w:tc>
          <w:tcPr>
            <w:tcW w:w="12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Title: </w:t>
            </w:r>
          </w:p>
        </w:tc>
        <w:tc>
          <w:tcPr>
            <w:tcW w:w="247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Executive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2"/>
        </w:rPr>
      </w:pPr>
      <w:r>
        <w:rPr>
          <w:rFonts w:ascii="Times New Roman;Times;serif" w:hAnsi="Times New Roman;Times;serif"/>
          <w:sz w:val="22"/>
        </w:rPr>
        <w:t>THIRD AMENDED AND RESTATED CREDIT AGREEMENT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w:t>
      </w:r>
    </w:p>
    <w:p>
      <w:pPr>
        <w:pStyle w:val="HorizontalLine"/>
        <w:pBdr>
          <w:bottom w:val="double" w:sz="2" w:space="0" w:color="808080"/>
        </w:pBdr>
        <w:bidi w:val="0"/>
        <w:spacing w:before="0" w:after="283"/>
        <w:jc w:val="left"/>
        <w:rPr/>
      </w:pPr>
      <w:r>
        <w:rPr/>
      </w:r>
    </w:p>
    <w:tbl>
      <w:tblPr>
        <w:tblW w:w="4324" w:type="dxa"/>
        <w:jc w:val="left"/>
        <w:tblInd w:w="0" w:type="dxa"/>
        <w:tblLayout w:type="fixed"/>
        <w:tblCellMar>
          <w:top w:w="0" w:type="dxa"/>
          <w:left w:w="0" w:type="dxa"/>
          <w:bottom w:w="0" w:type="dxa"/>
          <w:right w:w="0" w:type="dxa"/>
        </w:tblCellMar>
      </w:tblPr>
      <w:tblGrid>
        <w:gridCol w:w="124"/>
        <w:gridCol w:w="1066"/>
        <w:gridCol w:w="313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78740" cy="175260"/>
                      <wp:effectExtent l="0" t="0" r="0" b="0"/>
                      <wp:wrapNone/>
                      <wp:docPr id="522" name="Frame52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76910" cy="175260"/>
                      <wp:effectExtent l="0" t="0" r="0" b="0"/>
                      <wp:wrapNone/>
                      <wp:docPr id="523" name="Frame52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990090" cy="175260"/>
                      <wp:effectExtent l="0" t="0" r="0" b="0"/>
                      <wp:wrapNone/>
                      <wp:docPr id="524" name="Frame524"/>
                      <a:graphic xmlns:a="http://schemas.openxmlformats.org/drawingml/2006/main">
                        <a:graphicData uri="http://schemas.microsoft.com/office/word/2010/wordprocessingShape">
                          <wps:wsp>
                            <wps:cNvSpPr txBox="1"/>
                            <wps:spPr>
                              <a:xfrm>
                                <a:off x="0" y="0"/>
                                <a:ext cx="199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20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PNC BANK, NATIONAL ASSOCIATION,</w:t>
            </w:r>
          </w:p>
        </w:tc>
      </w:tr>
      <w:tr>
        <w:trPr/>
        <w:tc>
          <w:tcPr>
            <w:tcW w:w="124" w:type="dxa"/>
            <w:tcBorders/>
            <w:vAlign w:val="center"/>
          </w:tcPr>
          <w:p>
            <w:pPr>
              <w:pStyle w:val="TableContents"/>
              <w:bidi w:val="0"/>
              <w:spacing w:before="0" w:after="0"/>
              <w:ind w:left="0" w:right="0" w:hanging="0"/>
              <w:jc w:val="left"/>
              <w:rPr/>
            </w:pPr>
            <w:r>
              <w:rPr/>
              <w:t>​</w:t>
            </w:r>
          </w:p>
        </w:tc>
        <w:tc>
          <w:tcPr>
            <w:tcW w:w="420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left"/>
              <w:rPr/>
            </w:pPr>
            <w:r>
              <w:rPr/>
              <w:t>​</w:t>
            </w:r>
          </w:p>
        </w:tc>
        <w:tc>
          <w:tcPr>
            <w:tcW w:w="420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313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Kathryn McAndrew</w:t>
            </w:r>
          </w:p>
        </w:tc>
      </w:tr>
      <w:tr>
        <w:trPr/>
        <w:tc>
          <w:tcPr>
            <w:tcW w:w="124"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Name: </w:t>
            </w:r>
          </w:p>
        </w:tc>
        <w:tc>
          <w:tcPr>
            <w:tcW w:w="313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Kathryn McAndrew</w:t>
            </w:r>
          </w:p>
        </w:tc>
      </w:tr>
      <w:tr>
        <w:trPr/>
        <w:tc>
          <w:tcPr>
            <w:tcW w:w="124"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Title: </w:t>
            </w:r>
          </w:p>
        </w:tc>
        <w:tc>
          <w:tcPr>
            <w:tcW w:w="313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2"/>
        </w:rPr>
      </w:pPr>
      <w:r>
        <w:rPr>
          <w:rFonts w:ascii="Times New Roman;Times;serif" w:hAnsi="Times New Roman;Times;serif"/>
          <w:sz w:val="22"/>
        </w:rPr>
        <w:t>THIRD AMENDED AND RESTATED CREDIT AGREEMENT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w:t>
      </w:r>
    </w:p>
    <w:p>
      <w:pPr>
        <w:pStyle w:val="HorizontalLine"/>
        <w:pBdr>
          <w:bottom w:val="double" w:sz="2" w:space="0" w:color="808080"/>
        </w:pBdr>
        <w:bidi w:val="0"/>
        <w:spacing w:before="0" w:after="283"/>
        <w:jc w:val="left"/>
        <w:rPr/>
      </w:pPr>
      <w:r>
        <w:rPr/>
      </w:r>
    </w:p>
    <w:tbl>
      <w:tblPr>
        <w:tblW w:w="4234" w:type="dxa"/>
        <w:jc w:val="left"/>
        <w:tblInd w:w="0" w:type="dxa"/>
        <w:tblLayout w:type="fixed"/>
        <w:tblCellMar>
          <w:top w:w="0" w:type="dxa"/>
          <w:left w:w="0" w:type="dxa"/>
          <w:bottom w:w="0" w:type="dxa"/>
          <w:right w:w="0" w:type="dxa"/>
        </w:tblCellMar>
      </w:tblPr>
      <w:tblGrid>
        <w:gridCol w:w="124"/>
        <w:gridCol w:w="783"/>
        <w:gridCol w:w="332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78740" cy="175260"/>
                      <wp:effectExtent l="0" t="0" r="0" b="0"/>
                      <wp:wrapNone/>
                      <wp:docPr id="525" name="Frame52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497205" cy="175260"/>
                      <wp:effectExtent l="0" t="0" r="0" b="0"/>
                      <wp:wrapNone/>
                      <wp:docPr id="526" name="Frame526"/>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112645" cy="175260"/>
                      <wp:effectExtent l="0" t="0" r="0" b="0"/>
                      <wp:wrapNone/>
                      <wp:docPr id="527" name="Frame527"/>
                      <a:graphic xmlns:a="http://schemas.openxmlformats.org/drawingml/2006/main">
                        <a:graphicData uri="http://schemas.microsoft.com/office/word/2010/wordprocessingShape">
                          <wps:wsp>
                            <wps:cNvSpPr txBox="1"/>
                            <wps:spPr>
                              <a:xfrm>
                                <a:off x="0" y="0"/>
                                <a:ext cx="2112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U.S. BANK NATIONAL ASSOCIATION,</w:t>
            </w:r>
          </w:p>
        </w:tc>
      </w:tr>
      <w:tr>
        <w:trPr/>
        <w:tc>
          <w:tcPr>
            <w:tcW w:w="124"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33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Brad Schneider</w:t>
            </w:r>
          </w:p>
        </w:tc>
      </w:tr>
      <w:tr>
        <w:trPr/>
        <w:tc>
          <w:tcPr>
            <w:tcW w:w="124"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Name: </w:t>
            </w:r>
          </w:p>
        </w:tc>
        <w:tc>
          <w:tcPr>
            <w:tcW w:w="332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Brad Schneider</w:t>
            </w:r>
          </w:p>
        </w:tc>
      </w:tr>
      <w:tr>
        <w:trPr/>
        <w:tc>
          <w:tcPr>
            <w:tcW w:w="124"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Title: </w:t>
            </w:r>
          </w:p>
        </w:tc>
        <w:tc>
          <w:tcPr>
            <w:tcW w:w="332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 Portfolio Manager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2"/>
        </w:rPr>
      </w:pPr>
      <w:r>
        <w:rPr>
          <w:rFonts w:ascii="Times New Roman;Times;serif" w:hAnsi="Times New Roman;Times;serif"/>
          <w:sz w:val="22"/>
        </w:rPr>
        <w:t>THIRD AMENDED AND RESTATED CREDIT AGREEMENT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w:t>
      </w:r>
    </w:p>
    <w:p>
      <w:pPr>
        <w:pStyle w:val="HorizontalLine"/>
        <w:pBdr>
          <w:bottom w:val="double" w:sz="2" w:space="0" w:color="808080"/>
        </w:pBdr>
        <w:bidi w:val="0"/>
        <w:spacing w:before="0" w:after="283"/>
        <w:jc w:val="left"/>
        <w:rPr/>
      </w:pPr>
      <w:r>
        <w:rPr/>
      </w:r>
    </w:p>
    <w:tbl>
      <w:tblPr>
        <w:tblW w:w="5449" w:type="dxa"/>
        <w:jc w:val="left"/>
        <w:tblInd w:w="0" w:type="dxa"/>
        <w:tblLayout w:type="fixed"/>
        <w:tblCellMar>
          <w:top w:w="0" w:type="dxa"/>
          <w:left w:w="0" w:type="dxa"/>
          <w:bottom w:w="0" w:type="dxa"/>
          <w:right w:w="0" w:type="dxa"/>
        </w:tblCellMar>
      </w:tblPr>
      <w:tblGrid>
        <w:gridCol w:w="124"/>
        <w:gridCol w:w="1629"/>
        <w:gridCol w:w="369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78740" cy="175260"/>
                      <wp:effectExtent l="0" t="0" r="0" b="0"/>
                      <wp:wrapNone/>
                      <wp:docPr id="528" name="Frame52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034415" cy="175260"/>
                      <wp:effectExtent l="0" t="0" r="0" b="0"/>
                      <wp:wrapNone/>
                      <wp:docPr id="529" name="Frame529"/>
                      <a:graphic xmlns:a="http://schemas.openxmlformats.org/drawingml/2006/main">
                        <a:graphicData uri="http://schemas.microsoft.com/office/word/2010/wordprocessingShape">
                          <wps:wsp>
                            <wps:cNvSpPr txBox="1"/>
                            <wps:spPr>
                              <a:xfrm>
                                <a:off x="0" y="0"/>
                                <a:ext cx="1034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346960" cy="175260"/>
                      <wp:effectExtent l="0" t="0" r="0" b="0"/>
                      <wp:wrapNone/>
                      <wp:docPr id="530" name="Frame530"/>
                      <a:graphic xmlns:a="http://schemas.openxmlformats.org/drawingml/2006/main">
                        <a:graphicData uri="http://schemas.microsoft.com/office/word/2010/wordprocessingShape">
                          <wps:wsp>
                            <wps:cNvSpPr txBox="1"/>
                            <wps:spPr>
                              <a:xfrm>
                                <a:off x="0" y="0"/>
                                <a:ext cx="234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5325" w:type="dxa"/>
            <w:gridSpan w:val="2"/>
            <w:tcBorders/>
            <w:vAlign w:val="center"/>
          </w:tcPr>
          <w:p>
            <w:pPr>
              <w:pStyle w:val="TableContents"/>
              <w:bidi w:val="0"/>
              <w:spacing w:before="0" w:after="0"/>
              <w:ind w:left="0" w:right="0" w:hanging="0"/>
              <w:jc w:val="left"/>
              <w:rPr>
                <w:rFonts w:ascii="Times New Roman;Times;serif" w:hAnsi="Times New Roman;Times;serif"/>
                <w:caps/>
                <w:sz w:val="22"/>
              </w:rPr>
            </w:pPr>
            <w:r>
              <w:rPr>
                <w:rFonts w:ascii="Times New Roman;Times;serif" w:hAnsi="Times New Roman;Times;serif"/>
                <w:caps/>
                <w:sz w:val="22"/>
              </w:rPr>
              <w:t>wells fargo bank, national association,</w:t>
            </w:r>
          </w:p>
        </w:tc>
      </w:tr>
      <w:tr>
        <w:trPr/>
        <w:tc>
          <w:tcPr>
            <w:tcW w:w="124" w:type="dxa"/>
            <w:tcBorders/>
            <w:vAlign w:val="center"/>
          </w:tcPr>
          <w:p>
            <w:pPr>
              <w:pStyle w:val="TableContents"/>
              <w:bidi w:val="0"/>
              <w:spacing w:before="0" w:after="0"/>
              <w:ind w:left="0" w:right="0" w:hanging="0"/>
              <w:jc w:val="left"/>
              <w:rPr/>
            </w:pPr>
            <w:r>
              <w:rPr/>
              <w:t>​</w:t>
            </w:r>
          </w:p>
        </w:tc>
        <w:tc>
          <w:tcPr>
            <w:tcW w:w="532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left"/>
              <w:rPr/>
            </w:pPr>
            <w:r>
              <w:rPr/>
              <w:t>​</w:t>
            </w:r>
          </w:p>
        </w:tc>
        <w:tc>
          <w:tcPr>
            <w:tcW w:w="53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2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3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Peter Williams</w:t>
            </w:r>
          </w:p>
        </w:tc>
      </w:tr>
      <w:tr>
        <w:trPr/>
        <w:tc>
          <w:tcPr>
            <w:tcW w:w="124" w:type="dxa"/>
            <w:tcBorders/>
            <w:vAlign w:val="center"/>
          </w:tcPr>
          <w:p>
            <w:pPr>
              <w:pStyle w:val="TableContents"/>
              <w:bidi w:val="0"/>
              <w:spacing w:before="0" w:after="0"/>
              <w:ind w:left="0" w:right="0" w:hanging="0"/>
              <w:jc w:val="left"/>
              <w:rPr/>
            </w:pPr>
            <w:r>
              <w:rPr/>
              <w:t>​</w:t>
            </w:r>
          </w:p>
        </w:tc>
        <w:tc>
          <w:tcPr>
            <w:tcW w:w="162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Name: </w:t>
            </w:r>
          </w:p>
        </w:tc>
        <w:tc>
          <w:tcPr>
            <w:tcW w:w="36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Peter Williams</w:t>
            </w:r>
          </w:p>
        </w:tc>
      </w:tr>
      <w:tr>
        <w:trPr/>
        <w:tc>
          <w:tcPr>
            <w:tcW w:w="124" w:type="dxa"/>
            <w:tcBorders/>
            <w:vAlign w:val="center"/>
          </w:tcPr>
          <w:p>
            <w:pPr>
              <w:pStyle w:val="TableContents"/>
              <w:bidi w:val="0"/>
              <w:spacing w:before="0" w:after="0"/>
              <w:ind w:left="0" w:right="0" w:hanging="0"/>
              <w:jc w:val="left"/>
              <w:rPr/>
            </w:pPr>
            <w:r>
              <w:rPr/>
              <w:t>​</w:t>
            </w:r>
          </w:p>
        </w:tc>
        <w:tc>
          <w:tcPr>
            <w:tcW w:w="162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Title: </w:t>
            </w:r>
          </w:p>
        </w:tc>
        <w:tc>
          <w:tcPr>
            <w:tcW w:w="36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2"/>
        </w:rPr>
      </w:pPr>
      <w:r>
        <w:rPr>
          <w:rFonts w:ascii="Times New Roman;Times;serif" w:hAnsi="Times New Roman;Times;serif"/>
          <w:sz w:val="22"/>
        </w:rPr>
        <w:t>THIRD AMENDED AND RESTATED CREDIT AGREEMENT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w:t>
      </w:r>
    </w:p>
    <w:p>
      <w:pPr>
        <w:pStyle w:val="HorizontalLine"/>
        <w:pBdr>
          <w:bottom w:val="double" w:sz="2" w:space="0" w:color="808080"/>
        </w:pBdr>
        <w:bidi w:val="0"/>
        <w:spacing w:before="0" w:after="283"/>
        <w:jc w:val="left"/>
        <w:rPr/>
      </w:pPr>
      <w:r>
        <w:rPr/>
      </w:r>
    </w:p>
    <w:tbl>
      <w:tblPr>
        <w:tblW w:w="2406" w:type="dxa"/>
        <w:jc w:val="left"/>
        <w:tblInd w:w="0" w:type="dxa"/>
        <w:tblLayout w:type="fixed"/>
        <w:tblCellMar>
          <w:top w:w="0" w:type="dxa"/>
          <w:left w:w="0" w:type="dxa"/>
          <w:bottom w:w="0" w:type="dxa"/>
          <w:right w:w="0" w:type="dxa"/>
        </w:tblCellMar>
      </w:tblPr>
      <w:tblGrid>
        <w:gridCol w:w="124"/>
        <w:gridCol w:w="781"/>
        <w:gridCol w:w="150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78740" cy="175260"/>
                      <wp:effectExtent l="0" t="0" r="0" b="0"/>
                      <wp:wrapNone/>
                      <wp:docPr id="531" name="Frame53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95935" cy="175260"/>
                      <wp:effectExtent l="0" t="0" r="0" b="0"/>
                      <wp:wrapNone/>
                      <wp:docPr id="532" name="Frame5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953135" cy="175260"/>
                      <wp:effectExtent l="0" t="0" r="0" b="0"/>
                      <wp:wrapNone/>
                      <wp:docPr id="533" name="Frame53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282" w:type="dxa"/>
            <w:gridSpan w:val="2"/>
            <w:tcBorders/>
            <w:vAlign w:val="center"/>
          </w:tcPr>
          <w:p>
            <w:pPr>
              <w:pStyle w:val="TableContents"/>
              <w:bidi w:val="0"/>
              <w:spacing w:before="0" w:after="0"/>
              <w:ind w:left="0" w:right="0" w:hanging="0"/>
              <w:jc w:val="left"/>
              <w:rPr>
                <w:rFonts w:ascii="Times New Roman;Times;serif" w:hAnsi="Times New Roman;Times;serif"/>
                <w:caps/>
                <w:sz w:val="22"/>
              </w:rPr>
            </w:pPr>
            <w:r>
              <w:rPr>
                <w:rFonts w:ascii="Times New Roman;Times;serif" w:hAnsi="Times New Roman;Times;serif"/>
                <w:caps/>
                <w:sz w:val="22"/>
              </w:rPr>
              <w:t>bank of hawaii,</w:t>
            </w:r>
          </w:p>
        </w:tc>
      </w:tr>
      <w:tr>
        <w:trPr/>
        <w:tc>
          <w:tcPr>
            <w:tcW w:w="124" w:type="dxa"/>
            <w:tcBorders/>
            <w:vAlign w:val="center"/>
          </w:tcPr>
          <w:p>
            <w:pPr>
              <w:pStyle w:val="TableContents"/>
              <w:bidi w:val="0"/>
              <w:spacing w:before="0" w:after="0"/>
              <w:ind w:left="0" w:right="0" w:hanging="0"/>
              <w:jc w:val="left"/>
              <w:rPr/>
            </w:pPr>
            <w:r>
              <w:rPr/>
              <w:t>​</w:t>
            </w:r>
          </w:p>
        </w:tc>
        <w:tc>
          <w:tcPr>
            <w:tcW w:w="228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left"/>
              <w:rPr/>
            </w:pPr>
            <w:r>
              <w:rPr/>
              <w:t>​</w:t>
            </w:r>
          </w:p>
        </w:tc>
        <w:tc>
          <w:tcPr>
            <w:tcW w:w="228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Grace Kau</w:t>
            </w:r>
          </w:p>
        </w:tc>
      </w:tr>
      <w:tr>
        <w:trPr/>
        <w:tc>
          <w:tcPr>
            <w:tcW w:w="124"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Name: </w:t>
            </w:r>
          </w:p>
        </w:tc>
        <w:tc>
          <w:tcPr>
            <w:tcW w:w="15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Grace Kau</w:t>
            </w:r>
          </w:p>
        </w:tc>
      </w:tr>
      <w:tr>
        <w:trPr/>
        <w:tc>
          <w:tcPr>
            <w:tcW w:w="124"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Title: </w:t>
            </w:r>
          </w:p>
        </w:tc>
        <w:tc>
          <w:tcPr>
            <w:tcW w:w="15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2"/>
        </w:rPr>
      </w:pPr>
      <w:r>
        <w:rPr>
          <w:rFonts w:ascii="Times New Roman;Times;serif" w:hAnsi="Times New Roman;Times;serif"/>
          <w:sz w:val="22"/>
        </w:rPr>
        <w:t>THIRD AMENDED AND RESTATED CREDIT AGREEMENT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w:t>
      </w:r>
    </w:p>
    <w:p>
      <w:pPr>
        <w:pStyle w:val="HorizontalLine"/>
        <w:pBdr>
          <w:bottom w:val="double" w:sz="2" w:space="0" w:color="808080"/>
        </w:pBdr>
        <w:bidi w:val="0"/>
        <w:spacing w:before="0" w:after="283"/>
        <w:jc w:val="left"/>
        <w:rPr/>
      </w:pPr>
      <w:r>
        <w:rPr/>
      </w:r>
    </w:p>
    <w:tbl>
      <w:tblPr>
        <w:tblW w:w="3964" w:type="dxa"/>
        <w:jc w:val="left"/>
        <w:tblInd w:w="0" w:type="dxa"/>
        <w:tblLayout w:type="fixed"/>
        <w:tblCellMar>
          <w:top w:w="0" w:type="dxa"/>
          <w:left w:w="0" w:type="dxa"/>
          <w:bottom w:w="0" w:type="dxa"/>
          <w:right w:w="0" w:type="dxa"/>
        </w:tblCellMar>
      </w:tblPr>
      <w:tblGrid>
        <w:gridCol w:w="124"/>
        <w:gridCol w:w="1289"/>
        <w:gridCol w:w="255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78740" cy="175260"/>
                      <wp:effectExtent l="0" t="0" r="0" b="0"/>
                      <wp:wrapNone/>
                      <wp:docPr id="534" name="Frame53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818515" cy="175260"/>
                      <wp:effectExtent l="0" t="0" r="0" b="0"/>
                      <wp:wrapNone/>
                      <wp:docPr id="535" name="Frame535"/>
                      <a:graphic xmlns:a="http://schemas.openxmlformats.org/drawingml/2006/main">
                        <a:graphicData uri="http://schemas.microsoft.com/office/word/2010/wordprocessingShape">
                          <wps:wsp>
                            <wps:cNvSpPr txBox="1"/>
                            <wps:spPr>
                              <a:xfrm>
                                <a:off x="0" y="0"/>
                                <a:ext cx="818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619885" cy="175260"/>
                      <wp:effectExtent l="0" t="0" r="0" b="0"/>
                      <wp:wrapNone/>
                      <wp:docPr id="536" name="Frame536"/>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840" w:type="dxa"/>
            <w:gridSpan w:val="2"/>
            <w:tcBorders/>
            <w:vAlign w:val="center"/>
          </w:tcPr>
          <w:p>
            <w:pPr>
              <w:pStyle w:val="TableContents"/>
              <w:bidi w:val="0"/>
              <w:spacing w:before="0" w:after="0"/>
              <w:ind w:left="0" w:right="0" w:hanging="0"/>
              <w:jc w:val="left"/>
              <w:rPr>
                <w:rFonts w:ascii="Times New Roman;Times;serif" w:hAnsi="Times New Roman;Times;serif"/>
                <w:caps/>
                <w:sz w:val="22"/>
              </w:rPr>
            </w:pPr>
            <w:r>
              <w:rPr>
                <w:rFonts w:ascii="Times New Roman;Times;serif" w:hAnsi="Times New Roman;Times;serif"/>
                <w:caps/>
                <w:sz w:val="22"/>
              </w:rPr>
              <w:t>american savings bank, f.s.b.,</w:t>
            </w:r>
          </w:p>
        </w:tc>
      </w:tr>
      <w:tr>
        <w:trPr/>
        <w:tc>
          <w:tcPr>
            <w:tcW w:w="124" w:type="dxa"/>
            <w:tcBorders/>
            <w:vAlign w:val="center"/>
          </w:tcPr>
          <w:p>
            <w:pPr>
              <w:pStyle w:val="TableContents"/>
              <w:bidi w:val="0"/>
              <w:spacing w:before="0" w:after="0"/>
              <w:ind w:left="0" w:right="0" w:hanging="0"/>
              <w:jc w:val="left"/>
              <w:rPr/>
            </w:pPr>
            <w:r>
              <w:rPr/>
              <w:t>​</w:t>
            </w:r>
          </w:p>
        </w:tc>
        <w:tc>
          <w:tcPr>
            <w:tcW w:w="384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left"/>
              <w:rPr/>
            </w:pPr>
            <w:r>
              <w:rPr/>
              <w:t>​</w:t>
            </w:r>
          </w:p>
        </w:tc>
        <w:tc>
          <w:tcPr>
            <w:tcW w:w="38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2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Jordan Ford</w:t>
            </w:r>
          </w:p>
        </w:tc>
      </w:tr>
      <w:tr>
        <w:trPr/>
        <w:tc>
          <w:tcPr>
            <w:tcW w:w="124"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Name: </w:t>
            </w:r>
          </w:p>
        </w:tc>
        <w:tc>
          <w:tcPr>
            <w:tcW w:w="25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Jordan Ford</w:t>
            </w:r>
          </w:p>
        </w:tc>
      </w:tr>
      <w:tr>
        <w:trPr/>
        <w:tc>
          <w:tcPr>
            <w:tcW w:w="124"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Title: </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2"/>
        </w:rPr>
      </w:pPr>
      <w:r>
        <w:rPr>
          <w:rFonts w:ascii="Times New Roman;Times;serif" w:hAnsi="Times New Roman;Times;serif"/>
          <w:sz w:val="22"/>
        </w:rPr>
        <w:t>THIRD AMENDED AND RESTATED CREDIT AGREEMENT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2"/>
        </w:rPr>
      </w:pPr>
      <w:bookmarkStart w:id="1478" w:name="matx-20250630xex10d4.htm"/>
      <w:bookmarkStart w:id="1479" w:name="ksmatx20250630xex10d4"/>
      <w:bookmarkEnd w:id="1478"/>
      <w:bookmarkEnd w:id="1479"/>
      <w:r>
        <w:rPr>
          <w:rFonts w:ascii="Times New Roman;Times;serif" w:hAnsi="Times New Roman;Times;serif"/>
          <w:b/>
          <w:sz w:val="22"/>
        </w:rPr>
        <w:t>Exhibit 10.4</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PGIM, Inc. and the Noteholders signatory hereto</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 Prudential Private Capital</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2029 Century Park East, Suite 860</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Los Angeles, CA 90067</w:t>
      </w:r>
    </w:p>
    <w:p>
      <w:pPr>
        <w:pStyle w:val="TextBody"/>
        <w:bidi w:val="0"/>
        <w:spacing w:before="0" w:after="240"/>
        <w:ind w:left="0" w:right="0" w:hanging="0"/>
        <w:jc w:val="right"/>
        <w:rPr>
          <w:rFonts w:ascii="Times New Roman;Times;serif" w:hAnsi="Times New Roman;Times;serif"/>
          <w:sz w:val="22"/>
        </w:rPr>
      </w:pPr>
      <w:r>
        <w:rPr>
          <w:rFonts w:ascii="Times New Roman;Times;serif" w:hAnsi="Times New Roman;Times;serif"/>
          <w:sz w:val="22"/>
        </w:rPr>
        <w:t>As of July 23, 2025</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MATSON,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1411 Sand Island Parkway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Honolulu, Hawaii 96819</w:t>
      </w:r>
    </w:p>
    <w:tbl>
      <w:tblPr>
        <w:tblW w:w="9408" w:type="dxa"/>
        <w:jc w:val="left"/>
        <w:tblInd w:w="0" w:type="dxa"/>
        <w:tblLayout w:type="fixed"/>
        <w:tblCellMar>
          <w:top w:w="0" w:type="dxa"/>
          <w:left w:w="0" w:type="dxa"/>
          <w:bottom w:w="0" w:type="dxa"/>
          <w:right w:w="0" w:type="dxa"/>
        </w:tblCellMar>
      </w:tblPr>
      <w:tblGrid>
        <w:gridCol w:w="23"/>
        <w:gridCol w:w="335"/>
        <w:gridCol w:w="9050"/>
      </w:tblGrid>
      <w:tr>
        <w:trPr/>
        <w:tc>
          <w:tcPr>
            <w:tcW w:w="2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Re:</w:t>
            </w:r>
          </w:p>
        </w:tc>
        <w:tc>
          <w:tcPr>
            <w:tcW w:w="9050" w:type="dxa"/>
            <w:tcBorders/>
            <w:vAlign w:val="center"/>
          </w:tcPr>
          <w:p>
            <w:pPr>
              <w:pStyle w:val="TableContents"/>
              <w:bidi w:val="0"/>
              <w:spacing w:before="0" w:after="240"/>
              <w:jc w:val="left"/>
              <w:rPr>
                <w:rFonts w:ascii="Times New Roman;Times;serif" w:hAnsi="Times New Roman;Times;serif"/>
                <w:sz w:val="22"/>
                <w:u w:val="single"/>
              </w:rPr>
            </w:pPr>
            <w:r>
              <w:rPr>
                <w:rFonts w:ascii="Times New Roman;Times;serif" w:hAnsi="Times New Roman;Times;serif"/>
                <w:sz w:val="22"/>
                <w:u w:val="single"/>
              </w:rPr>
              <w:t>Fourth Amendment to Third Amended and Restated Note Purchase and Private Shelf Agreement</w:t>
            </w:r>
          </w:p>
        </w:tc>
      </w:tr>
    </w:tbl>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Ladies and Gentlemen:</w:t>
      </w:r>
    </w:p>
    <w:p>
      <w:pPr>
        <w:pStyle w:val="TextBody"/>
        <w:bidi w:val="0"/>
        <w:spacing w:before="0" w:after="240"/>
        <w:ind w:left="0" w:right="0" w:firstLine="726"/>
        <w:jc w:val="both"/>
        <w:rPr>
          <w:rFonts w:ascii="Times New Roman;Times;serif" w:hAnsi="Times New Roman;Times;serif"/>
          <w:sz w:val="20"/>
        </w:rPr>
      </w:pPr>
      <w:r>
        <w:rPr>
          <w:rFonts w:ascii="Times New Roman;Times;serif" w:hAnsi="Times New Roman;Times;serif"/>
          <w:sz w:val="22"/>
        </w:rPr>
        <w:t>Reference is made to that certain Third Amended and Restated Note Purchase and Private Shelf Agreement, dated as of September 14, 2016 (as amended or otherwise modified from time to time, the “</w:t>
      </w:r>
      <w:r>
        <w:rPr>
          <w:rFonts w:ascii="Times New Roman;Times;serif" w:hAnsi="Times New Roman;Times;serif"/>
          <w:b/>
          <w:sz w:val="22"/>
        </w:rPr>
        <w:t>Agreement</w:t>
      </w:r>
      <w:r>
        <w:rPr>
          <w:rFonts w:ascii="Times New Roman;Times;serif" w:hAnsi="Times New Roman;Times;serif"/>
          <w:sz w:val="20"/>
        </w:rPr>
        <w:t>”</w:t>
      </w:r>
      <w:r>
        <w:rPr>
          <w:rFonts w:ascii="Times New Roman;Times;serif" w:hAnsi="Times New Roman;Times;serif"/>
          <w:sz w:val="22"/>
        </w:rPr>
        <w:t>), by and among Matson, Inc., a Hawaii corporation (the “</w:t>
      </w:r>
      <w:r>
        <w:rPr>
          <w:rFonts w:ascii="Times New Roman;Times;serif" w:hAnsi="Times New Roman;Times;serif"/>
          <w:b/>
          <w:sz w:val="22"/>
        </w:rPr>
        <w:t>Company</w:t>
      </w:r>
      <w:r>
        <w:rPr>
          <w:rFonts w:ascii="Times New Roman;Times;serif" w:hAnsi="Times New Roman;Times;serif"/>
          <w:sz w:val="20"/>
        </w:rPr>
        <w:t>”</w:t>
      </w:r>
      <w:r>
        <w:rPr>
          <w:rFonts w:ascii="Times New Roman;Times;serif" w:hAnsi="Times New Roman;Times;serif"/>
          <w:sz w:val="22"/>
        </w:rPr>
        <w:t>), on the one hand, and the Purchasers named therein, on the other hand.  Capitalized terms used and not otherwise defined in this letter agreement shall have the meanings provided in the Agreement (after giving effect to the amendments provided in this letter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rPr>
        <w:t>Pursuant to the provisions of paragraph 11C of the Agreement, and subject to the terms and conditions of this letter agreement, the undersigned holders of Notes (the “</w:t>
      </w:r>
      <w:r>
        <w:rPr>
          <w:rFonts w:ascii="Times New Roman;Times;serif" w:hAnsi="Times New Roman;Times;serif"/>
          <w:b/>
          <w:sz w:val="22"/>
        </w:rPr>
        <w:t>Noteholders</w:t>
      </w:r>
      <w:r>
        <w:rPr>
          <w:rFonts w:ascii="Times New Roman;Times;serif" w:hAnsi="Times New Roman;Times;serif"/>
          <w:sz w:val="20"/>
        </w:rPr>
        <w:t>”</w:t>
      </w:r>
      <w:r>
        <w:rPr>
          <w:rFonts w:ascii="Times New Roman;Times;serif" w:hAnsi="Times New Roman;Times;serif"/>
          <w:sz w:val="22"/>
        </w:rPr>
        <w:t>) and the Company agree that the Agreement is hereby amended</w:t>
      </w:r>
      <w:r>
        <w:rPr>
          <w:rFonts w:ascii="Times New Roman;Times;serif" w:hAnsi="Times New Roman;Times;serif"/>
          <w:sz w:val="20"/>
        </w:rPr>
        <w:t xml:space="preserve"> </w:t>
      </w:r>
      <w:r>
        <w:rPr>
          <w:rFonts w:ascii="Times New Roman;Times;serif" w:hAnsi="Times New Roman;Times;serif"/>
          <w:sz w:val="22"/>
        </w:rPr>
        <w:t>to delete the stricken text (indicated textually in the same manner as the following example:  </w:t>
      </w:r>
      <w:r>
        <w:rPr>
          <w:rFonts w:ascii="Times New Roman;Times;serif" w:hAnsi="Times New Roman;Times;serif"/>
          <w:color w:val="FF0000"/>
          <w:sz w:val="22"/>
        </w:rPr>
        <w:t>stricken text</w:t>
      </w:r>
      <w:r>
        <w:rPr>
          <w:rFonts w:ascii="Times New Roman;Times;serif" w:hAnsi="Times New Roman;Times;serif"/>
          <w:sz w:val="22"/>
        </w:rPr>
        <w:t>) and to add the double-underlined text (indicated textually in the same manner as the following example:  </w:t>
      </w:r>
      <w:r>
        <w:rPr>
          <w:rFonts w:ascii="Times New Roman;Times;serif" w:hAnsi="Times New Roman;Times;serif"/>
          <w:color w:val="0000FF"/>
          <w:sz w:val="22"/>
          <w:u w:val="single"/>
        </w:rPr>
        <w:t>double-underlined text</w:t>
      </w:r>
      <w:r>
        <w:rPr>
          <w:rFonts w:ascii="Times New Roman;Times;serif" w:hAnsi="Times New Roman;Times;serif"/>
          <w:sz w:val="22"/>
        </w:rPr>
        <w:t xml:space="preserve">) as set forth in the amended Agreement attached as </w:t>
      </w:r>
      <w:r>
        <w:rPr>
          <w:rFonts w:ascii="Times New Roman;Times;serif" w:hAnsi="Times New Roman;Times;serif"/>
          <w:sz w:val="22"/>
          <w:u w:val="single"/>
        </w:rPr>
        <w:t>Exhibit A</w:t>
      </w:r>
      <w:r>
        <w:rPr>
          <w:rFonts w:ascii="Times New Roman;Times;serif" w:hAnsi="Times New Roman;Times;serif"/>
          <w:sz w:val="20"/>
        </w:rPr>
        <w:t xml:space="preserve"> </w:t>
      </w:r>
      <w:r>
        <w:rPr>
          <w:rFonts w:ascii="Times New Roman;Times;serif" w:hAnsi="Times New Roman;Times;serif"/>
          <w:sz w:val="22"/>
        </w:rPr>
        <w:t>hereto (the “</w:t>
      </w:r>
      <w:r>
        <w:rPr>
          <w:rFonts w:ascii="Times New Roman;Times;serif" w:hAnsi="Times New Roman;Times;serif"/>
          <w:b/>
          <w:sz w:val="22"/>
        </w:rPr>
        <w:t>Amended Agreement</w:t>
      </w:r>
      <w:r>
        <w:rPr>
          <w:rFonts w:ascii="Times New Roman;Times;serif" w:hAnsi="Times New Roman;Times;serif"/>
          <w:sz w:val="20"/>
        </w:rPr>
        <w:t>”</w:t>
      </w:r>
      <w:r>
        <w:rPr>
          <w:rFonts w:ascii="Times New Roman;Times;serif" w:hAnsi="Times New Roman;Times;serif"/>
          <w:sz w:val="22"/>
        </w:rPr>
        <w:t xml:space="preserve">), and any term or provision of the Agreement (including the Exhibits or Schedules thereto) which is different from that set forth on </w:t>
      </w:r>
      <w:r>
        <w:rPr>
          <w:rFonts w:ascii="Times New Roman;Times;serif" w:hAnsi="Times New Roman;Times;serif"/>
          <w:sz w:val="22"/>
          <w:u w:val="single"/>
        </w:rPr>
        <w:t>Exhibit A</w:t>
      </w:r>
      <w:r>
        <w:rPr>
          <w:rFonts w:ascii="Times New Roman;Times;serif" w:hAnsi="Times New Roman;Times;serif"/>
          <w:sz w:val="20"/>
        </w:rPr>
        <w:t xml:space="preserve"> </w:t>
      </w:r>
      <w:r>
        <w:rPr>
          <w:rFonts w:ascii="Times New Roman;Times;serif" w:hAnsi="Times New Roman;Times;serif"/>
          <w:sz w:val="22"/>
        </w:rPr>
        <w:t xml:space="preserve">hereto shall be replaced in all respects by the terms and provisions on </w:t>
      </w:r>
      <w:r>
        <w:rPr>
          <w:rFonts w:ascii="Times New Roman;Times;serif" w:hAnsi="Times New Roman;Times;serif"/>
          <w:sz w:val="22"/>
          <w:u w:val="single"/>
        </w:rPr>
        <w:t>Exhibit A</w:t>
      </w:r>
      <w:r>
        <w:rPr>
          <w:rFonts w:ascii="Times New Roman;Times;serif" w:hAnsi="Times New Roman;Times;serif"/>
          <w:sz w:val="20"/>
        </w:rPr>
        <w:t xml:space="preserve"> </w:t>
      </w:r>
      <w:r>
        <w:rPr>
          <w:rFonts w:ascii="Times New Roman;Times;serif" w:hAnsi="Times New Roman;Times;serif"/>
          <w:sz w:val="22"/>
        </w:rPr>
        <w: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Limitation of Modifications</w:t>
      </w:r>
      <w:r>
        <w:rPr>
          <w:rFonts w:ascii="Times New Roman;Times;serif" w:hAnsi="Times New Roman;Times;serif"/>
          <w:sz w:val="22"/>
        </w:rPr>
        <w:t>.  The modifications effected in this letter agreement shall be limited precisely as written and shall not be deemed to be (a) an amendment, consent, waiver or other modification of any other terms or conditions of the Agreement or any other document related to the Agreement, or (b) a consent to any future amendment, consent, waiver or other modification.  Except as expressly set forth in this letter agreement, each of the Agreement and the documents related to the Agreement shall continue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Representations and Warranties</w:t>
      </w:r>
      <w:r>
        <w:rPr>
          <w:rFonts w:ascii="Times New Roman;Times;serif" w:hAnsi="Times New Roman;Times;serif"/>
          <w:sz w:val="22"/>
        </w:rPr>
        <w:t>.  The Company hereby represents and warrants as follows:  (i) No Default or Event of Default has occurred and is continuing (both immediately before and immediately after giving effect to the effectiveness of this letter agreement); (ii) the Company’s entering into and performance of the Agreement, as modified by this letter agreement, has been duly authorized by all necessary corporate and other action and do not and will not require any registration with, consent or approval of, or notice to or action by, any Person (including any governmental authority) in order to be effective and enforceable; (iii) the Agreement, as modified by this letter agreement, constitutes the legal, valid and binding obligation of the Company, enforceable against the Company in accordance with its respective terms except as the enforceability thereof may be limited by bankruptcy, insolvency or other similar laws of general application relating to or affecting the enforcement of creditors’ rights or by general principles of equity; (iv) immediately after giving effect to this letter agreement, each of the representations and warranties of the Company set forth in the Agreement (other than the representation and warranty set forth in paragraph 8P of the Agreement) is true, correct and complete in all material respects (other than such representations and warranties as are expressly qualified by materiality (including</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Material Adverse Effect), which representations and warranties shall be true, correct and complete in all respects) as of the date hereof (except to the extent such representations and warranties expressly relate to another date, in which case such representations and warranties are true, correct and complete in all material respects (other than such representations and warranties as are expressly qualified by materiality (including Material Adverse Effect), which representations and warranties shall be true, correct and complete in all respects) as of such other date); and (v) to the best knowledge of the Company, no legislation has been enacted or is reasonably likely to be enacted to either repeal or substantially modify Section 27 of the Merchant Marine Act, 1920, as amended to the date of this Agreement, commonly referred to as the Jones Act, in a manner that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w:t>
      </w:r>
      <w:r>
        <w:rPr>
          <w:rFonts w:ascii="Times New Roman;Times;serif" w:hAnsi="Times New Roman;Times;serif"/>
          <w:sz w:val="22"/>
          <w:u w:val="single"/>
        </w:rPr>
        <w:t>Effectiveness</w:t>
      </w:r>
      <w:r>
        <w:rPr>
          <w:rFonts w:ascii="Times New Roman;Times;serif" w:hAnsi="Times New Roman;Times;serif"/>
          <w:sz w:val="22"/>
        </w:rPr>
        <w:t>.This letter agreement shall become effective on the date on which:</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    the Noteholders shall have received a fully executed counterpart of this letter agreement from the Company;</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(ii)   the Noteholders shall have received a counterpart signature page to this letter agreement from each of the Guarantors reaffirming their respective obligations under the Multiparty Guaranty;</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(iii)  the Noteholders shall have received (a) a certificate of a Responsible Officer of each Credit Party, in form and substance satisfactory to the Required Holders attaching a certified copy of resolutions of the Credit Parties approving and adopting this letter agreement and authorizing the execution and delivery of this letter agreement and (b) such incumbency certificates and such other documents and certifications as the Required Holders may reasonably require to evidence that the Credit Parties are in good standing in their jurisdiction of organization;</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(iv)   the Noteholders shall have received a fully executed copy of an amendment to the Bank Credit Agreement and a fully executed copy of an amendment to the Other Note Agreement, each in form and substance reasonably satisfactory to the Required Holders;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(v)    the Noteholders shall have received their ratable share of a modification fee in the aggregate amount equal to 10 basis points multiplied by the aggregate outstanding amount of the Notes as of the date hereof; and</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(vi)   the Company shall have paid Vedder Price P.C. its accrued and unpaid legal fees and expenses, to the extent such fees and expenses have been invoiced.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w:t>
      </w:r>
      <w:r>
        <w:rPr>
          <w:rFonts w:ascii="Times New Roman;Times;serif" w:hAnsi="Times New Roman;Times;serif"/>
          <w:sz w:val="22"/>
          <w:u w:val="single"/>
        </w:rPr>
        <w:t>Miscellaneous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This document may be executed in multiple counterparts, which together shall constitute a single document.  Delivery of executed counterparts of this letter agreement by telefacsimile or other secure electronic format (pdf) shall be effective as an original.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This letter agreement shall be construed and enforced in accordance with, and the rights of the parties shall be governed by, the laws of the State of New York, excluding choice-of-law principles of the law of such state that would permit the application of the laws of a jurisdiction other than such state.</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[Remainder of the page intentionally left blank]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480"/>
        <w:ind w:left="0" w:right="0" w:firstLine="720"/>
        <w:jc w:val="both"/>
        <w:rPr>
          <w:rFonts w:ascii="Times New Roman;Times;serif" w:hAnsi="Times New Roman;Times;serif"/>
          <w:sz w:val="22"/>
        </w:rPr>
      </w:pPr>
      <w:r>
        <w:rPr>
          <w:rFonts w:ascii="Times New Roman;Times;serif" w:hAnsi="Times New Roman;Times;serif"/>
          <w:sz w:val="22"/>
        </w:rPr>
        <w:t>If you are in agreement with the foregoing, please sign the counterpart of this letter agreement in the space indicated below and return it to the Noteholders whereupon, subject to the conditions expressed herein, it shall become a binding agreement among each party named as a signatory hereto.</w:t>
      </w:r>
    </w:p>
    <w:p>
      <w:pPr>
        <w:pStyle w:val="TextBody"/>
        <w:bidi w:val="0"/>
        <w:spacing w:before="0" w:after="480"/>
        <w:ind w:left="0" w:right="0" w:hanging="0"/>
        <w:jc w:val="center"/>
        <w:rPr>
          <w:rFonts w:ascii="Times New Roman;Times;serif" w:hAnsi="Times New Roman;Times;serif"/>
          <w:sz w:val="22"/>
        </w:rPr>
      </w:pPr>
      <w:r>
        <w:rPr>
          <w:rFonts w:ascii="Times New Roman;Times;serif" w:hAnsi="Times New Roman;Times;serif"/>
          <w:sz w:val="22"/>
        </w:rPr>
        <w:t>Sincerely,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Fourth Amendment to</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Third Amended and Restated Note Purchase and Private Shelf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511" w:type="dxa"/>
        <w:jc w:val="center"/>
        <w:tblInd w:w="0" w:type="dxa"/>
        <w:tblLayout w:type="fixed"/>
        <w:tblCellMar>
          <w:top w:w="0" w:type="dxa"/>
          <w:left w:w="0" w:type="dxa"/>
          <w:bottom w:w="0" w:type="dxa"/>
          <w:right w:w="0" w:type="dxa"/>
        </w:tblCellMar>
      </w:tblPr>
      <w:tblGrid>
        <w:gridCol w:w="392"/>
        <w:gridCol w:w="72"/>
        <w:gridCol w:w="72"/>
        <w:gridCol w:w="72"/>
        <w:gridCol w:w="6416"/>
        <w:gridCol w:w="487"/>
      </w:tblGrid>
      <w:tr>
        <w:trPr/>
        <w:tc>
          <w:tcPr>
            <w:tcW w:w="7511" w:type="dxa"/>
            <w:gridSpan w:val="6"/>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foregoing Agreement is hereby accepted as of the date first above written.</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PGIM INC.</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464"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6560"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/s/ Jason Richardson </w:t>
            </w:r>
          </w:p>
        </w:tc>
        <w:tc>
          <w:tcPr>
            <w:tcW w:w="487" w:type="dxa"/>
            <w:tcBorders/>
            <w:vAlign w:val="center"/>
          </w:tcPr>
          <w:p>
            <w:pPr>
              <w:pStyle w:val="TableContents"/>
              <w:bidi w:val="0"/>
              <w:spacing w:before="0" w:after="0"/>
              <w:ind w:left="0" w:right="0" w:hanging="0"/>
              <w:jc w:val="left"/>
              <w:rPr/>
            </w:pPr>
            <w:r>
              <w:rPr/>
              <w:t>​</w:t>
            </w:r>
          </w:p>
        </w:tc>
      </w:tr>
      <w:tr>
        <w:trPr/>
        <w:tc>
          <w:tcPr>
            <w:tcW w:w="392" w:type="dxa"/>
            <w:tcBorders/>
            <w:vAlign w:val="center"/>
          </w:tcPr>
          <w:p>
            <w:pPr>
              <w:pStyle w:val="TableContents"/>
              <w:bidi w:val="0"/>
              <w:spacing w:before="0" w:after="0"/>
              <w:ind w:left="0" w:right="0" w:hanging="0"/>
              <w:jc w:val="left"/>
              <w:rPr/>
            </w:pPr>
            <w:r>
              <w:rPr/>
              <w:t>​</w:t>
            </w:r>
          </w:p>
        </w:tc>
        <w:tc>
          <w:tcPr>
            <w:tcW w:w="6632" w:type="dxa"/>
            <w:gridSpan w:val="4"/>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PENSIONSKASSE DES BUNDES PUBLICA</w:t>
            </w:r>
            <w:r>
              <w:rPr>
                <w:rFonts w:ascii="Times New Roman;Times;serif" w:hAnsi="Times New Roman;Times;serif"/>
                <w:sz w:val="22"/>
              </w:rPr>
              <w:t>,</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holder of Series D Notes</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Private Capital Limited,</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Investment Manager</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536" w:type="dxa"/>
            <w:gridSpan w:val="3"/>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6488"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Donald Campbell</w:t>
            </w:r>
          </w:p>
        </w:tc>
        <w:tc>
          <w:tcPr>
            <w:tcW w:w="487" w:type="dxa"/>
            <w:tcBorders/>
            <w:vAlign w:val="center"/>
          </w:tcPr>
          <w:p>
            <w:pPr>
              <w:pStyle w:val="TableContents"/>
              <w:bidi w:val="0"/>
              <w:spacing w:before="0" w:after="0"/>
              <w:ind w:left="0" w:right="0" w:hanging="0"/>
              <w:jc w:val="left"/>
              <w:rPr/>
            </w:pPr>
            <w:r>
              <w:rPr/>
              <w:t>​</w:t>
            </w:r>
          </w:p>
        </w:tc>
      </w:tr>
      <w:tr>
        <w:trPr/>
        <w:tc>
          <w:tcPr>
            <w:tcW w:w="536" w:type="dxa"/>
            <w:gridSpan w:val="3"/>
            <w:tcBorders/>
            <w:vAlign w:val="center"/>
          </w:tcPr>
          <w:p>
            <w:pPr>
              <w:pStyle w:val="TableContents"/>
              <w:bidi w:val="0"/>
              <w:spacing w:before="0" w:after="0"/>
              <w:ind w:left="0" w:right="0" w:hanging="0"/>
              <w:jc w:val="left"/>
              <w:rPr/>
            </w:pPr>
            <w:r>
              <w:rPr/>
              <w:t>​</w:t>
            </w:r>
          </w:p>
        </w:tc>
        <w:tc>
          <w:tcPr>
            <w:tcW w:w="6488"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Director</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PRUCO LIFE INSURANCE COMPANY</w:t>
            </w:r>
            <w:r>
              <w:rPr>
                <w:rFonts w:ascii="Times New Roman;Times;serif" w:hAnsi="Times New Roman;Times;serif"/>
                <w:sz w:val="22"/>
              </w:rPr>
              <w:t>,</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holder of Series D Notes</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Inc., as investment manager</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608" w:type="dxa"/>
            <w:gridSpan w:val="4"/>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6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Jason Richardson</w:t>
            </w:r>
          </w:p>
        </w:tc>
        <w:tc>
          <w:tcPr>
            <w:tcW w:w="487" w:type="dxa"/>
            <w:tcBorders/>
            <w:vAlign w:val="center"/>
          </w:tcPr>
          <w:p>
            <w:pPr>
              <w:pStyle w:val="TableContents"/>
              <w:bidi w:val="0"/>
              <w:spacing w:before="0" w:after="0"/>
              <w:ind w:left="0" w:right="0" w:hanging="0"/>
              <w:jc w:val="left"/>
              <w:rPr/>
            </w:pPr>
            <w:r>
              <w:rPr/>
              <w:t>​</w:t>
            </w:r>
          </w:p>
        </w:tc>
      </w:tr>
      <w:tr>
        <w:trPr/>
        <w:tc>
          <w:tcPr>
            <w:tcW w:w="608" w:type="dxa"/>
            <w:gridSpan w:val="4"/>
            <w:tcBorders/>
            <w:vAlign w:val="center"/>
          </w:tcPr>
          <w:p>
            <w:pPr>
              <w:pStyle w:val="TableContents"/>
              <w:bidi w:val="0"/>
              <w:spacing w:before="0" w:after="0"/>
              <w:ind w:left="0" w:right="0" w:hanging="0"/>
              <w:jc w:val="left"/>
              <w:rPr/>
            </w:pPr>
            <w:r>
              <w:rPr/>
              <w:t>​</w:t>
            </w:r>
          </w:p>
        </w:tc>
        <w:tc>
          <w:tcPr>
            <w:tcW w:w="6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7511" w:type="dxa"/>
            <w:gridSpan w:val="6"/>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PRUDENTIAL LEGACY INSURANCE COMPANY OF NEW JERSEY</w:t>
            </w:r>
            <w:r>
              <w:rPr>
                <w:rFonts w:ascii="Times New Roman;Times;serif" w:hAnsi="Times New Roman;Times;serif"/>
                <w:sz w:val="22"/>
              </w:rPr>
              <w:t>,</w:t>
            </w:r>
          </w:p>
        </w:tc>
      </w:tr>
      <w:tr>
        <w:trPr/>
        <w:tc>
          <w:tcPr>
            <w:tcW w:w="7024" w:type="dxa"/>
            <w:gridSpan w:val="5"/>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holder of Series D Notes</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Inc., as investment manager</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608" w:type="dxa"/>
            <w:gridSpan w:val="4"/>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641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Jason Richardson</w:t>
            </w:r>
          </w:p>
        </w:tc>
        <w:tc>
          <w:tcPr>
            <w:tcW w:w="487" w:type="dxa"/>
            <w:tcBorders/>
            <w:vAlign w:val="center"/>
          </w:tcPr>
          <w:p>
            <w:pPr>
              <w:pStyle w:val="TableContents"/>
              <w:bidi w:val="0"/>
              <w:spacing w:before="0" w:after="0"/>
              <w:ind w:left="0" w:right="0" w:hanging="0"/>
              <w:jc w:val="left"/>
              <w:rPr/>
            </w:pPr>
            <w:r>
              <w:rPr/>
              <w:t>​</w:t>
            </w:r>
          </w:p>
        </w:tc>
      </w:tr>
      <w:tr>
        <w:trPr/>
        <w:tc>
          <w:tcPr>
            <w:tcW w:w="608" w:type="dxa"/>
            <w:gridSpan w:val="4"/>
            <w:tcBorders/>
            <w:vAlign w:val="center"/>
          </w:tcPr>
          <w:p>
            <w:pPr>
              <w:pStyle w:val="TableContents"/>
              <w:bidi w:val="0"/>
              <w:spacing w:before="0" w:after="0"/>
              <w:ind w:left="0" w:right="0" w:hanging="0"/>
              <w:jc w:val="left"/>
              <w:rPr/>
            </w:pPr>
            <w:r>
              <w:rPr/>
              <w:t>​</w:t>
            </w:r>
          </w:p>
        </w:tc>
        <w:tc>
          <w:tcPr>
            <w:tcW w:w="6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7511" w:type="dxa"/>
            <w:gridSpan w:val="6"/>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THE LINCOLN NATIONAL LIFE INSURANCE COMPANY</w:t>
            </w:r>
            <w:r>
              <w:rPr>
                <w:rFonts w:ascii="Times New Roman;Times;serif" w:hAnsi="Times New Roman;Times;serif"/>
                <w:sz w:val="22"/>
              </w:rPr>
              <w:t>,</w:t>
            </w:r>
          </w:p>
        </w:tc>
      </w:tr>
      <w:tr>
        <w:trPr/>
        <w:tc>
          <w:tcPr>
            <w:tcW w:w="7024" w:type="dxa"/>
            <w:gridSpan w:val="5"/>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holder of Series D Notes</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Private Placement Investors, L.P. (as Investment Advisor)</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Private Placement Investors, Inc. (as its General Partner)</w:t>
            </w:r>
          </w:p>
        </w:tc>
        <w:tc>
          <w:tcPr>
            <w:tcW w:w="487" w:type="dxa"/>
            <w:tcBorders/>
            <w:vAlign w:val="center"/>
          </w:tcPr>
          <w:p>
            <w:pPr>
              <w:pStyle w:val="TableContents"/>
              <w:bidi w:val="0"/>
              <w:spacing w:before="0" w:after="0"/>
              <w:ind w:left="0" w:right="0" w:hanging="0"/>
              <w:jc w:val="left"/>
              <w:rPr/>
            </w:pPr>
            <w:r>
              <w:rPr/>
              <w:t>​</w:t>
            </w:r>
          </w:p>
        </w:tc>
      </w:tr>
      <w:tr>
        <w:trPr/>
        <w:tc>
          <w:tcPr>
            <w:tcW w:w="7024" w:type="dxa"/>
            <w:gridSpan w:val="5"/>
            <w:tcBorders/>
            <w:vAlign w:val="center"/>
          </w:tcPr>
          <w:p>
            <w:pPr>
              <w:pStyle w:val="TableContents"/>
              <w:bidi w:val="0"/>
              <w:spacing w:before="0" w:after="0"/>
              <w:ind w:left="0" w:right="0" w:hanging="0"/>
              <w:jc w:val="left"/>
              <w:rPr/>
            </w:pPr>
            <w:r>
              <w:rPr/>
              <w:t>​</w:t>
            </w:r>
          </w:p>
        </w:tc>
        <w:tc>
          <w:tcPr>
            <w:tcW w:w="487" w:type="dxa"/>
            <w:tcBorders/>
            <w:vAlign w:val="center"/>
          </w:tcPr>
          <w:p>
            <w:pPr>
              <w:pStyle w:val="TableContents"/>
              <w:bidi w:val="0"/>
              <w:spacing w:before="0" w:after="0"/>
              <w:ind w:left="0" w:right="0" w:hanging="0"/>
              <w:jc w:val="left"/>
              <w:rPr/>
            </w:pPr>
            <w:r>
              <w:rPr/>
              <w:t>​</w:t>
            </w:r>
          </w:p>
        </w:tc>
      </w:tr>
      <w:tr>
        <w:trPr/>
        <w:tc>
          <w:tcPr>
            <w:tcW w:w="608" w:type="dxa"/>
            <w:gridSpan w:val="4"/>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641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Jason Richardson</w:t>
            </w:r>
          </w:p>
        </w:tc>
        <w:tc>
          <w:tcPr>
            <w:tcW w:w="487" w:type="dxa"/>
            <w:tcBorders/>
            <w:vAlign w:val="center"/>
          </w:tcPr>
          <w:p>
            <w:pPr>
              <w:pStyle w:val="TableContents"/>
              <w:bidi w:val="0"/>
              <w:spacing w:before="0" w:after="0"/>
              <w:ind w:left="0" w:right="0" w:hanging="0"/>
              <w:jc w:val="left"/>
              <w:rPr/>
            </w:pPr>
            <w:r>
              <w:rPr/>
              <w:t>​</w:t>
            </w:r>
          </w:p>
        </w:tc>
      </w:tr>
      <w:tr>
        <w:trPr/>
        <w:tc>
          <w:tcPr>
            <w:tcW w:w="608" w:type="dxa"/>
            <w:gridSpan w:val="4"/>
            <w:tcBorders/>
            <w:vAlign w:val="center"/>
          </w:tcPr>
          <w:p>
            <w:pPr>
              <w:pStyle w:val="TableContents"/>
              <w:bidi w:val="0"/>
              <w:spacing w:before="0" w:after="0"/>
              <w:ind w:left="0" w:right="0" w:hanging="0"/>
              <w:jc w:val="left"/>
              <w:rPr/>
            </w:pPr>
            <w:r>
              <w:rPr/>
              <w:t>​</w:t>
            </w:r>
          </w:p>
        </w:tc>
        <w:tc>
          <w:tcPr>
            <w:tcW w:w="6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48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Fourth Amendment to</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Third Amended and Restated Note Purchase and Private Shelf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350" w:type="dxa"/>
        <w:jc w:val="center"/>
        <w:tblInd w:w="0" w:type="dxa"/>
        <w:tblLayout w:type="fixed"/>
        <w:tblCellMar>
          <w:top w:w="0" w:type="dxa"/>
          <w:left w:w="0" w:type="dxa"/>
          <w:bottom w:w="0" w:type="dxa"/>
          <w:right w:w="0" w:type="dxa"/>
        </w:tblCellMar>
      </w:tblPr>
      <w:tblGrid>
        <w:gridCol w:w="1235"/>
        <w:gridCol w:w="5720"/>
        <w:gridCol w:w="395"/>
      </w:tblGrid>
      <w:tr>
        <w:trPr/>
        <w:tc>
          <w:tcPr>
            <w:tcW w:w="735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THE PRUDENTIAL INSURANCE COMPANY OF AMERICA</w:t>
            </w:r>
            <w:r>
              <w:rPr>
                <w:rFonts w:ascii="Times New Roman;Times;serif" w:hAnsi="Times New Roman;Times;serif"/>
                <w:sz w:val="22"/>
              </w:rPr>
              <w:t>,</w:t>
            </w:r>
          </w:p>
        </w:tc>
      </w:tr>
      <w:tr>
        <w:trPr/>
        <w:tc>
          <w:tcPr>
            <w:tcW w:w="695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holder of Series D Notes</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Inc., as investment manager</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r>
      <w:tr>
        <w:trPr/>
        <w:tc>
          <w:tcPr>
            <w:tcW w:w="1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7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/s/ Jason Richardson </w:t>
            </w:r>
          </w:p>
        </w:tc>
        <w:tc>
          <w:tcPr>
            <w:tcW w:w="395" w:type="dxa"/>
            <w:tcBorders/>
            <w:vAlign w:val="center"/>
          </w:tcPr>
          <w:p>
            <w:pPr>
              <w:pStyle w:val="TableContents"/>
              <w:bidi w:val="0"/>
              <w:spacing w:before="0" w:after="0"/>
              <w:ind w:left="0" w:right="0" w:hanging="0"/>
              <w:jc w:val="left"/>
              <w:rPr/>
            </w:pPr>
            <w:r>
              <w:rPr/>
              <w:t>​</w:t>
            </w:r>
          </w:p>
        </w:tc>
      </w:tr>
      <w:tr>
        <w:trPr/>
        <w:tc>
          <w:tcPr>
            <w:tcW w:w="1235" w:type="dxa"/>
            <w:tcBorders/>
            <w:vAlign w:val="center"/>
          </w:tcPr>
          <w:p>
            <w:pPr>
              <w:pStyle w:val="TableContents"/>
              <w:bidi w:val="0"/>
              <w:spacing w:before="0" w:after="0"/>
              <w:ind w:left="0" w:right="0" w:hanging="0"/>
              <w:jc w:val="left"/>
              <w:rPr/>
            </w:pPr>
            <w:r>
              <w:rPr/>
              <w:t>​</w:t>
            </w:r>
          </w:p>
        </w:tc>
        <w:tc>
          <w:tcPr>
            <w:tcW w:w="572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ZURICH AMERICAN INSURANCE COMPANY</w:t>
            </w:r>
            <w:r>
              <w:rPr>
                <w:rFonts w:ascii="Times New Roman;Times;serif" w:hAnsi="Times New Roman;Times;serif"/>
                <w:sz w:val="22"/>
              </w:rPr>
              <w:t>,</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holder of Series D Notes</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Private Placement Investors, L.P. (as Investment Advisor)</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Private Placement Investors, Inc. (as its General Partner)</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r>
      <w:tr>
        <w:trPr/>
        <w:tc>
          <w:tcPr>
            <w:tcW w:w="1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7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Jason Richardson</w:t>
            </w:r>
          </w:p>
        </w:tc>
        <w:tc>
          <w:tcPr>
            <w:tcW w:w="395" w:type="dxa"/>
            <w:tcBorders/>
            <w:vAlign w:val="center"/>
          </w:tcPr>
          <w:p>
            <w:pPr>
              <w:pStyle w:val="TableContents"/>
              <w:bidi w:val="0"/>
              <w:spacing w:before="0" w:after="0"/>
              <w:ind w:left="0" w:right="0" w:hanging="0"/>
              <w:jc w:val="left"/>
              <w:rPr/>
            </w:pPr>
            <w:r>
              <w:rPr/>
              <w:t>​</w:t>
            </w:r>
          </w:p>
        </w:tc>
      </w:tr>
      <w:tr>
        <w:trPr/>
        <w:tc>
          <w:tcPr>
            <w:tcW w:w="1235" w:type="dxa"/>
            <w:tcBorders/>
            <w:vAlign w:val="center"/>
          </w:tcPr>
          <w:p>
            <w:pPr>
              <w:pStyle w:val="TableContents"/>
              <w:bidi w:val="0"/>
              <w:spacing w:before="0" w:after="0"/>
              <w:ind w:left="0" w:right="0" w:hanging="0"/>
              <w:jc w:val="left"/>
              <w:rPr/>
            </w:pPr>
            <w:r>
              <w:rPr/>
              <w:t>​</w:t>
            </w:r>
          </w:p>
        </w:tc>
        <w:tc>
          <w:tcPr>
            <w:tcW w:w="572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r>
      <w:tr>
        <w:trPr/>
        <w:tc>
          <w:tcPr>
            <w:tcW w:w="7350" w:type="dxa"/>
            <w:gridSpan w:val="3"/>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PRUDENTIAL ARIZONA REINSURANCE CAPTIVE COMPANY</w:t>
            </w:r>
          </w:p>
        </w:tc>
      </w:tr>
      <w:tr>
        <w:trPr/>
        <w:tc>
          <w:tcPr>
            <w:tcW w:w="7350" w:type="dxa"/>
            <w:gridSpan w:val="3"/>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successor by merger to Prudential Arizona Reinsurance Term Company),</w:t>
            </w:r>
          </w:p>
        </w:tc>
      </w:tr>
      <w:tr>
        <w:trPr/>
        <w:tc>
          <w:tcPr>
            <w:tcW w:w="695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holder of Series D Notes</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Inc., as investment manager</w:t>
            </w:r>
          </w:p>
        </w:tc>
        <w:tc>
          <w:tcPr>
            <w:tcW w:w="395" w:type="dxa"/>
            <w:tcBorders/>
            <w:vAlign w:val="center"/>
          </w:tcPr>
          <w:p>
            <w:pPr>
              <w:pStyle w:val="TableContents"/>
              <w:bidi w:val="0"/>
              <w:spacing w:before="0" w:after="0"/>
              <w:ind w:left="0" w:right="0" w:hanging="0"/>
              <w:jc w:val="left"/>
              <w:rPr/>
            </w:pPr>
            <w:r>
              <w:rPr/>
              <w:t>​</w:t>
            </w:r>
          </w:p>
        </w:tc>
      </w:tr>
      <w:tr>
        <w:trPr/>
        <w:tc>
          <w:tcPr>
            <w:tcW w:w="6955" w:type="dxa"/>
            <w:gridSpan w:val="2"/>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r>
      <w:tr>
        <w:trPr/>
        <w:tc>
          <w:tcPr>
            <w:tcW w:w="123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7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Jason Richardson</w:t>
            </w:r>
          </w:p>
        </w:tc>
        <w:tc>
          <w:tcPr>
            <w:tcW w:w="395" w:type="dxa"/>
            <w:tcBorders/>
            <w:vAlign w:val="center"/>
          </w:tcPr>
          <w:p>
            <w:pPr>
              <w:pStyle w:val="TableContents"/>
              <w:bidi w:val="0"/>
              <w:spacing w:before="0" w:after="0"/>
              <w:ind w:left="0" w:right="0" w:hanging="0"/>
              <w:jc w:val="left"/>
              <w:rPr/>
            </w:pPr>
            <w:r>
              <w:rPr/>
              <w:t>​</w:t>
            </w:r>
          </w:p>
        </w:tc>
      </w:tr>
      <w:tr>
        <w:trPr/>
        <w:tc>
          <w:tcPr>
            <w:tcW w:w="1235" w:type="dxa"/>
            <w:tcBorders/>
            <w:vAlign w:val="center"/>
          </w:tcPr>
          <w:p>
            <w:pPr>
              <w:pStyle w:val="TableContents"/>
              <w:bidi w:val="0"/>
              <w:spacing w:before="0" w:after="0"/>
              <w:ind w:left="0" w:right="0" w:hanging="0"/>
              <w:jc w:val="left"/>
              <w:rPr/>
            </w:pPr>
            <w:r>
              <w:rPr/>
              <w:t>​</w:t>
            </w:r>
          </w:p>
        </w:tc>
        <w:tc>
          <w:tcPr>
            <w:tcW w:w="572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39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Fourth Amendment to</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Third Amended and Restated Note Purchase and Private Shelf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Accepted and agreed to</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as of the date first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appearing above:</w:t>
      </w:r>
    </w:p>
    <w:p>
      <w:pPr>
        <w:pStyle w:val="TextBody"/>
        <w:bidi w:val="0"/>
        <w:spacing w:before="0" w:after="0"/>
        <w:ind w:left="0" w:right="0" w:hanging="0"/>
        <w:jc w:val="both"/>
        <w:rPr/>
      </w:pPr>
      <w:r>
        <w:rPr/>
        <w:t>​</w:t>
      </w:r>
    </w:p>
    <w:tbl>
      <w:tblPr>
        <w:tblW w:w="5661" w:type="dxa"/>
        <w:jc w:val="center"/>
        <w:tblInd w:w="0" w:type="dxa"/>
        <w:tblLayout w:type="fixed"/>
        <w:tblCellMar>
          <w:top w:w="0" w:type="dxa"/>
          <w:left w:w="0" w:type="dxa"/>
          <w:bottom w:w="0" w:type="dxa"/>
          <w:right w:w="0" w:type="dxa"/>
        </w:tblCellMar>
      </w:tblPr>
      <w:tblGrid>
        <w:gridCol w:w="451"/>
        <w:gridCol w:w="5056"/>
        <w:gridCol w:w="154"/>
      </w:tblGrid>
      <w:tr>
        <w:trPr/>
        <w:tc>
          <w:tcPr>
            <w:tcW w:w="550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MATSON, INC.</w:t>
            </w:r>
            <w:r>
              <w:rPr>
                <w:rFonts w:ascii="Times New Roman;Times;serif" w:hAnsi="Times New Roman;Times;serif"/>
                <w:sz w:val="22"/>
              </w:rPr>
              <w:t>, a Hawaii corporation</w:t>
            </w:r>
          </w:p>
        </w:tc>
        <w:tc>
          <w:tcPr>
            <w:tcW w:w="154" w:type="dxa"/>
            <w:tcBorders/>
            <w:vAlign w:val="center"/>
          </w:tcPr>
          <w:p>
            <w:pPr>
              <w:pStyle w:val="TableContents"/>
              <w:bidi w:val="0"/>
              <w:spacing w:before="0" w:after="0"/>
              <w:ind w:left="0" w:right="0" w:hanging="0"/>
              <w:jc w:val="left"/>
              <w:rPr/>
            </w:pPr>
            <w:r>
              <w:rPr/>
              <w:t>​</w:t>
            </w:r>
          </w:p>
        </w:tc>
      </w:tr>
      <w:tr>
        <w:trPr/>
        <w:tc>
          <w:tcPr>
            <w:tcW w:w="550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50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Matthew J. Cox</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Matthew J. Cox</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Its:</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Chairman of the Board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550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50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Joel M. Wine</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Joel M. Wine</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Its:</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48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Amendment to Third Amended and Restated Note Purchase and Private Shelf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480"/>
        <w:ind w:left="0" w:right="0" w:hanging="0"/>
        <w:jc w:val="both"/>
        <w:rPr>
          <w:rFonts w:ascii="Times New Roman;Times;serif" w:hAnsi="Times New Roman;Times;serif"/>
          <w:sz w:val="22"/>
        </w:rPr>
      </w:pPr>
      <w:r>
        <w:rPr>
          <w:rFonts w:ascii="Times New Roman;Times;serif" w:hAnsi="Times New Roman;Times;serif"/>
          <w:sz w:val="22"/>
        </w:rPr>
        <w:t>Each of the Guarantors hereby (a) consents to the amendments and other modifications effected by this letter agreement and the other transactions contemplated hereby, (b) reaffirms its obligations under the Multiparty Guaranty (and any Joinder Agreement executed in connection therewith) and its waivers, as set forth in the Multiparty Guaranty, of each and every one of the possible defenses to such obligations, and (c) reaffirms that its obligations under the Multiparty Guaranty are separate and distinct from the respective obligations of the Company under the Agreement and the Notes.</w:t>
      </w:r>
    </w:p>
    <w:p>
      <w:pPr>
        <w:pStyle w:val="TextBody"/>
        <w:bidi w:val="0"/>
        <w:spacing w:before="0" w:after="480"/>
        <w:ind w:left="0" w:right="0" w:hanging="0"/>
        <w:jc w:val="both"/>
        <w:rPr>
          <w:rFonts w:ascii="Times New Roman;Times;serif" w:hAnsi="Times New Roman;Times;serif"/>
          <w:sz w:val="20"/>
        </w:rPr>
      </w:pPr>
      <w:r>
        <w:rPr>
          <w:rFonts w:ascii="Times New Roman;Times;serif" w:hAnsi="Times New Roman;Times;serif"/>
          <w:b/>
          <w:sz w:val="22"/>
        </w:rPr>
        <w:t>MATSON NAVIGATION COMPANY, INC.</w:t>
      </w:r>
      <w:r>
        <w:rPr>
          <w:rFonts w:ascii="Times New Roman;Times;serif" w:hAnsi="Times New Roman;Times;serif"/>
          <w:sz w:val="20"/>
        </w:rPr>
        <w:t xml:space="preserve"> </w:t>
      </w:r>
      <w:r>
        <w:rPr>
          <w:rFonts w:ascii="Times New Roman;Times;serif" w:hAnsi="Times New Roman;Times;serif"/>
          <w:sz w:val="22"/>
        </w:rPr>
        <w:t>a Hawaii corporation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u w:val="single"/>
        </w:rPr>
        <w:t>/s/ Joel M. Wine</w:t>
      </w:r>
      <w:r>
        <w:rPr>
          <w:rFonts w:ascii="Times New Roman;Times;serif" w:hAnsi="Times New Roman;Times;serif"/>
          <w:sz w:val="22"/>
        </w:rPr>
        <w:t>_______________</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 Joel M. Wine</w:t>
      </w:r>
    </w:p>
    <w:p>
      <w:pPr>
        <w:pStyle w:val="TextBody"/>
        <w:bidi w:val="0"/>
        <w:spacing w:before="0" w:after="480"/>
        <w:ind w:left="0" w:right="0" w:hanging="0"/>
        <w:jc w:val="both"/>
        <w:rPr>
          <w:rFonts w:ascii="Times New Roman;Times;serif" w:hAnsi="Times New Roman;Times;serif"/>
          <w:sz w:val="22"/>
        </w:rPr>
      </w:pPr>
      <w:r>
        <w:rPr>
          <w:rFonts w:ascii="Times New Roman;Times;serif" w:hAnsi="Times New Roman;Times;serif"/>
          <w:sz w:val="22"/>
        </w:rPr>
        <w:t>Its: Executive Vice President and Chief Financial Officer</w:t>
      </w:r>
    </w:p>
    <w:p>
      <w:pPr>
        <w:pStyle w:val="TextBody"/>
        <w:bidi w:val="0"/>
        <w:spacing w:before="0" w:after="480"/>
        <w:ind w:left="0" w:right="0" w:hanging="0"/>
        <w:jc w:val="both"/>
        <w:rPr>
          <w:rFonts w:ascii="Times New Roman;Times;serif" w:hAnsi="Times New Roman;Times;serif"/>
          <w:sz w:val="20"/>
        </w:rPr>
      </w:pPr>
      <w:r>
        <w:rPr>
          <w:rFonts w:ascii="Times New Roman;Times;serif" w:hAnsi="Times New Roman;Times;serif"/>
          <w:b/>
          <w:sz w:val="22"/>
        </w:rPr>
        <w:t>MATSON NAVIGATION COMPANY OF ALASKA, LLC</w:t>
      </w:r>
      <w:r>
        <w:rPr>
          <w:rFonts w:ascii="Times New Roman;Times;serif" w:hAnsi="Times New Roman;Times;serif"/>
          <w:sz w:val="22"/>
        </w:rPr>
        <w:t>, a Delaware limited liability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u w:val="single"/>
        </w:rPr>
        <w:t>/s/ Joel M. Wine</w:t>
      </w:r>
      <w:r>
        <w:rPr>
          <w:rFonts w:ascii="Times New Roman;Times;serif" w:hAnsi="Times New Roman;Times;serif"/>
          <w:sz w:val="22"/>
        </w:rPr>
        <w:t>_______________</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 Joel M. Wine</w:t>
      </w:r>
    </w:p>
    <w:p>
      <w:pPr>
        <w:pStyle w:val="TextBody"/>
        <w:bidi w:val="0"/>
        <w:spacing w:before="0" w:after="480"/>
        <w:ind w:left="0" w:right="0" w:hanging="0"/>
        <w:jc w:val="both"/>
        <w:rPr>
          <w:rFonts w:ascii="Times New Roman;Times;serif" w:hAnsi="Times New Roman;Times;serif"/>
          <w:sz w:val="22"/>
        </w:rPr>
      </w:pPr>
      <w:r>
        <w:rPr>
          <w:rFonts w:ascii="Times New Roman;Times;serif" w:hAnsi="Times New Roman;Times;serif"/>
          <w:sz w:val="22"/>
        </w:rPr>
        <w:t>Its: Executive Vice President and Chief Financial Officer</w:t>
      </w:r>
    </w:p>
    <w:p>
      <w:pPr>
        <w:pStyle w:val="TextBody"/>
        <w:bidi w:val="0"/>
        <w:spacing w:before="0" w:after="480"/>
        <w:ind w:left="0" w:right="0" w:hanging="0"/>
        <w:jc w:val="both"/>
        <w:rPr>
          <w:rFonts w:ascii="Times New Roman;Times;serif" w:hAnsi="Times New Roman;Times;serif"/>
          <w:sz w:val="20"/>
        </w:rPr>
      </w:pPr>
      <w:r>
        <w:rPr>
          <w:rFonts w:ascii="Times New Roman;Times;serif" w:hAnsi="Times New Roman;Times;serif"/>
          <w:b/>
          <w:sz w:val="22"/>
        </w:rPr>
        <w:t>SPAN-ALASKA TRANSPORTATION, LLC</w:t>
      </w:r>
      <w:r>
        <w:rPr>
          <w:rFonts w:ascii="Times New Roman;Times;serif" w:hAnsi="Times New Roman;Times;serif"/>
          <w:sz w:val="22"/>
        </w:rPr>
        <w:t>, an Alaska limited liability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u w:val="single"/>
        </w:rPr>
        <w:t>/s/ Joel M. Wine</w:t>
      </w:r>
      <w:r>
        <w:rPr>
          <w:rFonts w:ascii="Times New Roman;Times;serif" w:hAnsi="Times New Roman;Times;serif"/>
          <w:sz w:val="22"/>
        </w:rPr>
        <w:t>_______________</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 Joel M. Wine</w:t>
      </w:r>
    </w:p>
    <w:p>
      <w:pPr>
        <w:pStyle w:val="TextBody"/>
        <w:bidi w:val="0"/>
        <w:spacing w:before="0" w:after="480"/>
        <w:ind w:left="0" w:right="0" w:hanging="0"/>
        <w:jc w:val="both"/>
        <w:rPr>
          <w:rFonts w:ascii="Times New Roman;Times;serif" w:hAnsi="Times New Roman;Times;serif"/>
          <w:sz w:val="22"/>
        </w:rPr>
      </w:pPr>
      <w:r>
        <w:rPr>
          <w:rFonts w:ascii="Times New Roman;Times;serif" w:hAnsi="Times New Roman;Times;serif"/>
          <w:sz w:val="22"/>
        </w:rPr>
        <w:t>Its: Executive Vice President and Chief Financial Officer</w:t>
      </w:r>
    </w:p>
    <w:p>
      <w:pPr>
        <w:pStyle w:val="TextBody"/>
        <w:bidi w:val="0"/>
        <w:spacing w:before="0" w:after="48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Fourth Amendment to</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Third Amended and Restated Note Purchase and Private Shelf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EXHIBIT A</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See attached.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i/>
          <w:sz w:val="20"/>
        </w:rPr>
        <w:t xml:space="preserve">Conformed through </w:t>
      </w:r>
      <w:r>
        <w:rPr>
          <w:rFonts w:ascii="Times New Roman;Times;serif" w:hAnsi="Times New Roman;Times;serif"/>
          <w:i/>
          <w:color w:val="FF0000"/>
          <w:sz w:val="20"/>
        </w:rPr>
        <w:t>March 31, 2021</w:t>
      </w:r>
      <w:r>
        <w:rPr>
          <w:rFonts w:ascii="Times New Roman;Times;serif" w:hAnsi="Times New Roman;Times;serif"/>
          <w:i/>
          <w:color w:val="0000FF"/>
          <w:sz w:val="20"/>
        </w:rPr>
        <w:t>July 23, 2025</w:t>
      </w:r>
      <w:r>
        <w:rPr>
          <w:rFonts w:ascii="Times New Roman;Times;serif" w:hAnsi="Times New Roman;Times;serif"/>
          <w:sz w:val="20"/>
        </w:rPr>
        <w:t xml:space="preserve"> </w:t>
      </w:r>
      <w:r>
        <w:rPr>
          <w:rFonts w:ascii="Times New Roman;Times;serif" w:hAnsi="Times New Roman;Times;serif"/>
          <w:i/>
          <w:sz w:val="20"/>
        </w:rPr>
        <w:t>Amendment</w:t>
      </w:r>
    </w:p>
    <w:p>
      <w:pPr>
        <w:pStyle w:val="TextBody"/>
        <w:bidi w:val="0"/>
        <w:spacing w:before="0" w:after="0"/>
        <w:ind w:left="0" w:right="0" w:hanging="0"/>
        <w:jc w:val="right"/>
        <w:rPr/>
      </w:pPr>
      <w:r>
        <w:rPr/>
        <w:t>​</w:t>
      </w:r>
    </w:p>
    <w:p>
      <w:pPr>
        <w:pStyle w:val="TextBody"/>
        <w:pBdr>
          <w:top w:val="single" w:sz="2" w:space="1" w:color="000000"/>
        </w:pBdr>
        <w:bidi w:val="0"/>
        <w:spacing w:before="0" w:after="0"/>
        <w:ind w:left="0" w:right="0" w:hanging="0"/>
        <w:jc w:val="center"/>
        <w:rPr/>
      </w:pPr>
      <w:r>
        <w:rPr/>
        <w:t>​</w:t>
      </w:r>
    </w:p>
    <w:p>
      <w:pPr>
        <w:pStyle w:val="TextBody"/>
        <w:pBdr/>
        <w:bidi w:val="0"/>
        <w:spacing w:before="0" w:after="720"/>
        <w:ind w:left="0" w:right="0" w:hanging="0"/>
        <w:jc w:val="center"/>
        <w:rPr>
          <w:rFonts w:ascii="Times New Roman;Times;serif" w:hAnsi="Times New Roman;Times;serif"/>
          <w:b/>
          <w:sz w:val="22"/>
        </w:rPr>
      </w:pPr>
      <w:r>
        <w:rPr>
          <w:rFonts w:ascii="Times New Roman;Times;serif" w:hAnsi="Times New Roman;Times;serif"/>
          <w:b/>
          <w:sz w:val="22"/>
        </w:rPr>
        <w:t>MATSON, INC.</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$105,000,000 ORIGINAL PRINCIPAL AMOUNT OF SERIES B SENIOR GUARANTEED NOTES DUE 2020</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$77,500,000 ORIGINAL PRINCIPAL AMOUNT OF SERIES C-1 SENIOR GUARANTEED NOTES DUE 2023</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$55,000,000 ORIGINAL PRINCIPAL AMOUNT OF SERIES C-2 SENIOR GUARANTEED NOTES DUE 2027</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$37,500,000 ORIGINAL PRINCIPAL AMOUNT OF SERIES C-3 SENIOR GUARANTEED NOTES DUE 2032</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$200,000,000 ORIGINAL PRINCIPAL AMOUNT OF SERIES D SENIOR GUARANTEED NOTES DUE 2031</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before="0" w:after="720"/>
        <w:ind w:left="0" w:right="0" w:hanging="0"/>
        <w:jc w:val="center"/>
        <w:rPr>
          <w:rFonts w:ascii="Times New Roman;Times;serif" w:hAnsi="Times New Roman;Times;serif"/>
          <w:sz w:val="22"/>
        </w:rPr>
      </w:pPr>
      <w:r>
        <w:rPr>
          <w:rFonts w:ascii="Times New Roman;Times;serif" w:hAnsi="Times New Roman;Times;serif"/>
          <w:sz w:val="22"/>
        </w:rPr>
        <w:t>REVOLVING PRIVATE SHELF FACILITY</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THIRD AMENDED AND RESTATED NOTE PURCHASE</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AND PRIVATE SHELF AGREEMENT</w:t>
      </w:r>
    </w:p>
    <w:p>
      <w:pPr>
        <w:pStyle w:val="TextBody"/>
        <w:pBdr/>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September 14, 2016</w:t>
      </w:r>
    </w:p>
    <w:p>
      <w:pPr>
        <w:pStyle w:val="TextBody"/>
        <w:pBdr>
          <w:bottom w:val="single" w:sz="2" w:space="1" w:color="000000"/>
        </w:pBdr>
        <w:bidi w:val="0"/>
        <w:spacing w:before="0" w:after="48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TABLE OF CONTENTS</w:t>
      </w:r>
    </w:p>
    <w:p>
      <w:pPr>
        <w:pStyle w:val="TextBody"/>
        <w:bidi w:val="0"/>
        <w:spacing w:before="0" w:after="0"/>
        <w:ind w:left="0" w:right="0" w:hanging="0"/>
        <w:jc w:val="center"/>
        <w:rPr/>
      </w:pPr>
      <w:r>
        <w:rPr/>
        <w:t>​</w:t>
      </w:r>
    </w:p>
    <w:tbl>
      <w:tblPr>
        <w:tblW w:w="6436" w:type="dxa"/>
        <w:jc w:val="center"/>
        <w:tblInd w:w="0" w:type="dxa"/>
        <w:tblLayout w:type="fixed"/>
        <w:tblCellMar>
          <w:top w:w="0" w:type="dxa"/>
          <w:left w:w="0" w:type="dxa"/>
          <w:bottom w:w="0" w:type="dxa"/>
          <w:right w:w="0" w:type="dxa"/>
        </w:tblCellMar>
      </w:tblPr>
      <w:tblGrid>
        <w:gridCol w:w="473"/>
        <w:gridCol w:w="5392"/>
        <w:gridCol w:w="571"/>
      </w:tblGrid>
      <w:tr>
        <w:trPr/>
        <w:tc>
          <w:tcPr>
            <w:tcW w:w="473" w:type="dxa"/>
            <w:tcBorders/>
            <w:vAlign w:val="center"/>
          </w:tcPr>
          <w:p>
            <w:pPr>
              <w:pStyle w:val="TableContents"/>
              <w:bidi w:val="0"/>
              <w:spacing w:before="0" w:after="0"/>
              <w:ind w:left="0" w:right="0" w:hanging="0"/>
              <w:jc w:val="left"/>
              <w:rPr/>
            </w:pPr>
            <w:r>
              <w:rPr/>
              <w:t>​</w:t>
            </w:r>
          </w:p>
        </w:tc>
        <w:tc>
          <w:tcPr>
            <w:tcW w:w="5392"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58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BACKGROUND; EXISTING NOTES; AUTHORIZATION OF NOTES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73" w:type="dxa"/>
            <w:tcBorders/>
            <w:vAlign w:val="center"/>
          </w:tcPr>
          <w:p>
            <w:pPr>
              <w:pStyle w:val="TableContents"/>
              <w:bidi w:val="0"/>
              <w:spacing w:before="0" w:after="0"/>
              <w:ind w:left="0" w:right="0" w:hanging="0"/>
              <w:jc w:val="left"/>
              <w:rPr/>
            </w:pPr>
            <w:r>
              <w:rPr/>
              <w:t>​</w:t>
            </w:r>
          </w:p>
        </w:tc>
        <w:tc>
          <w:tcPr>
            <w:tcW w:w="5392"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1A.</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Amendment and Restatement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1B.</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Notes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1C.</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Authorization of Issue of Series D Notes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1D.</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Authorization of Issue of Shelf Notes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73" w:type="dxa"/>
            <w:tcBorders/>
            <w:vAlign w:val="center"/>
          </w:tcPr>
          <w:p>
            <w:pPr>
              <w:pStyle w:val="TableContents"/>
              <w:bidi w:val="0"/>
              <w:spacing w:before="0" w:after="0"/>
              <w:ind w:left="0" w:right="0" w:hanging="0"/>
              <w:jc w:val="left"/>
              <w:rPr/>
            </w:pPr>
            <w:r>
              <w:rPr/>
              <w:t>​</w:t>
            </w:r>
          </w:p>
        </w:tc>
        <w:tc>
          <w:tcPr>
            <w:tcW w:w="5392"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58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PURCHASE AND SALE OF NOTES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865" w:type="dxa"/>
            <w:gridSpan w:val="2"/>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2A.</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and Sale of Series D Notes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2B.</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and Sale of Shelf Notes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73" w:type="dxa"/>
            <w:tcBorders/>
            <w:vAlign w:val="center"/>
          </w:tcPr>
          <w:p>
            <w:pPr>
              <w:pStyle w:val="TableContents"/>
              <w:bidi w:val="0"/>
              <w:spacing w:before="0" w:after="0"/>
              <w:ind w:left="0" w:right="0" w:hanging="0"/>
              <w:jc w:val="left"/>
              <w:rPr/>
            </w:pPr>
            <w:r>
              <w:rPr/>
              <w:t>​</w:t>
            </w:r>
          </w:p>
        </w:tc>
        <w:tc>
          <w:tcPr>
            <w:tcW w:w="5392"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58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CONDITIONS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73" w:type="dxa"/>
            <w:tcBorders/>
            <w:vAlign w:val="center"/>
          </w:tcPr>
          <w:p>
            <w:pPr>
              <w:pStyle w:val="TableContents"/>
              <w:bidi w:val="0"/>
              <w:spacing w:before="0" w:after="0"/>
              <w:ind w:left="0" w:right="0" w:hanging="0"/>
              <w:jc w:val="left"/>
              <w:rPr/>
            </w:pPr>
            <w:r>
              <w:rPr/>
              <w:t>​</w:t>
            </w:r>
          </w:p>
        </w:tc>
        <w:tc>
          <w:tcPr>
            <w:tcW w:w="5392"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3A.</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TO EFFECTIVENESS OF AGREEMENT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3B.</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TO EACH CLOSING</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73" w:type="dxa"/>
            <w:tcBorders/>
            <w:vAlign w:val="center"/>
          </w:tcPr>
          <w:p>
            <w:pPr>
              <w:pStyle w:val="TableContents"/>
              <w:bidi w:val="0"/>
              <w:spacing w:before="0" w:after="0"/>
              <w:ind w:left="0" w:right="0" w:hanging="0"/>
              <w:jc w:val="left"/>
              <w:rPr/>
            </w:pPr>
            <w:r>
              <w:rPr/>
              <w:t>​</w:t>
            </w:r>
          </w:p>
        </w:tc>
        <w:tc>
          <w:tcPr>
            <w:tcW w:w="5392"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58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PREPAYMENTS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73" w:type="dxa"/>
            <w:tcBorders/>
            <w:vAlign w:val="center"/>
          </w:tcPr>
          <w:p>
            <w:pPr>
              <w:pStyle w:val="TableContents"/>
              <w:bidi w:val="0"/>
              <w:spacing w:before="0" w:after="0"/>
              <w:ind w:left="0" w:right="0" w:hanging="0"/>
              <w:jc w:val="left"/>
              <w:rPr/>
            </w:pPr>
            <w:r>
              <w:rPr/>
              <w:t>​</w:t>
            </w:r>
          </w:p>
        </w:tc>
        <w:tc>
          <w:tcPr>
            <w:tcW w:w="5392"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4A.</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Required Prepayments of Notes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4B.</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Optional Prepayment with Yield-Maintenance Amount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4C.</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of Optional Prepayment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4D.</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Application of Prepayments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4E.</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 of Notes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73" w:type="dxa"/>
            <w:tcBorders/>
            <w:vAlign w:val="center"/>
          </w:tcPr>
          <w:p>
            <w:pPr>
              <w:pStyle w:val="TableContents"/>
              <w:bidi w:val="0"/>
              <w:spacing w:before="0" w:after="0"/>
              <w:ind w:left="0" w:right="0" w:hanging="0"/>
              <w:jc w:val="left"/>
              <w:rPr/>
            </w:pPr>
            <w:r>
              <w:rPr/>
              <w:t>​</w:t>
            </w:r>
          </w:p>
        </w:tc>
        <w:tc>
          <w:tcPr>
            <w:tcW w:w="5392"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58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AFFIRMATIVE COVENANTS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73" w:type="dxa"/>
            <w:tcBorders/>
            <w:vAlign w:val="center"/>
          </w:tcPr>
          <w:p>
            <w:pPr>
              <w:pStyle w:val="TableContents"/>
              <w:bidi w:val="0"/>
              <w:spacing w:before="0" w:after="0"/>
              <w:ind w:left="0" w:right="0" w:hanging="0"/>
              <w:jc w:val="left"/>
              <w:rPr/>
            </w:pPr>
            <w:r>
              <w:rPr/>
              <w:t>​</w:t>
            </w:r>
          </w:p>
        </w:tc>
        <w:tc>
          <w:tcPr>
            <w:tcW w:w="5392"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5A.</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5B.</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Inspection of Property</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5C.</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Required by Rule 144A</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5D.</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Maintenance of Properties; Insurance</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5E.</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 Citizen</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5F.</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and Safety Laws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5G.</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Equal and Ratable Liens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5H.</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Subsequent Guarantors; Release of Guarantors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5I.</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73" w:type="dxa"/>
            <w:tcBorders/>
            <w:vAlign w:val="center"/>
          </w:tcPr>
          <w:p>
            <w:pPr>
              <w:pStyle w:val="TableContents"/>
              <w:bidi w:val="0"/>
              <w:spacing w:before="0" w:after="0"/>
              <w:ind w:left="0" w:right="0" w:hanging="0"/>
              <w:jc w:val="left"/>
              <w:rPr/>
            </w:pPr>
            <w:r>
              <w:rPr/>
              <w:t>​</w:t>
            </w:r>
          </w:p>
        </w:tc>
        <w:tc>
          <w:tcPr>
            <w:tcW w:w="5392"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58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NEGATIVE COVENANTS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73" w:type="dxa"/>
            <w:tcBorders/>
            <w:vAlign w:val="center"/>
          </w:tcPr>
          <w:p>
            <w:pPr>
              <w:pStyle w:val="TableContents"/>
              <w:bidi w:val="0"/>
              <w:spacing w:before="0" w:after="0"/>
              <w:ind w:left="0" w:right="0" w:hanging="0"/>
              <w:jc w:val="left"/>
              <w:rPr/>
            </w:pPr>
            <w:r>
              <w:rPr/>
              <w:t>​</w:t>
            </w:r>
          </w:p>
        </w:tc>
        <w:tc>
          <w:tcPr>
            <w:tcW w:w="5392"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6A.</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Covenants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6B.</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Payments Limitation</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6C.</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Lien and Other Restrictions</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6D.</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Economic Sanctions, Etc</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73" w:type="dxa"/>
            <w:tcBorders/>
            <w:vAlign w:val="center"/>
          </w:tcPr>
          <w:p>
            <w:pPr>
              <w:pStyle w:val="TableContents"/>
              <w:bidi w:val="0"/>
              <w:spacing w:before="0" w:after="0"/>
              <w:ind w:left="0" w:right="0" w:hanging="0"/>
              <w:jc w:val="left"/>
              <w:rPr/>
            </w:pPr>
            <w:r>
              <w:rPr/>
              <w:t>​</w:t>
            </w:r>
          </w:p>
        </w:tc>
        <w:tc>
          <w:tcPr>
            <w:tcW w:w="5392"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58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EVENTS OF DEFAULT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73" w:type="dxa"/>
            <w:tcBorders/>
            <w:vAlign w:val="center"/>
          </w:tcPr>
          <w:p>
            <w:pPr>
              <w:pStyle w:val="TableContents"/>
              <w:bidi w:val="0"/>
              <w:spacing w:before="0" w:after="0"/>
              <w:ind w:left="0" w:right="0" w:hanging="0"/>
              <w:jc w:val="left"/>
              <w:rPr/>
            </w:pPr>
            <w:r>
              <w:rPr/>
              <w:t>​</w:t>
            </w:r>
          </w:p>
        </w:tc>
        <w:tc>
          <w:tcPr>
            <w:tcW w:w="5392"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7A.</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Acceleration</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7B.</w:t>
            </w:r>
          </w:p>
        </w:tc>
        <w:tc>
          <w:tcPr>
            <w:tcW w:w="5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Rescission of Acceleration</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TABLE OF CONTENTS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(continued)</w:t>
      </w:r>
    </w:p>
    <w:p>
      <w:pPr>
        <w:pStyle w:val="TextBody"/>
        <w:bidi w:val="0"/>
        <w:spacing w:before="0" w:after="0"/>
        <w:ind w:left="0" w:right="0" w:hanging="0"/>
        <w:jc w:val="left"/>
        <w:rPr/>
      </w:pPr>
      <w:r>
        <w:rPr/>
        <w:t>​</w:t>
      </w:r>
    </w:p>
    <w:tbl>
      <w:tblPr>
        <w:tblW w:w="6843" w:type="dxa"/>
        <w:jc w:val="center"/>
        <w:tblInd w:w="0" w:type="dxa"/>
        <w:tblLayout w:type="fixed"/>
        <w:tblCellMar>
          <w:top w:w="0" w:type="dxa"/>
          <w:left w:w="0" w:type="dxa"/>
          <w:bottom w:w="0" w:type="dxa"/>
          <w:right w:w="0" w:type="dxa"/>
        </w:tblCellMar>
      </w:tblPr>
      <w:tblGrid>
        <w:gridCol w:w="411"/>
        <w:gridCol w:w="180"/>
        <w:gridCol w:w="3532"/>
        <w:gridCol w:w="2183"/>
        <w:gridCol w:w="537"/>
      </w:tblGrid>
      <w:tr>
        <w:trPr/>
        <w:tc>
          <w:tcPr>
            <w:tcW w:w="411" w:type="dxa"/>
            <w:tcBorders/>
            <w:vAlign w:val="center"/>
          </w:tcPr>
          <w:p>
            <w:pPr>
              <w:pStyle w:val="TableContents"/>
              <w:bidi w:val="0"/>
              <w:spacing w:before="0" w:after="0"/>
              <w:ind w:left="0" w:right="0" w:hanging="0"/>
              <w:jc w:val="left"/>
              <w:rPr/>
            </w:pPr>
            <w:r>
              <w:rPr/>
              <w:t>​</w:t>
            </w:r>
          </w:p>
        </w:tc>
        <w:tc>
          <w:tcPr>
            <w:tcW w:w="3712" w:type="dxa"/>
            <w:gridSpan w:val="2"/>
            <w:tcBorders/>
            <w:vAlign w:val="center"/>
          </w:tcPr>
          <w:p>
            <w:pPr>
              <w:pStyle w:val="TableContents"/>
              <w:bidi w:val="0"/>
              <w:spacing w:before="0" w:after="0"/>
              <w:ind w:left="0" w:right="0" w:hanging="0"/>
              <w:jc w:val="left"/>
              <w:rPr/>
            </w:pPr>
            <w:r>
              <w:rPr/>
              <w:t>​</w:t>
            </w:r>
          </w:p>
        </w:tc>
        <w:tc>
          <w:tcPr>
            <w:tcW w:w="272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7C.</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of Acceleration or Rescission</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7D.</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Remedies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91" w:type="dxa"/>
            <w:gridSpan w:val="2"/>
            <w:tcBorders/>
            <w:vAlign w:val="center"/>
          </w:tcPr>
          <w:p>
            <w:pPr>
              <w:pStyle w:val="TableContents"/>
              <w:bidi w:val="0"/>
              <w:spacing w:before="0" w:after="0"/>
              <w:ind w:left="0" w:right="0" w:hanging="0"/>
              <w:jc w:val="left"/>
              <w:rPr/>
            </w:pPr>
            <w:r>
              <w:rPr/>
              <w:t>​</w:t>
            </w:r>
          </w:p>
        </w:tc>
        <w:tc>
          <w:tcPr>
            <w:tcW w:w="5715" w:type="dxa"/>
            <w:gridSpan w:val="2"/>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6306"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REPRESENTATIONS, COVENANTS AND WARRANTIES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91" w:type="dxa"/>
            <w:gridSpan w:val="2"/>
            <w:tcBorders/>
            <w:vAlign w:val="center"/>
          </w:tcPr>
          <w:p>
            <w:pPr>
              <w:pStyle w:val="TableContents"/>
              <w:bidi w:val="0"/>
              <w:spacing w:before="0" w:after="0"/>
              <w:ind w:left="0" w:right="0" w:hanging="0"/>
              <w:jc w:val="left"/>
              <w:rPr/>
            </w:pPr>
            <w:r>
              <w:rPr/>
              <w:t>​</w:t>
            </w:r>
          </w:p>
        </w:tc>
        <w:tc>
          <w:tcPr>
            <w:tcW w:w="5715" w:type="dxa"/>
            <w:gridSpan w:val="2"/>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8A.</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Organization</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8B.</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8C.</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Actions Pending</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8D.</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Debt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8E.</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to Properties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8F.</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8G.</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Conflicting Agreements and Other Matters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8H.</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Offering of the Notes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8I.</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Use of Proceeds; Regulation U, Etc</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8J.</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ERISA</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Governmental Consent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8L.</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Holding Company and Investment Company Status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8M.</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Possession of Franchises, Licenses, Etc</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8N.</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and Safety Matters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8O.</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Relations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8P.</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Shipping-Related Legislation</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8Q.</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Disclosure</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8R.</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Assets Control Regulations, Etc</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591" w:type="dxa"/>
            <w:gridSpan w:val="2"/>
            <w:tcBorders/>
            <w:vAlign w:val="center"/>
          </w:tcPr>
          <w:p>
            <w:pPr>
              <w:pStyle w:val="TableContents"/>
              <w:bidi w:val="0"/>
              <w:spacing w:before="0" w:after="0"/>
              <w:ind w:left="0" w:right="0" w:hanging="0"/>
              <w:jc w:val="left"/>
              <w:rPr/>
            </w:pPr>
            <w:r>
              <w:rPr/>
              <w:t>​</w:t>
            </w:r>
          </w:p>
        </w:tc>
        <w:tc>
          <w:tcPr>
            <w:tcW w:w="5715" w:type="dxa"/>
            <w:gridSpan w:val="2"/>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6306"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REPRESENTATIONS OF THE PURCHASERS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591" w:type="dxa"/>
            <w:gridSpan w:val="2"/>
            <w:tcBorders/>
            <w:vAlign w:val="center"/>
          </w:tcPr>
          <w:p>
            <w:pPr>
              <w:pStyle w:val="TableContents"/>
              <w:bidi w:val="0"/>
              <w:spacing w:before="0" w:after="0"/>
              <w:ind w:left="0" w:right="0" w:hanging="0"/>
              <w:jc w:val="left"/>
              <w:rPr/>
            </w:pPr>
            <w:r>
              <w:rPr/>
              <w:t>​</w:t>
            </w:r>
          </w:p>
        </w:tc>
        <w:tc>
          <w:tcPr>
            <w:tcW w:w="5715" w:type="dxa"/>
            <w:gridSpan w:val="2"/>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9A.</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Nature of Purchase</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9B.</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Source of Funds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9C.</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Experience and Information</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9D.</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144</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9E.</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Legends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591" w:type="dxa"/>
            <w:gridSpan w:val="2"/>
            <w:tcBorders/>
            <w:vAlign w:val="center"/>
          </w:tcPr>
          <w:p>
            <w:pPr>
              <w:pStyle w:val="TableContents"/>
              <w:bidi w:val="0"/>
              <w:spacing w:before="0" w:after="0"/>
              <w:ind w:left="0" w:right="0" w:hanging="0"/>
              <w:jc w:val="left"/>
              <w:rPr/>
            </w:pPr>
            <w:r>
              <w:rPr/>
              <w:t>​</w:t>
            </w:r>
          </w:p>
        </w:tc>
        <w:tc>
          <w:tcPr>
            <w:tcW w:w="5715" w:type="dxa"/>
            <w:gridSpan w:val="2"/>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6306"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rPr>
              <w:t>DEFINITIONS; ACCOUNTING MATTERS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591" w:type="dxa"/>
            <w:gridSpan w:val="2"/>
            <w:tcBorders/>
            <w:vAlign w:val="center"/>
          </w:tcPr>
          <w:p>
            <w:pPr>
              <w:pStyle w:val="TableContents"/>
              <w:bidi w:val="0"/>
              <w:spacing w:before="0" w:after="0"/>
              <w:ind w:left="0" w:right="0" w:hanging="0"/>
              <w:jc w:val="left"/>
              <w:rPr/>
            </w:pPr>
            <w:r>
              <w:rPr/>
              <w:t>​</w:t>
            </w:r>
          </w:p>
        </w:tc>
        <w:tc>
          <w:tcPr>
            <w:tcW w:w="5715" w:type="dxa"/>
            <w:gridSpan w:val="2"/>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10A.</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Yield-Maintenance Terms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10B.</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Terms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10C.</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Accounting Principles, Terms and Determinations; Changes in GAAP</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591" w:type="dxa"/>
            <w:gridSpan w:val="2"/>
            <w:tcBorders/>
            <w:vAlign w:val="center"/>
          </w:tcPr>
          <w:p>
            <w:pPr>
              <w:pStyle w:val="TableContents"/>
              <w:bidi w:val="0"/>
              <w:spacing w:before="0" w:after="0"/>
              <w:ind w:left="0" w:right="0" w:hanging="0"/>
              <w:jc w:val="left"/>
              <w:rPr/>
            </w:pPr>
            <w:r>
              <w:rPr/>
              <w:t>​</w:t>
            </w:r>
          </w:p>
        </w:tc>
        <w:tc>
          <w:tcPr>
            <w:tcW w:w="5715" w:type="dxa"/>
            <w:gridSpan w:val="2"/>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6306"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rPr>
              <w:t>MISCELLANEOUS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591" w:type="dxa"/>
            <w:gridSpan w:val="2"/>
            <w:tcBorders/>
            <w:vAlign w:val="center"/>
          </w:tcPr>
          <w:p>
            <w:pPr>
              <w:pStyle w:val="TableContents"/>
              <w:bidi w:val="0"/>
              <w:spacing w:before="0" w:after="0"/>
              <w:ind w:left="0" w:right="0" w:hanging="0"/>
              <w:jc w:val="left"/>
              <w:rPr/>
            </w:pPr>
            <w:r>
              <w:rPr/>
              <w:t>​</w:t>
            </w:r>
          </w:p>
        </w:tc>
        <w:tc>
          <w:tcPr>
            <w:tcW w:w="5715" w:type="dxa"/>
            <w:gridSpan w:val="2"/>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11A.</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Payments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11B.</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11C.</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Consent to Amendments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11D.</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Registration, Transfer and Exchange of Notes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59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11E.</w:t>
            </w:r>
          </w:p>
        </w:tc>
        <w:tc>
          <w:tcPr>
            <w:tcW w:w="57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Persons Deemed Owners; Participations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TABLE OF CONTENTS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(continued)</w:t>
      </w:r>
    </w:p>
    <w:p>
      <w:pPr>
        <w:pStyle w:val="TextBody"/>
        <w:bidi w:val="0"/>
        <w:spacing w:before="0" w:after="0"/>
        <w:ind w:left="0" w:right="0" w:hanging="0"/>
        <w:jc w:val="left"/>
        <w:rPr/>
      </w:pPr>
      <w:r>
        <w:rPr/>
        <w:t>​</w:t>
      </w:r>
    </w:p>
    <w:tbl>
      <w:tblPr>
        <w:tblW w:w="7393" w:type="dxa"/>
        <w:jc w:val="center"/>
        <w:tblInd w:w="0" w:type="dxa"/>
        <w:tblLayout w:type="fixed"/>
        <w:tblCellMar>
          <w:top w:w="0" w:type="dxa"/>
          <w:left w:w="0" w:type="dxa"/>
          <w:bottom w:w="0" w:type="dxa"/>
          <w:right w:w="0" w:type="dxa"/>
        </w:tblCellMar>
      </w:tblPr>
      <w:tblGrid>
        <w:gridCol w:w="386"/>
        <w:gridCol w:w="170"/>
        <w:gridCol w:w="3889"/>
        <w:gridCol w:w="2411"/>
        <w:gridCol w:w="537"/>
      </w:tblGrid>
      <w:tr>
        <w:trPr/>
        <w:tc>
          <w:tcPr>
            <w:tcW w:w="386" w:type="dxa"/>
            <w:tcBorders/>
            <w:vAlign w:val="center"/>
          </w:tcPr>
          <w:p>
            <w:pPr>
              <w:pStyle w:val="TableContents"/>
              <w:bidi w:val="0"/>
              <w:spacing w:before="0" w:after="0"/>
              <w:ind w:left="0" w:right="0" w:hanging="0"/>
              <w:jc w:val="left"/>
              <w:rPr/>
            </w:pPr>
            <w:r>
              <w:rPr/>
              <w:t>​</w:t>
            </w:r>
          </w:p>
        </w:tc>
        <w:tc>
          <w:tcPr>
            <w:tcW w:w="4059" w:type="dxa"/>
            <w:gridSpan w:val="2"/>
            <w:tcBorders/>
            <w:vAlign w:val="center"/>
          </w:tcPr>
          <w:p>
            <w:pPr>
              <w:pStyle w:val="TableContents"/>
              <w:bidi w:val="0"/>
              <w:spacing w:before="0" w:after="0"/>
              <w:ind w:left="0" w:right="0" w:hanging="0"/>
              <w:jc w:val="left"/>
              <w:rPr/>
            </w:pPr>
            <w:r>
              <w:rPr/>
              <w:t>​</w:t>
            </w:r>
          </w:p>
        </w:tc>
        <w:tc>
          <w:tcPr>
            <w:tcW w:w="294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5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11F.</w:t>
            </w:r>
          </w:p>
        </w:tc>
        <w:tc>
          <w:tcPr>
            <w:tcW w:w="6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Survival of Representations and Warranties; Entire Agreement; No Novation</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5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11G.</w:t>
            </w:r>
          </w:p>
        </w:tc>
        <w:tc>
          <w:tcPr>
            <w:tcW w:w="6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Successors and Assigns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5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11H.</w:t>
            </w:r>
          </w:p>
        </w:tc>
        <w:tc>
          <w:tcPr>
            <w:tcW w:w="6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Independence of Covenants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5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11I.</w:t>
            </w:r>
          </w:p>
        </w:tc>
        <w:tc>
          <w:tcPr>
            <w:tcW w:w="6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5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11J.</w:t>
            </w:r>
          </w:p>
        </w:tc>
        <w:tc>
          <w:tcPr>
            <w:tcW w:w="6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Descriptive Headings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5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11K.</w:t>
            </w:r>
          </w:p>
        </w:tc>
        <w:tc>
          <w:tcPr>
            <w:tcW w:w="6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Satisfaction Requirement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5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11L.</w:t>
            </w:r>
          </w:p>
        </w:tc>
        <w:tc>
          <w:tcPr>
            <w:tcW w:w="6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Governing Law</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5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11M.</w:t>
            </w:r>
          </w:p>
        </w:tc>
        <w:tc>
          <w:tcPr>
            <w:tcW w:w="6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Due on Non-Business Days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5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11N.</w:t>
            </w:r>
          </w:p>
        </w:tc>
        <w:tc>
          <w:tcPr>
            <w:tcW w:w="6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Severability</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5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11O.</w:t>
            </w:r>
          </w:p>
        </w:tc>
        <w:tc>
          <w:tcPr>
            <w:tcW w:w="6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Jurisdiction and Process; Waiver of Jury Trial</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5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11P.</w:t>
            </w:r>
          </w:p>
        </w:tc>
        <w:tc>
          <w:tcPr>
            <w:tcW w:w="6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Counterparts</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5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11Q.</w:t>
            </w:r>
          </w:p>
        </w:tc>
        <w:tc>
          <w:tcPr>
            <w:tcW w:w="6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Binding Agreement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55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11R.</w:t>
            </w:r>
          </w:p>
        </w:tc>
        <w:tc>
          <w:tcPr>
            <w:tcW w:w="63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Confidentiality</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Schedules and Exhibits</w:t>
      </w:r>
    </w:p>
    <w:p>
      <w:pPr>
        <w:pStyle w:val="TextBody"/>
        <w:bidi w:val="0"/>
        <w:spacing w:before="0" w:after="0"/>
        <w:ind w:left="0" w:right="0" w:hanging="0"/>
        <w:jc w:val="left"/>
        <w:rPr/>
      </w:pPr>
      <w:r>
        <w:rPr/>
        <w:t>​</w:t>
      </w:r>
    </w:p>
    <w:tbl>
      <w:tblPr>
        <w:tblW w:w="6993" w:type="dxa"/>
        <w:jc w:val="center"/>
        <w:tblInd w:w="0" w:type="dxa"/>
        <w:tblLayout w:type="fixed"/>
        <w:tblCellMar>
          <w:top w:w="0" w:type="dxa"/>
          <w:left w:w="0" w:type="dxa"/>
          <w:bottom w:w="0" w:type="dxa"/>
          <w:right w:w="0" w:type="dxa"/>
        </w:tblCellMar>
      </w:tblPr>
      <w:tblGrid>
        <w:gridCol w:w="1591"/>
        <w:gridCol w:w="346"/>
        <w:gridCol w:w="5056"/>
      </w:tblGrid>
      <w:tr>
        <w:trPr/>
        <w:tc>
          <w:tcPr>
            <w:tcW w:w="6993" w:type="dxa"/>
            <w:gridSpan w:val="3"/>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Information Schedule</w:t>
            </w:r>
          </w:p>
        </w:tc>
      </w:tr>
      <w:tr>
        <w:trPr/>
        <w:tc>
          <w:tcPr>
            <w:tcW w:w="6993" w:type="dxa"/>
            <w:gridSpan w:val="3"/>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Purchaser Schedules</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A-1</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Series D Note</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A-2</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Shelf Note</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B</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Funding Instruction Letter</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C</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Request for Purchase</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D</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Confirmation of Acceptance</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E-1</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Security Agreement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E-2</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Security Agreement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4A(3)</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Required Prepayments of Series D Notes</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6C(1)</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Existing Liens</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8A</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Material Subsidiaries/Material Domestic Subsidiaries</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8G</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Agreements Restricting Incurrence of Debt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MATSON,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1411 Sand Island Parkway</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Honolulu, Hawaii 96819</w:t>
      </w:r>
    </w:p>
    <w:p>
      <w:pPr>
        <w:pStyle w:val="TextBody"/>
        <w:bidi w:val="0"/>
        <w:spacing w:before="0" w:after="240"/>
        <w:ind w:left="0" w:right="0" w:hanging="0"/>
        <w:jc w:val="right"/>
        <w:rPr>
          <w:rFonts w:ascii="Times New Roman;Times;serif" w:hAnsi="Times New Roman;Times;serif"/>
          <w:sz w:val="22"/>
        </w:rPr>
      </w:pPr>
      <w:r>
        <w:rPr>
          <w:rFonts w:ascii="Times New Roman;Times;serif" w:hAnsi="Times New Roman;Times;serif"/>
          <w:sz w:val="22"/>
        </w:rPr>
        <w:t>As of September 14, 2016</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PGIM, Inc.</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Each Prudential Affiliate (as hereinafter defined) which is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 signatory of this Agreement or becomes bound by certain</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provisions of this Agreement as hereinafter provided</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c/o Prudential Capital Group</w:t>
        <w:br/>
        <w:t>2029 Century Park East, Suite 715</w:t>
        <w:br/>
        <w:t>Los Angeles, CA 90067</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Ladies and Gentlemen: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The undersigned, Matson, Inc., a Hawaii corporation (the “</w:t>
      </w:r>
      <w:r>
        <w:rPr>
          <w:rFonts w:ascii="Times New Roman;Times;serif" w:hAnsi="Times New Roman;Times;serif"/>
          <w:b/>
          <w:sz w:val="22"/>
        </w:rPr>
        <w:t>Company</w:t>
      </w:r>
      <w:r>
        <w:rPr>
          <w:rFonts w:ascii="Times New Roman;Times;serif" w:hAnsi="Times New Roman;Times;serif"/>
          <w:sz w:val="20"/>
        </w:rPr>
        <w:t>”</w:t>
      </w:r>
      <w:r>
        <w:rPr>
          <w:rFonts w:ascii="Times New Roman;Times;serif" w:hAnsi="Times New Roman;Times;serif"/>
          <w:sz w:val="22"/>
        </w:rPr>
        <w:t>), hereby agrees with you as set forth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w:t>
      </w:r>
      <w:r>
        <w:rPr>
          <w:rFonts w:ascii="Times New Roman;Times;serif" w:hAnsi="Times New Roman;Times;serif"/>
          <w:b/>
          <w:sz w:val="22"/>
        </w:rPr>
        <w:t>BACKGROUND; EXISTING NOTES; AUTHORIZATION OF NOTES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1A.</w:t>
      </w:r>
      <w:r>
        <w:rPr>
          <w:rFonts w:ascii="Times New Roman;Times;serif" w:hAnsi="Times New Roman;Times;serif"/>
          <w:b/>
          <w:sz w:val="22"/>
        </w:rPr>
        <w:t>Amendment and Restatement</w:t>
      </w:r>
      <w:r>
        <w:rPr>
          <w:rFonts w:ascii="Times New Roman;Times;serif" w:hAnsi="Times New Roman;Times;serif"/>
          <w:sz w:val="22"/>
        </w:rPr>
        <w:t>.  Effective as of the satisfaction of each condition precedent set forth in paragraph 3A, this Agreement amends, restates and replaces in its entirety that certain Second Amended and Restated Note Agreement, dated as of June 4, 2012 (as amended, supplemented or otherwise modified immediately prior to the time of such effectiveness, the “</w:t>
      </w:r>
      <w:r>
        <w:rPr>
          <w:rFonts w:ascii="Times New Roman;Times;serif" w:hAnsi="Times New Roman;Times;serif"/>
          <w:b/>
          <w:sz w:val="22"/>
        </w:rPr>
        <w:t>Prior Agreement</w:t>
      </w:r>
      <w:r>
        <w:rPr>
          <w:rFonts w:ascii="Times New Roman;Times;serif" w:hAnsi="Times New Roman;Times;serif"/>
          <w:sz w:val="20"/>
        </w:rPr>
        <w:t>”</w:t>
      </w:r>
      <w:r>
        <w:rPr>
          <w:rFonts w:ascii="Times New Roman;Times;serif" w:hAnsi="Times New Roman;Times;serif"/>
          <w:sz w:val="22"/>
        </w:rPr>
        <w:t>), by and between the Company, on the one hand, and the holders of the Series B Notes and the Series C Notes, on the other hand.</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Certain capitalized terms used in this Agreement are defined in paragraph 10; references to a “paragraph” are, unless otherwise specified, to one of the paragraphs of this Agreement, and references to an “Exhibit” or “Schedule” are, unless otherwise specified, to one of the exhibits or schedules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1B.</w:t>
      </w:r>
      <w:r>
        <w:rPr>
          <w:rFonts w:ascii="Times New Roman;Times;serif" w:hAnsi="Times New Roman;Times;serif"/>
          <w:b/>
          <w:sz w:val="22"/>
        </w:rPr>
        <w:t>Existing Notes</w:t>
      </w:r>
      <w:r>
        <w:rPr>
          <w:rFonts w:ascii="Times New Roman;Times;serif" w:hAnsi="Times New Roman;Times;serif"/>
          <w:sz w:val="22"/>
        </w:rPr>
        <w:t>.  Pursuant to the Original Agreement, Matson Navigation issued its 4.79% Series B Senior Secured Notes due May 19, 2020 (as amended, restated, supplemented or otherwise modified from time to time, the “</w:t>
      </w:r>
      <w:r>
        <w:rPr>
          <w:rFonts w:ascii="Times New Roman;Times;serif" w:hAnsi="Times New Roman;Times;serif"/>
          <w:b/>
          <w:sz w:val="22"/>
        </w:rPr>
        <w:t>Series B Notes</w:t>
      </w:r>
      <w:r>
        <w:rPr>
          <w:rFonts w:ascii="Times New Roman;Times;serif" w:hAnsi="Times New Roman;Times;serif"/>
          <w:sz w:val="20"/>
        </w:rPr>
        <w:t>”</w:t>
      </w:r>
      <w:r>
        <w:rPr>
          <w:rFonts w:ascii="Times New Roman;Times;serif" w:hAnsi="Times New Roman;Times;serif"/>
          <w:sz w:val="22"/>
        </w:rPr>
        <w:t>, such term to include any such notes issued in substitution or exchange therefor pursuant to paragraph 11D of the Original Agreement, the Prior Agreement or this Agreement) in the aggregate original aggregate principal amount of $105,000,000.  Effective as of June 29, 2012:  (i) the coupon of the Series B Notes was adjusted and fixed to 5.79% per annum, (ii) all Collateral (as defined in the Original Agreement) was released, (iii) Matson Navigation assigned and delegated to the Company, and the Company accepted such assignment and delegation of, all of Matson Navigation’s rights and obligations in, to and under the Series B Notes, and (iv) the holders of the Series B Notes received the benefit of the guaranty provided by the Guarantors under the Multiparty Guaranty.</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Pursuant to the Prior Agreement, on June 29, 2012 the Company issued:  (i) its 3.66% senior guaranteed promissory notes due June 29, 2023 (as amended, restated, supplemented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or otherwise modified from time to time, the “</w:t>
      </w:r>
      <w:r>
        <w:rPr>
          <w:rFonts w:ascii="Times New Roman;Times;serif" w:hAnsi="Times New Roman;Times;serif"/>
          <w:b/>
          <w:sz w:val="22"/>
        </w:rPr>
        <w:t>Series C-1 Notes</w:t>
      </w:r>
      <w:r>
        <w:rPr>
          <w:rFonts w:ascii="Times New Roman;Times;serif" w:hAnsi="Times New Roman;Times;serif"/>
          <w:sz w:val="20"/>
        </w:rPr>
        <w:t>”</w:t>
      </w:r>
      <w:r>
        <w:rPr>
          <w:rFonts w:ascii="Times New Roman;Times;serif" w:hAnsi="Times New Roman;Times;serif"/>
          <w:sz w:val="22"/>
        </w:rPr>
        <w:t>, such term to include any such notes issued in substitution or exchange therefor pursuant to paragraph 11D of the Prior Agreement or this Agreement) in the original aggregate principal amount of $77,500,000; (ii) its 4.16% senior guaranteed promissory notes due June 29, 2027 (as amended, restated, supplemented or otherwise modified from time to time, the “</w:t>
      </w:r>
      <w:r>
        <w:rPr>
          <w:rFonts w:ascii="Times New Roman;Times;serif" w:hAnsi="Times New Roman;Times;serif"/>
          <w:b/>
          <w:sz w:val="22"/>
        </w:rPr>
        <w:t>Series C-2 Notes</w:t>
      </w:r>
      <w:r>
        <w:rPr>
          <w:rFonts w:ascii="Times New Roman;Times;serif" w:hAnsi="Times New Roman;Times;serif"/>
          <w:sz w:val="20"/>
        </w:rPr>
        <w:t>”</w:t>
      </w:r>
      <w:r>
        <w:rPr>
          <w:rFonts w:ascii="Times New Roman;Times;serif" w:hAnsi="Times New Roman;Times;serif"/>
          <w:sz w:val="22"/>
        </w:rPr>
        <w:t>, such term to include any such notes issued in substitution or exchange therefor pursuant to paragraph 11D of the Prior Agreement or this Agreement) in the original aggregate principal amount of $55,000,000; and (iii) its 4.31% senior guaranteed promissory notes due June 29, 2032 (as amended, restated, supplemented or otherwise modified from time to time, the “</w:t>
      </w:r>
      <w:r>
        <w:rPr>
          <w:rFonts w:ascii="Times New Roman;Times;serif" w:hAnsi="Times New Roman;Times;serif"/>
          <w:b/>
          <w:sz w:val="22"/>
        </w:rPr>
        <w:t>Series C-3 Notes</w:t>
      </w:r>
      <w:r>
        <w:rPr>
          <w:rFonts w:ascii="Times New Roman;Times;serif" w:hAnsi="Times New Roman;Times;serif"/>
          <w:sz w:val="20"/>
        </w:rPr>
        <w:t>”</w:t>
      </w:r>
      <w:r>
        <w:rPr>
          <w:rFonts w:ascii="Times New Roman;Times;serif" w:hAnsi="Times New Roman;Times;serif"/>
          <w:sz w:val="22"/>
        </w:rPr>
        <w:t>, such term to include any such notes issued in substitution or exchange therefor pursuant to paragraph 11D of the Prior Agreement or this Agreement) in the original aggregate principal amount of $37,500,000.  The Series C-1 Notes, the Series C-2 Notes and the Series C-3 Notes are referred to collectively herein as the “</w:t>
      </w:r>
      <w:r>
        <w:rPr>
          <w:rFonts w:ascii="Times New Roman;Times;serif" w:hAnsi="Times New Roman;Times;serif"/>
          <w:b/>
          <w:sz w:val="22"/>
        </w:rPr>
        <w:t>Series C Notes</w:t>
      </w:r>
      <w:r>
        <w:rPr>
          <w:rFonts w:ascii="Times New Roman;Times;serif" w:hAnsi="Times New Roman;Times;serif"/>
          <w:sz w:val="20"/>
        </w:rPr>
        <w:t xml:space="preserve">” </w:t>
      </w:r>
      <w:r>
        <w:rPr>
          <w:rFonts w:ascii="Times New Roman;Times;serif" w:hAnsi="Times New Roman;Times;serif"/>
          <w:sz w:val="22"/>
        </w:rPr>
        <w:t>and the term “</w:t>
      </w:r>
      <w:r>
        <w:rPr>
          <w:rFonts w:ascii="Times New Roman;Times;serif" w:hAnsi="Times New Roman;Times;serif"/>
          <w:b/>
          <w:sz w:val="22"/>
        </w:rPr>
        <w:t>Series C Note</w:t>
      </w:r>
      <w:r>
        <w:rPr>
          <w:rFonts w:ascii="Times New Roman;Times;serif" w:hAnsi="Times New Roman;Times;serif"/>
          <w:sz w:val="20"/>
        </w:rPr>
        <w:t xml:space="preserve">” </w:t>
      </w:r>
      <w:r>
        <w:rPr>
          <w:rFonts w:ascii="Times New Roman;Times;serif" w:hAnsi="Times New Roman;Times;serif"/>
          <w:sz w:val="22"/>
        </w:rPr>
        <w:t>refers to any one of them.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1C.</w:t>
      </w:r>
      <w:r>
        <w:rPr>
          <w:rFonts w:ascii="Times New Roman;Times;serif" w:hAnsi="Times New Roman;Times;serif"/>
          <w:b/>
          <w:sz w:val="22"/>
        </w:rPr>
        <w:t>Authorization of Issue of Series D Notes</w:t>
      </w:r>
      <w:r>
        <w:rPr>
          <w:rFonts w:ascii="Times New Roman;Times;serif" w:hAnsi="Times New Roman;Times;serif"/>
          <w:sz w:val="22"/>
        </w:rPr>
        <w:t>.  The Company has authorized the issue of its 3.14% senior guaranteed promissory notes due September 14, 2031 (as amended, restated, supplemented or otherwise modified from time to time, the “</w:t>
      </w:r>
      <w:r>
        <w:rPr>
          <w:rFonts w:ascii="Times New Roman;Times;serif" w:hAnsi="Times New Roman;Times;serif"/>
          <w:b/>
          <w:sz w:val="22"/>
        </w:rPr>
        <w:t>Series D Notes</w:t>
      </w:r>
      <w:r>
        <w:rPr>
          <w:rFonts w:ascii="Times New Roman;Times;serif" w:hAnsi="Times New Roman;Times;serif"/>
          <w:sz w:val="20"/>
        </w:rPr>
        <w:t>”</w:t>
      </w:r>
      <w:r>
        <w:rPr>
          <w:rFonts w:ascii="Times New Roman;Times;serif" w:hAnsi="Times New Roman;Times;serif"/>
          <w:sz w:val="22"/>
        </w:rPr>
        <w:t xml:space="preserve">, such term to include any such notes issued in substitution or exchange therefor pursuant to paragraph 11D of this Agreement) in the aggregate principal amount of $200,000,000, to be dated the date of issue thereof, and to be substantially in the form of </w:t>
      </w:r>
      <w:r>
        <w:rPr>
          <w:rFonts w:ascii="Times New Roman;Times;serif" w:hAnsi="Times New Roman;Times;serif"/>
          <w:sz w:val="22"/>
          <w:u w:val="single"/>
        </w:rPr>
        <w:t>Exhibit A-1</w:t>
      </w:r>
      <w:r>
        <w:rPr>
          <w:rFonts w:ascii="Times New Roman;Times;serif" w:hAnsi="Times New Roman;Times;serif"/>
          <w:sz w:val="20"/>
        </w:rPr>
        <w:t xml:space="preserve"> </w:t>
      </w:r>
      <w:r>
        <w:rPr>
          <w:rFonts w:ascii="Times New Roman;Times;serif" w:hAnsi="Times New Roman;Times;serif"/>
          <w:sz w:val="22"/>
        </w:rPr>
        <w:t>attached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1D.</w:t>
      </w:r>
      <w:r>
        <w:rPr>
          <w:rFonts w:ascii="Times New Roman;Times;serif" w:hAnsi="Times New Roman;Times;serif"/>
          <w:b/>
          <w:sz w:val="22"/>
        </w:rPr>
        <w:t>Authorization of Issue of Shelf Notes</w:t>
      </w:r>
      <w:r>
        <w:rPr>
          <w:rFonts w:ascii="Times New Roman;Times;serif" w:hAnsi="Times New Roman;Times;serif"/>
          <w:sz w:val="22"/>
        </w:rPr>
        <w:t>.  The Company may authorize the issue of its senior guaranteed promissory notes (as amended, restated, supplemented or otherwise modified from time to time, the “</w:t>
      </w:r>
      <w:r>
        <w:rPr>
          <w:rFonts w:ascii="Times New Roman;Times;serif" w:hAnsi="Times New Roman;Times;serif"/>
          <w:b/>
          <w:sz w:val="22"/>
        </w:rPr>
        <w:t>Shelf Notes</w:t>
      </w:r>
      <w:r>
        <w:rPr>
          <w:rFonts w:ascii="Times New Roman;Times;serif" w:hAnsi="Times New Roman;Times;serif"/>
          <w:sz w:val="20"/>
        </w:rPr>
        <w:t>”</w:t>
      </w:r>
      <w:r>
        <w:rPr>
          <w:rFonts w:ascii="Times New Roman;Times;serif" w:hAnsi="Times New Roman;Times;serif"/>
          <w:sz w:val="22"/>
        </w:rPr>
        <w:t xml:space="preserve">, such term to include any such notes issued in substitution or exchange therefor pursuant to paragraph 11D of this Agreement), to be dated the date of issue thereof, to mature, in the case of each Shelf Note so issued, no more than thirty years from the date of original issuance, to have an average life, in the case of each Shelf Note so issued, of no more than fifteen years, to bear interest on the unpaid balance thereof from the date thereof at the rate per annum, and to have such other particular terms, as shall be set forth, in the case of each Shelf Note so issued, in the Confirmation of Acceptance with respect to such Shelf Note delivered pursuant to paragraph 2B(5), and to be substantially in the form of </w:t>
      </w:r>
      <w:r>
        <w:rPr>
          <w:rFonts w:ascii="Times New Roman;Times;serif" w:hAnsi="Times New Roman;Times;serif"/>
          <w:sz w:val="22"/>
          <w:u w:val="single"/>
        </w:rPr>
        <w:t>Exhibit A-2</w:t>
      </w:r>
      <w:r>
        <w:rPr>
          <w:rFonts w:ascii="Times New Roman;Times;serif" w:hAnsi="Times New Roman;Times;serif"/>
          <w:sz w:val="20"/>
        </w:rPr>
        <w:t xml:space="preserve"> </w:t>
      </w:r>
      <w:r>
        <w:rPr>
          <w:rFonts w:ascii="Times New Roman;Times;serif" w:hAnsi="Times New Roman;Times;serif"/>
          <w:sz w:val="22"/>
        </w:rPr>
        <w:t>attached hereto.  The Series B Notes, the Series C Notes, the Series D Notes and the Shelf Notes are referred to collectively as the “</w:t>
      </w:r>
      <w:r>
        <w:rPr>
          <w:rFonts w:ascii="Times New Roman;Times;serif" w:hAnsi="Times New Roman;Times;serif"/>
          <w:b/>
          <w:sz w:val="22"/>
        </w:rPr>
        <w:t>Notes</w:t>
      </w:r>
      <w:r>
        <w:rPr>
          <w:rFonts w:ascii="Times New Roman;Times;serif" w:hAnsi="Times New Roman;Times;serif"/>
          <w:sz w:val="20"/>
        </w:rPr>
        <w:t xml:space="preserve">” </w:t>
      </w:r>
      <w:r>
        <w:rPr>
          <w:rFonts w:ascii="Times New Roman;Times;serif" w:hAnsi="Times New Roman;Times;serif"/>
          <w:sz w:val="22"/>
        </w:rPr>
        <w:t>and the term “</w:t>
      </w:r>
      <w:r>
        <w:rPr>
          <w:rFonts w:ascii="Times New Roman;Times;serif" w:hAnsi="Times New Roman;Times;serif"/>
          <w:b/>
          <w:sz w:val="22"/>
        </w:rPr>
        <w:t>Note</w:t>
      </w:r>
      <w:r>
        <w:rPr>
          <w:rFonts w:ascii="Times New Roman;Times;serif" w:hAnsi="Times New Roman;Times;serif"/>
          <w:sz w:val="20"/>
        </w:rPr>
        <w:t xml:space="preserve">” </w:t>
      </w:r>
      <w:r>
        <w:rPr>
          <w:rFonts w:ascii="Times New Roman;Times;serif" w:hAnsi="Times New Roman;Times;serif"/>
          <w:sz w:val="22"/>
        </w:rPr>
        <w:t>refers to any one of them.  Notes which have (i) the same final maturity, (ii) the same principal prepayment dates, (iii) the same principal prepayment amounts (as a percentage of the original principal amount of each Note), (iv) the same interest rate, (v) the same interest payment periods and (vi) the same date of issuance (which, in the case of a Note issued in substitution or exchange for another Note, shall be deemed for these purposes the date on which such Note’s ultimate predecessor Note was issued), are herein called a “</w:t>
      </w:r>
      <w:r>
        <w:rPr>
          <w:rFonts w:ascii="Times New Roman;Times;serif" w:hAnsi="Times New Roman;Times;serif"/>
          <w:b/>
          <w:sz w:val="22"/>
        </w:rPr>
        <w:t>Series</w:t>
      </w:r>
      <w:r>
        <w:rPr>
          <w:rFonts w:ascii="Times New Roman;Times;serif" w:hAnsi="Times New Roman;Times;serif"/>
          <w:sz w:val="20"/>
        </w:rPr>
        <w:t xml:space="preserve">” </w:t>
      </w:r>
      <w:r>
        <w:rPr>
          <w:rFonts w:ascii="Times New Roman;Times;serif" w:hAnsi="Times New Roman;Times;serif"/>
          <w:sz w:val="22"/>
        </w:rPr>
        <w:t>of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1E.</w:t>
      </w:r>
      <w:r>
        <w:rPr>
          <w:rFonts w:ascii="Times New Roman;Times;serif" w:hAnsi="Times New Roman;Times;serif"/>
          <w:b/>
          <w:sz w:val="22"/>
        </w:rPr>
        <w:t>Interest Enhancement Payments</w:t>
      </w:r>
      <w:r>
        <w:rPr>
          <w:rFonts w:ascii="Times New Roman;Times;serif" w:hAnsi="Times New Roman;Times;serif"/>
          <w:sz w:val="22"/>
        </w:rPr>
        <w:t>. In addition to interest (including, if applicable, the default rate) accruing on each Note, the Company agrees to pay from time to time to the holder of such Note a fee (any payment from time to time of such fee being referred to as an “</w:t>
      </w:r>
      <w:r>
        <w:rPr>
          <w:rFonts w:ascii="Times New Roman;Times;serif" w:hAnsi="Times New Roman;Times;serif"/>
          <w:b/>
          <w:sz w:val="22"/>
        </w:rPr>
        <w:t>Interest Enhancement Payment</w:t>
      </w:r>
      <w:r>
        <w:rPr>
          <w:rFonts w:ascii="Times New Roman;Times;serif" w:hAnsi="Times New Roman;Times;serif"/>
          <w:sz w:val="20"/>
        </w:rPr>
        <w:t>”</w:t>
      </w:r>
      <w:r>
        <w:rPr>
          <w:rFonts w:ascii="Times New Roman;Times;serif" w:hAnsi="Times New Roman;Times;serif"/>
          <w:sz w:val="22"/>
        </w:rPr>
        <w:t>) with respect to each fiscal quarter.  Payment of each Interest Enhancement Payment shall be made in the manner specified in this Agreement for interest payments upon such Note.  Each Interest Enhancement Payment shall be a dollar amount equal to (a) the product obtained by multiplying (i) the Applicable Number (as defined below) for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fiscal quarter times (ii) the Weighted Dollar Average (as defined below) of the principal balance of such Note during the fiscal quarter to which the Interest Enhancement Payment relates and (b) dividing the product thus obtained by four.  The Interest Enhancement Payment for each applicable fiscal quarter shall be payable in arrears (and shall be fully earned and non-refundable) upon the earlier of (I) fifteen days after the date upon which the financial statements (and the Officer’s Certificate required to accompany such financial statements, which Officer’s Certificate shall, in addition to the other matters certified therein, set forth a computation of the Interest Enhancement Payment for each Note for the applicable fiscal quarter) for such fiscal quarter are required to be delivered under paragraph 5A(i) (or paragraph 5A(ii) if the applicable fiscal quarter is the last fiscal quarter in a fiscal year) and (II) the actual delivery date of such financial statements and such Officer’s Certificate for such fiscal quarter.  If the Company fails to deliver financial statements (or the accompanying Officer’s Certificate) under paragraphs 5A(i) or (ii) for any fiscal quarter or fiscal year by the fifteenth day after the date such delivery is due, then the Company shall be deemed to owe the Interest Enhancement Payment for the applicable fiscal quarter (based on the Applicable Number, as determined in the next succeeding paragraph) assuming that the Consolidated Leverage Ratio was greater than 3.25 to 1.00 at the end of such fiscal quarter or fiscal year, and shall make the payment required for such fiscal quarter on the date due pursuant to the immediately preceding sentence.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As used in this paragraph 1E:  (a) the “</w:t>
      </w:r>
      <w:r>
        <w:rPr>
          <w:rFonts w:ascii="Times New Roman;Times;serif" w:hAnsi="Times New Roman;Times;serif"/>
          <w:b/>
          <w:sz w:val="22"/>
        </w:rPr>
        <w:t>Applicable Number</w:t>
      </w:r>
      <w:r>
        <w:rPr>
          <w:rFonts w:ascii="Times New Roman;Times;serif" w:hAnsi="Times New Roman;Times;serif"/>
          <w:sz w:val="20"/>
        </w:rPr>
        <w:t xml:space="preserve">” </w:t>
      </w:r>
      <w:r>
        <w:rPr>
          <w:rFonts w:ascii="Times New Roman;Times;serif" w:hAnsi="Times New Roman;Times;serif"/>
          <w:sz w:val="22"/>
        </w:rPr>
        <w:t>shall mean (i) .0025 if the Consolidated Leverage Ratio was greater than 3.25 to 1.00 at the end of such fiscal quarter, or (ii) zero if the Consolidated Leverage Ratio was equal to or less than 3.25 to 1.00 at the end of such fiscal quarter; and (b) the “</w:t>
      </w:r>
      <w:r>
        <w:rPr>
          <w:rFonts w:ascii="Times New Roman;Times;serif" w:hAnsi="Times New Roman;Times;serif"/>
          <w:b/>
          <w:sz w:val="22"/>
        </w:rPr>
        <w:t>Weighted Dollar Average</w:t>
      </w:r>
      <w:r>
        <w:rPr>
          <w:rFonts w:ascii="Times New Roman;Times;serif" w:hAnsi="Times New Roman;Times;serif"/>
          <w:sz w:val="20"/>
        </w:rPr>
        <w:t xml:space="preserve">” </w:t>
      </w:r>
      <w:r>
        <w:rPr>
          <w:rFonts w:ascii="Times New Roman;Times;serif" w:hAnsi="Times New Roman;Times;serif"/>
          <w:sz w:val="22"/>
        </w:rPr>
        <w:t xml:space="preserve">shall mean, for any Note with respect to any fiscal quarter, (i) the sum of the principal amounts outstanding of such Note at the end of each calendar day during such fiscal quarter, </w:t>
      </w:r>
      <w:r>
        <w:rPr>
          <w:rFonts w:ascii="Times New Roman;Times;serif" w:hAnsi="Times New Roman;Times;serif"/>
          <w:sz w:val="22"/>
          <w:u w:val="single"/>
        </w:rPr>
        <w:t>divided by</w:t>
      </w:r>
      <w:r>
        <w:rPr>
          <w:rFonts w:ascii="Times New Roman;Times;serif" w:hAnsi="Times New Roman;Times;serif"/>
          <w:sz w:val="20"/>
        </w:rPr>
        <w:t xml:space="preserve"> </w:t>
      </w:r>
      <w:r>
        <w:rPr>
          <w:rFonts w:ascii="Times New Roman;Times;serif" w:hAnsi="Times New Roman;Times;serif"/>
          <w:sz w:val="22"/>
        </w:rPr>
        <w:t>(ii) the number of calendar days during such fiscal quarter.</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Notwithstanding anything to the contrary in the preceding portions of this paragraph 1E:  (i) concurrent with the time when the remaining outstanding principal amount of such Note has become due and payable (whether at the scheduled final maturity thereof, upon any acceleration of the maturity thereof or otherwise) the Interest Enhancement Payment shall be payable in arrears (and shall be fully earned and non-refundable) for (a) the full fiscal quarter immediately preceding such time (but only if the Interest Enhancement Payment has not otherwise become payable at such time pursuant to the first paragraph of this paragraph 1E) based on the most recent Applicable Number available at such time, and (b) the portion of the current fiscal quarter through such time based on the most recent Applicable Number available at such time, and ratably adjusted for the portion of such fiscal quarter that has elapsed at such time; (ii) if any such Officer’s Certificate erroneously indicates (as reasonably determined by the Required Holders) an Applicable Number more favorable to the Company (due to an incorrect calculation of the Consolidated Leverage Ratio) than should be afforded by the actual calculation of such Consolidated Leverage Ratio, then the Company shall promptly pay such additional Interest Enhancement Payment as is required to correct such error; and (iii) the acceptance of any Interest Enhancement Payment by any holder of a Note shall not constitute a waiver of any Default or Event of Default, including any breach of the Consolidated Leverage Ratio.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w:t>
      </w:r>
      <w:r>
        <w:rPr>
          <w:rFonts w:ascii="Times New Roman;Times;serif" w:hAnsi="Times New Roman;Times;serif"/>
          <w:b/>
          <w:sz w:val="22"/>
        </w:rPr>
        <w:t>PURCHASE AND SALE OF NOTES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2A.</w:t>
      </w:r>
      <w:r>
        <w:rPr>
          <w:rFonts w:ascii="Times New Roman;Times;serif" w:hAnsi="Times New Roman;Times;serif"/>
          <w:b/>
          <w:sz w:val="22"/>
        </w:rPr>
        <w:t>Purchase and Sale of Series D Notes</w:t>
      </w:r>
      <w:r>
        <w:rPr>
          <w:rFonts w:ascii="Times New Roman;Times;serif" w:hAnsi="Times New Roman;Times;serif"/>
          <w:sz w:val="22"/>
        </w:rPr>
        <w:t>.  The Company hereby agrees to sell to each Series D Note Purchaser and, subject to the terms and conditions herein set forth, each Series D Note Purchaser agrees to purchase from the Company the aggregate principal amount of Series D Notes set forth opposite such Purchaser’s name in the Purchaser Schedules attached hereto at 100% of such aggregate principal amount.  At a closing on September 14, 2016 (the “</w:t>
      </w:r>
      <w:r>
        <w:rPr>
          <w:rFonts w:ascii="Times New Roman;Times;serif" w:hAnsi="Times New Roman;Times;serif"/>
          <w:b/>
          <w:sz w:val="22"/>
        </w:rPr>
        <w:t>Series D Closing Day</w:t>
      </w:r>
      <w:r>
        <w:rPr>
          <w:rFonts w:ascii="Times New Roman;Times;serif" w:hAnsi="Times New Roman;Times;serif"/>
          <w:sz w:val="20"/>
        </w:rPr>
        <w:t>”</w:t>
      </w:r>
      <w:r>
        <w:rPr>
          <w:rFonts w:ascii="Times New Roman;Times;serif" w:hAnsi="Times New Roman;Times;serif"/>
          <w:sz w:val="22"/>
        </w:rPr>
        <w:t xml:space="preserve">) the Company will deliver to each Series D Note Purchaser, at the offices of Vedder Price P.C. at 275 Battery Street, Suite 2464, San Francisco, CA 94111, one or more Series D Notes, registered in such Purchaser’s name (or, if specified in the Purchaser Schedule, in the name of the nominee for such Purchaser specified in the Purchaser Schedule), evidencing the aggregate principal amount of Series D Notes to be purchased by such Purchaser and in the denomination or denominations specified with respect to such Purchaser in the Purchaser Schedule against payment of the purchase price thereof by transfer of immediately available funds, for credit to such account or accounts as shall be specified in a letter on the Company’s letterhead, in substantially the form of </w:t>
      </w:r>
      <w:r>
        <w:rPr>
          <w:rFonts w:ascii="Times New Roman;Times;serif" w:hAnsi="Times New Roman;Times;serif"/>
          <w:sz w:val="22"/>
          <w:u w:val="single"/>
        </w:rPr>
        <w:t>Exhibit B</w:t>
      </w:r>
      <w:r>
        <w:rPr>
          <w:rFonts w:ascii="Times New Roman;Times;serif" w:hAnsi="Times New Roman;Times;serif"/>
          <w:sz w:val="20"/>
        </w:rPr>
        <w:t xml:space="preserve"> </w:t>
      </w:r>
      <w:r>
        <w:rPr>
          <w:rFonts w:ascii="Times New Roman;Times;serif" w:hAnsi="Times New Roman;Times;serif"/>
          <w:sz w:val="22"/>
        </w:rPr>
        <w:t>attached hereto, from the Company to the Series D Note Purchasers delivered prior to the Series D Closing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2B.</w:t>
      </w:r>
      <w:r>
        <w:rPr>
          <w:rFonts w:ascii="Times New Roman;Times;serif" w:hAnsi="Times New Roman;Times;serif"/>
          <w:b/>
          <w:sz w:val="22"/>
        </w:rPr>
        <w:t>Purchase and Sale of Shelf Notes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2B(1).</w:t>
      </w:r>
      <w:r>
        <w:rPr>
          <w:rFonts w:ascii="Times New Roman;Times;serif" w:hAnsi="Times New Roman;Times;serif"/>
          <w:b/>
          <w:sz w:val="22"/>
        </w:rPr>
        <w:t>Facility</w:t>
      </w:r>
      <w:r>
        <w:rPr>
          <w:rFonts w:ascii="Times New Roman;Times;serif" w:hAnsi="Times New Roman;Times;serif"/>
          <w:sz w:val="22"/>
        </w:rPr>
        <w:t>.  Prudential is willing to consider, in its sole discretion and within limits which may be authorized for purchase by Prudential and Prudential Affiliates from time to time, the purchase of Shelf Notes pursuant to this Agreement.  The willingness of Prudential to consider such purchase of Shelf Notes is herein called the “</w:t>
      </w:r>
      <w:r>
        <w:rPr>
          <w:rFonts w:ascii="Times New Roman;Times;serif" w:hAnsi="Times New Roman;Times;serif"/>
          <w:b/>
          <w:sz w:val="22"/>
        </w:rPr>
        <w:t>Facility</w:t>
      </w:r>
      <w:r>
        <w:rPr>
          <w:rFonts w:ascii="Times New Roman;Times;serif" w:hAnsi="Times New Roman;Times;serif"/>
          <w:sz w:val="20"/>
        </w:rPr>
        <w:t>”</w:t>
      </w:r>
      <w:r>
        <w:rPr>
          <w:rFonts w:ascii="Times New Roman;Times;serif" w:hAnsi="Times New Roman;Times;serif"/>
          <w:sz w:val="22"/>
        </w:rPr>
        <w:t xml:space="preserve">.  At any time, (i) $425,000,000, </w:t>
      </w:r>
      <w:r>
        <w:rPr>
          <w:rFonts w:ascii="Times New Roman;Times;serif" w:hAnsi="Times New Roman;Times;serif"/>
          <w:sz w:val="22"/>
          <w:u w:val="single"/>
        </w:rPr>
        <w:t>minus</w:t>
      </w:r>
      <w:r>
        <w:rPr>
          <w:rFonts w:ascii="Times New Roman;Times;serif" w:hAnsi="Times New Roman;Times;serif"/>
          <w:sz w:val="20"/>
        </w:rPr>
        <w:t xml:space="preserve"> </w:t>
      </w:r>
      <w:r>
        <w:rPr>
          <w:rFonts w:ascii="Times New Roman;Times;serif" w:hAnsi="Times New Roman;Times;serif"/>
          <w:sz w:val="22"/>
        </w:rPr>
        <w:t xml:space="preserve">(ii) the aggregate principal amount of the Notes then outstanding and all other notes issued and sold under any other agreement by the Company or any Subsidiary and held by Prudential or any Prudential Affiliate which are then outstanding, </w:t>
      </w:r>
      <w:r>
        <w:rPr>
          <w:rFonts w:ascii="Times New Roman;Times;serif" w:hAnsi="Times New Roman;Times;serif"/>
          <w:sz w:val="22"/>
          <w:u w:val="single"/>
        </w:rPr>
        <w:t>minus</w:t>
      </w:r>
      <w:r>
        <w:rPr>
          <w:rFonts w:ascii="Times New Roman;Times;serif" w:hAnsi="Times New Roman;Times;serif"/>
          <w:sz w:val="20"/>
        </w:rPr>
        <w:t xml:space="preserve"> </w:t>
      </w:r>
      <w:r>
        <w:rPr>
          <w:rFonts w:ascii="Times New Roman;Times;serif" w:hAnsi="Times New Roman;Times;serif"/>
          <w:sz w:val="22"/>
        </w:rPr>
        <w:t>(iii) the aggregate principal amount of Accepted Notes (as hereinafter defined) which have not yet been purchased and sold hereunder prior to such time, is herein called the “</w:t>
      </w:r>
      <w:r>
        <w:rPr>
          <w:rFonts w:ascii="Times New Roman;Times;serif" w:hAnsi="Times New Roman;Times;serif"/>
          <w:b/>
          <w:sz w:val="22"/>
        </w:rPr>
        <w:t>Available Facility Amount</w:t>
      </w:r>
      <w:r>
        <w:rPr>
          <w:rFonts w:ascii="Times New Roman;Times;serif" w:hAnsi="Times New Roman;Times;serif"/>
          <w:sz w:val="20"/>
        </w:rPr>
        <w:t xml:space="preserve">” </w:t>
      </w:r>
      <w:r>
        <w:rPr>
          <w:rFonts w:ascii="Times New Roman;Times;serif" w:hAnsi="Times New Roman;Times;serif"/>
          <w:sz w:val="22"/>
        </w:rPr>
        <w:t>at such time.  </w:t>
      </w:r>
      <w:r>
        <w:rPr>
          <w:rFonts w:ascii="Times New Roman;Times;serif" w:hAnsi="Times New Roman;Times;serif"/>
          <w:b/>
          <w:sz w:val="22"/>
        </w:rPr>
        <w:t>NOTWITHSTANDING THE WILLINGNESS OF PRUDENTIAL TO CONSIDER PURCHASES OF SHELF NOTES, THIS AGREEMENT IS ENTERED INTO ON THE EXPRESS UNDERSTANDING THAT NEITHER PRUDENTIAL NOR ANY PRUDENTIAL AFFILIATE SHALL BE OBLIGATED TO MAKE OR ACCEPT OFFERS TO PURCHASE SHELF NOTES, OR TO QUOTE RATES, SPREADS OR OTHER TERMS WITH RESPECT TO SPECIFIC PURCHASES OF SHELF NOTES, AND THE FACILITY SHALL IN NO WAY BE CONSTRUED AS A COMMITMENT BY PRUDENTIAL OR ANY PRUDENTIAL AFFILIATE</w:t>
      </w:r>
      <w:r>
        <w:rPr>
          <w:rFonts w:ascii="Times New Roman;Times;serif" w:hAnsi="Times New Roman;Times;serif"/>
          <w:sz w:val="22"/>
        </w:rPr>
        <w:t>.  Notwithstanding anything to the contrary appearing herein, in no event shall any Note be purchased under the Facility by a Prudential Affiliate described in clause (i) of the definition thereof if, upon giving effect to such purchase and the use of proceeds thereof, the aggregate principal amount of all Notes and any other notes of the Company or any Subsidiary then outstanding and held by all Prudential Affiliates described in such clause, would exceed $325,000,000.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2B(2).</w:t>
      </w:r>
      <w:r>
        <w:rPr>
          <w:rFonts w:ascii="Times New Roman;Times;serif" w:hAnsi="Times New Roman;Times;serif"/>
          <w:b/>
          <w:sz w:val="22"/>
        </w:rPr>
        <w:t>Issuance Period</w:t>
      </w:r>
      <w:r>
        <w:rPr>
          <w:rFonts w:ascii="Times New Roman;Times;serif" w:hAnsi="Times New Roman;Times;serif"/>
          <w:sz w:val="22"/>
        </w:rPr>
        <w:t>.  Shelf Notes may be issued and sold pursuant to this Agreement until the earlier of (i) the third anniversary of the date of this Agreement (or if such anniversary is not a Business Day, the Business Day next preceding such anniversary) and (ii) the thirtieth day after Prudential shall have given to the Company, or the Company shall have given to Prudential, a written notice stating that it elects to terminate the issuance and sale of Shelf Notes pursuant to this Agreement (or if such thirtieth day is not a Business Day, the Business Day next preceding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such thirtieth day).  The period during which Shelf Notes may be issued and sold pursuant to this Agreement is herein called the “</w:t>
      </w:r>
      <w:r>
        <w:rPr>
          <w:rFonts w:ascii="Times New Roman;Times;serif" w:hAnsi="Times New Roman;Times;serif"/>
          <w:b/>
          <w:sz w:val="22"/>
        </w:rPr>
        <w:t>Issuance Period</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2B(3).</w:t>
      </w:r>
      <w:r>
        <w:rPr>
          <w:rFonts w:ascii="Times New Roman;Times;serif" w:hAnsi="Times New Roman;Times;serif"/>
          <w:b/>
          <w:sz w:val="22"/>
        </w:rPr>
        <w:t>Request for Purchase</w:t>
      </w:r>
      <w:r>
        <w:rPr>
          <w:rFonts w:ascii="Times New Roman;Times;serif" w:hAnsi="Times New Roman;Times;serif"/>
          <w:sz w:val="22"/>
        </w:rPr>
        <w:t>.  The Company may from time to time during the Issuance Period make requests for purchases of Shelf Notes (each such request being herein called a “</w:t>
      </w:r>
      <w:r>
        <w:rPr>
          <w:rFonts w:ascii="Times New Roman;Times;serif" w:hAnsi="Times New Roman;Times;serif"/>
          <w:b/>
          <w:sz w:val="22"/>
        </w:rPr>
        <w:t>Request for Purchase</w:t>
      </w:r>
      <w:r>
        <w:rPr>
          <w:rFonts w:ascii="Times New Roman;Times;serif" w:hAnsi="Times New Roman;Times;serif"/>
          <w:sz w:val="20"/>
        </w:rPr>
        <w:t>”</w:t>
      </w:r>
      <w:r>
        <w:rPr>
          <w:rFonts w:ascii="Times New Roman;Times;serif" w:hAnsi="Times New Roman;Times;serif"/>
          <w:sz w:val="22"/>
        </w:rPr>
        <w:t xml:space="preserve">).  Each Request for Purchase shall be made to Prudential by telefacsimile or overnight delivery service, and shall (i) specify the aggregate principal amount of Shelf Notes covered thereby, which shall not be less than $10,000,000 and not be greater than the Available Facility Amount at the time such Request for Purchase is made, (ii) specify the principal amounts, final maturities, principal prepayment dates and amounts and interest payment periods (quarterly or semiannual in arrears) of the Shelf Notes covered thereby, (iii) specify the use of proceeds of such Shelf Notes, (iv) specify the proposed day for the closing of the purchase and sale of such Shelf Notes, which shall be a Business Day during the Issuance Period not less than 5 Business Days after the making of such Request for Purchase and not more than 90 days after the making of such Request for Purchase, (v) specify the number of the account and the name and address of the depository institution to which the purchase price of such Shelf Notes is to be transferred on the Closing Day for such purchase and sale, (vi) certify that the representations and warranties contained in paragraph 8 are true on and as of the date of such Request for Purchase (except to the extent such representations and warranties expressly refer to an earlier date, in which case they shall be true on and as of such earlier date) and that there exists on the date of such Request for Purchase no Event of Default or Default, and (vii) be substantially in the form of </w:t>
      </w:r>
      <w:r>
        <w:rPr>
          <w:rFonts w:ascii="Times New Roman;Times;serif" w:hAnsi="Times New Roman;Times;serif"/>
          <w:sz w:val="22"/>
          <w:u w:val="single"/>
        </w:rPr>
        <w:t>Exhibit C</w:t>
      </w:r>
      <w:r>
        <w:rPr>
          <w:rFonts w:ascii="Times New Roman;Times;serif" w:hAnsi="Times New Roman;Times;serif"/>
          <w:sz w:val="22"/>
        </w:rPr>
        <w:t>.  Each Request for Purchase shall be in writing and shall be deemed made when received by Prudential.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2B(4).</w:t>
      </w:r>
      <w:r>
        <w:rPr>
          <w:rFonts w:ascii="Times New Roman;Times;serif" w:hAnsi="Times New Roman;Times;serif"/>
          <w:b/>
          <w:sz w:val="22"/>
        </w:rPr>
        <w:t>Rate Quotes</w:t>
      </w:r>
      <w:r>
        <w:rPr>
          <w:rFonts w:ascii="Times New Roman;Times;serif" w:hAnsi="Times New Roman;Times;serif"/>
          <w:sz w:val="22"/>
        </w:rPr>
        <w:t>.  Not later than five Business Days after the Company shall have given Prudential a Request for Purchase pursuant to paragraph 2B(3), Prudential may, but shall be under no obligation to, provide to the Company by telephone or telefacsimile, in each case between 9:30 a.m. and 1:30 p.m. New York City local time (or such later time as Prudential may elect) interest rate quotes for the several principal amounts, maturities, principal prepayment schedules, and interest payment periods of Shelf Notes specified in such Request for Purchase.  Each quote shall represent the interest rate per annum payable on the outstanding principal balance of such Shelf Notes at which Prudential or a Prudential Affiliate would be willing to purchase such Shelf Notes at 100% of the principal amount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2B(5).</w:t>
      </w:r>
      <w:r>
        <w:rPr>
          <w:rFonts w:ascii="Times New Roman;Times;serif" w:hAnsi="Times New Roman;Times;serif"/>
          <w:b/>
          <w:sz w:val="22"/>
        </w:rPr>
        <w:t>Acceptance</w:t>
      </w:r>
      <w:r>
        <w:rPr>
          <w:rFonts w:ascii="Times New Roman;Times;serif" w:hAnsi="Times New Roman;Times;serif"/>
          <w:sz w:val="22"/>
        </w:rPr>
        <w:t>.  Within two minutes after Prudential shall have provided any interest rate quotes pursuant to paragraph 2B(4), or such shorter period as Prudential may specify to the Company (such period herein called the “</w:t>
      </w:r>
      <w:r>
        <w:rPr>
          <w:rFonts w:ascii="Times New Roman;Times;serif" w:hAnsi="Times New Roman;Times;serif"/>
          <w:b/>
          <w:sz w:val="22"/>
        </w:rPr>
        <w:t>Acceptance Window</w:t>
      </w:r>
      <w:r>
        <w:rPr>
          <w:rFonts w:ascii="Times New Roman;Times;serif" w:hAnsi="Times New Roman;Times;serif"/>
          <w:sz w:val="20"/>
        </w:rPr>
        <w:t>”</w:t>
      </w:r>
      <w:r>
        <w:rPr>
          <w:rFonts w:ascii="Times New Roman;Times;serif" w:hAnsi="Times New Roman;Times;serif"/>
          <w:sz w:val="22"/>
        </w:rPr>
        <w:t>), the Company may, subject to paragraph 2B(6), elect to accept such interest rate quotes as to not less than $10,000,000 aggregate principal amount of the Shelf Notes specified in the related Request for Purchase.  Such election shall be made by an Authorized Officer of the Company notifying Prudential by telephone or telefacsimile within the Acceptance Window that the Company elects to accept such interest rate quotes, specifying the financial terms referred to in clause (ii) of paragraph 2B(3) with respect to such Shelf Notes (each such Note being herein called an “</w:t>
      </w:r>
      <w:r>
        <w:rPr>
          <w:rFonts w:ascii="Times New Roman;Times;serif" w:hAnsi="Times New Roman;Times;serif"/>
          <w:b/>
          <w:sz w:val="22"/>
        </w:rPr>
        <w:t>Accepted Note</w:t>
      </w:r>
      <w:r>
        <w:rPr>
          <w:rFonts w:ascii="Times New Roman;Times;serif" w:hAnsi="Times New Roman;Times;serif"/>
          <w:sz w:val="20"/>
        </w:rPr>
        <w:t>”</w:t>
      </w:r>
      <w:r>
        <w:rPr>
          <w:rFonts w:ascii="Times New Roman;Times;serif" w:hAnsi="Times New Roman;Times;serif"/>
          <w:sz w:val="22"/>
        </w:rPr>
        <w:t>) as to which such acceptance (herein called an “</w:t>
      </w:r>
      <w:r>
        <w:rPr>
          <w:rFonts w:ascii="Times New Roman;Times;serif" w:hAnsi="Times New Roman;Times;serif"/>
          <w:b/>
          <w:sz w:val="22"/>
        </w:rPr>
        <w:t>Acceptance</w:t>
      </w:r>
      <w:r>
        <w:rPr>
          <w:rFonts w:ascii="Times New Roman;Times;serif" w:hAnsi="Times New Roman;Times;serif"/>
          <w:sz w:val="20"/>
        </w:rPr>
        <w:t>”</w:t>
      </w:r>
      <w:r>
        <w:rPr>
          <w:rFonts w:ascii="Times New Roman;Times;serif" w:hAnsi="Times New Roman;Times;serif"/>
          <w:sz w:val="22"/>
        </w:rPr>
        <w:t>) relates.  The day the Company notifies an Acceptance with respect to any Accepted Notes is herein called the “</w:t>
      </w:r>
      <w:r>
        <w:rPr>
          <w:rFonts w:ascii="Times New Roman;Times;serif" w:hAnsi="Times New Roman;Times;serif"/>
          <w:b/>
          <w:sz w:val="22"/>
        </w:rPr>
        <w:t>Acceptance Day</w:t>
      </w:r>
      <w:r>
        <w:rPr>
          <w:rFonts w:ascii="Times New Roman;Times;serif" w:hAnsi="Times New Roman;Times;serif"/>
          <w:sz w:val="20"/>
        </w:rPr>
        <w:t xml:space="preserve">” </w:t>
      </w:r>
      <w:r>
        <w:rPr>
          <w:rFonts w:ascii="Times New Roman;Times;serif" w:hAnsi="Times New Roman;Times;serif"/>
          <w:sz w:val="22"/>
        </w:rPr>
        <w:t>for such Accepted Notes.  Any interest rate quotes as to which Prudential does not receive an Acceptance within the Acceptance Window shall expire, and no purchase or sale of Shelf Notes hereunder shall be made based on such expired interest rate quotes.  Subject to paragraph 2B(6) and the other terms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conditions hereof, the Company agrees to sell to Prudential or a Prudential Affiliate, and Prudential agrees to purchase, or to cause the purchase by a Prudential Affiliate of, the Accepted Notes at 100% of the principal amount of such Shelf Notes.  As soon as practicable following the Acceptance Day, the Company, Prudential and each Prudential Affiliate which is to purchase any such Accepted Notes will execute a confirmation of such Acceptance substantially in the form of </w:t>
      </w:r>
      <w:r>
        <w:rPr>
          <w:rFonts w:ascii="Times New Roman;Times;serif" w:hAnsi="Times New Roman;Times;serif"/>
          <w:sz w:val="22"/>
          <w:u w:val="single"/>
        </w:rPr>
        <w:t>Exhibit D</w:t>
      </w:r>
      <w:r>
        <w:rPr>
          <w:rFonts w:ascii="Times New Roman;Times;serif" w:hAnsi="Times New Roman;Times;serif"/>
          <w:sz w:val="20"/>
        </w:rPr>
        <w:t xml:space="preserve"> </w:t>
      </w:r>
      <w:r>
        <w:rPr>
          <w:rFonts w:ascii="Times New Roman;Times;serif" w:hAnsi="Times New Roman;Times;serif"/>
          <w:sz w:val="22"/>
        </w:rPr>
        <w:t>(herein called a “</w:t>
      </w:r>
      <w:r>
        <w:rPr>
          <w:rFonts w:ascii="Times New Roman;Times;serif" w:hAnsi="Times New Roman;Times;serif"/>
          <w:b/>
          <w:sz w:val="22"/>
        </w:rPr>
        <w:t>Confirmation of Acceptance</w:t>
      </w:r>
      <w:r>
        <w:rPr>
          <w:rFonts w:ascii="Times New Roman;Times;serif" w:hAnsi="Times New Roman;Times;serif"/>
          <w:sz w:val="20"/>
        </w:rPr>
        <w:t>”</w:t>
      </w:r>
      <w:r>
        <w:rPr>
          <w:rFonts w:ascii="Times New Roman;Times;serif" w:hAnsi="Times New Roman;Times;serif"/>
          <w:sz w:val="22"/>
        </w:rPr>
        <w:t>).  If the Company should fail to execute and return to Prudential within three Business Days following receipt thereof from Prudential of a Confirmation of Acceptance with respect to any Accepted Notes, Prudential may at its election at any time prior to its receipt thereof cancel the closing with respect to such Accepted Notes by so notifying the Company in writing.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2B(6).</w:t>
      </w:r>
      <w:r>
        <w:rPr>
          <w:rFonts w:ascii="Times New Roman;Times;serif" w:hAnsi="Times New Roman;Times;serif"/>
          <w:b/>
          <w:sz w:val="22"/>
        </w:rPr>
        <w:t>Market Disruption</w:t>
      </w:r>
      <w:r>
        <w:rPr>
          <w:rFonts w:ascii="Times New Roman;Times;serif" w:hAnsi="Times New Roman;Times;serif"/>
          <w:sz w:val="22"/>
        </w:rPr>
        <w:t>.  Notwithstanding the provisions of paragraph 2B(5), if Prudential shall have provided interest rate quotes pursuant to paragraph 2B(4) and thereafter prior to the time an Acceptance with respect to such quotes shall have been notified to Prudential in accordance with paragraph 2B(5) the domestic market for U.S. Treasury securities or derivatives shall have closed or there shall have occurred a general suspension, material limitation, or significant disruption of trading in securities generally on the New York Stock Exchange or in the domestic market for U.S. Treasury securities or derivatives, then such interest rate quotes shall expire, and no purchase or sale of Notes hereunder shall be made based on such expired interest rate quotes.  If the Company thereafter notifies Prudential of the Acceptance of any such interest rate quotes, such Acceptance shall be ineffective for all purposes of this Agreement, and Prudential shall promptly notify the Company that the provisions of this paragraph 2B(6) are applicable with respect to such Acceptance.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2(B)(7).</w:t>
      </w:r>
      <w:r>
        <w:rPr>
          <w:rFonts w:ascii="Times New Roman;Times;serif" w:hAnsi="Times New Roman;Times;serif"/>
          <w:b/>
          <w:sz w:val="22"/>
        </w:rPr>
        <w:t>Facility Closings</w:t>
      </w:r>
      <w:r>
        <w:rPr>
          <w:rFonts w:ascii="Times New Roman;Times;serif" w:hAnsi="Times New Roman;Times;serif"/>
          <w:sz w:val="22"/>
        </w:rPr>
        <w:t>.  Not later than 1:30 p.m. (New York City local time) on the Closing Day for any Accepted Notes, the Company will deliver to each Purchaser listed on the Purchaser Schedule relating thereto at the offices of Vedder Price P.C., 275 Battery Street, Suite 2464, San Francisco, CA 94111 the Accepted Notes to be purchased by such Purchaser on such Closing Day in the form of one or more Notes in authorized denominations as such Purchaser may request, dated the applicable Closing Day and registered in such Purchaser’s name (or in the name of its nominee), against payment of the purchase price thereof by transfer of immediately available funds for credit to the account specified by the Company in the Request for Purchase relating to such Notes.  If the Company fails to tender to any Purchaser the Accepted Notes to be purchased by such Purchaser on the scheduled Closing Day for such Notes as provided above in this paragraph 2(B)(7), or any of the conditions specified in paragraph 3B shall not have been fulfilled by the time required on such scheduled Closing Day, the Company shall, prior to 2:30 p.m., New York City local time, on such scheduled Closing Day notify Prudential (which notification shall be deemed received by each Purchaser) in writing whether (i) such closing is to be rescheduled (such rescheduled date to be a Business Day during the Issuance Period not less than one Business Day and not more than 10 Business Days after such scheduled Closing Day (the “</w:t>
      </w:r>
      <w:r>
        <w:rPr>
          <w:rFonts w:ascii="Times New Roman;Times;serif" w:hAnsi="Times New Roman;Times;serif"/>
          <w:b/>
          <w:sz w:val="22"/>
        </w:rPr>
        <w:t>Rescheduled Closing Day</w:t>
      </w:r>
      <w:r>
        <w:rPr>
          <w:rFonts w:ascii="Times New Roman;Times;serif" w:hAnsi="Times New Roman;Times;serif"/>
          <w:sz w:val="20"/>
        </w:rPr>
        <w:t>”</w:t>
      </w:r>
      <w:r>
        <w:rPr>
          <w:rFonts w:ascii="Times New Roman;Times;serif" w:hAnsi="Times New Roman;Times;serif"/>
          <w:sz w:val="22"/>
        </w:rPr>
        <w:t>)) and certify to Prudential (which certification shall be for the benefit of each Purchaser) that the Company reasonably believes that it will be able to comply with the conditions set forth in paragraph 3B on such Rescheduled Closing Day and that the Company will pay the Delayed Delivery Fee in accordance with paragraph 2B(8)(iii) or (ii) such closing is to be canceled.  In the event that the Company shall fail to give such notice referred to in the preceding sentence, Prudential (on behalf of each Purchaser) may at its election, at any time after 2:30 p.m., New York City local time, on such scheduled Closing Day, notify the Company in writing that such closing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is to be canceled.  Notwithstanding anything to the contrary appearing in this Agreement, the Company may not elect to reschedule a closing with respect to any Notes on more than one occasion, unless Prudential shall have otherwise consented in writing.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2B(8).</w:t>
      </w:r>
      <w:r>
        <w:rPr>
          <w:rFonts w:ascii="Times New Roman;Times;serif" w:hAnsi="Times New Roman;Times;serif"/>
          <w:b/>
          <w:sz w:val="22"/>
        </w:rPr>
        <w:t>Fees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2B(8)(i).</w:t>
      </w:r>
      <w:r>
        <w:rPr>
          <w:rFonts w:ascii="Times New Roman;Times;serif" w:hAnsi="Times New Roman;Times;serif"/>
          <w:b/>
          <w:sz w:val="22"/>
        </w:rPr>
        <w:t>Structuring Fee</w:t>
      </w:r>
      <w:r>
        <w:rPr>
          <w:rFonts w:ascii="Times New Roman;Times;serif" w:hAnsi="Times New Roman;Times;serif"/>
          <w:sz w:val="22"/>
        </w:rPr>
        <w:t>.  In consideration for the time, effort and expense involved in the preparation, negotiation and execution of this Agreement, the Company will pay to or as directed by Prudential on the Series D Closing Day a fully earned and non-refundable fee in the aggregate amount of $25,000 (herein called the “</w:t>
      </w:r>
      <w:r>
        <w:rPr>
          <w:rFonts w:ascii="Times New Roman;Times;serif" w:hAnsi="Times New Roman;Times;serif"/>
          <w:b/>
          <w:sz w:val="22"/>
        </w:rPr>
        <w:t>Structuring Fee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2B(8)(ii).</w:t>
      </w:r>
      <w:r>
        <w:rPr>
          <w:rFonts w:ascii="Times New Roman;Times;serif" w:hAnsi="Times New Roman;Times;serif"/>
          <w:b/>
          <w:sz w:val="22"/>
        </w:rPr>
        <w:t>[Intentionally Omitted]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2B(8)(iii).</w:t>
      </w:r>
      <w:r>
        <w:rPr>
          <w:rFonts w:ascii="Times New Roman;Times;serif" w:hAnsi="Times New Roman;Times;serif"/>
          <w:b/>
          <w:sz w:val="22"/>
        </w:rPr>
        <w:t>Delayed Delivery Fee</w:t>
      </w:r>
      <w:r>
        <w:rPr>
          <w:rFonts w:ascii="Times New Roman;Times;serif" w:hAnsi="Times New Roman;Times;serif"/>
          <w:sz w:val="22"/>
        </w:rPr>
        <w:t>.  If the closing of the purchase and sale of any Accepted Notes is delayed for any reason beyond the original Closing Day therefor, the Company agrees to pay to (or as directed by) Prudential on the Cancellation Date or actual closing date of such purchase and sale, a fee (herein called the “</w:t>
      </w:r>
      <w:r>
        <w:rPr>
          <w:rFonts w:ascii="Times New Roman;Times;serif" w:hAnsi="Times New Roman;Times;serif"/>
          <w:b/>
          <w:sz w:val="22"/>
        </w:rPr>
        <w:t>Delayed Delivery Fee</w:t>
      </w:r>
      <w:r>
        <w:rPr>
          <w:rFonts w:ascii="Times New Roman;Times;serif" w:hAnsi="Times New Roman;Times;serif"/>
          <w:sz w:val="20"/>
        </w:rPr>
        <w:t>”</w:t>
      </w:r>
      <w:r>
        <w:rPr>
          <w:rFonts w:ascii="Times New Roman;Times;serif" w:hAnsi="Times New Roman;Times;serif"/>
          <w:sz w:val="22"/>
        </w:rPr>
        <w:t>) calculated as follows:</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(BEY - MMY) x DTS/360 x PA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where “</w:t>
      </w:r>
      <w:r>
        <w:rPr>
          <w:rFonts w:ascii="Times New Roman;Times;serif" w:hAnsi="Times New Roman;Times;serif"/>
          <w:b/>
          <w:sz w:val="22"/>
        </w:rPr>
        <w:t>BEY</w:t>
      </w:r>
      <w:r>
        <w:rPr>
          <w:rFonts w:ascii="Times New Roman;Times;serif" w:hAnsi="Times New Roman;Times;serif"/>
          <w:sz w:val="20"/>
        </w:rPr>
        <w:t xml:space="preserve">” </w:t>
      </w:r>
      <w:r>
        <w:rPr>
          <w:rFonts w:ascii="Times New Roman;Times;serif" w:hAnsi="Times New Roman;Times;serif"/>
          <w:sz w:val="22"/>
        </w:rPr>
        <w:t xml:space="preserve">means Bond Equivalent Yield, </w:t>
      </w:r>
      <w:r>
        <w:rPr>
          <w:rFonts w:ascii="Times New Roman;Times;serif" w:hAnsi="Times New Roman;Times;serif"/>
          <w:i/>
          <w:sz w:val="22"/>
        </w:rPr>
        <w:t>i.e.</w:t>
      </w:r>
      <w:r>
        <w:rPr>
          <w:rFonts w:ascii="Times New Roman;Times;serif" w:hAnsi="Times New Roman;Times;serif"/>
          <w:sz w:val="22"/>
        </w:rPr>
        <w:t>, the bond equivalent yield per annum of such Note, “</w:t>
      </w:r>
      <w:r>
        <w:rPr>
          <w:rFonts w:ascii="Times New Roman;Times;serif" w:hAnsi="Times New Roman;Times;serif"/>
          <w:b/>
          <w:sz w:val="22"/>
        </w:rPr>
        <w:t>MMY</w:t>
      </w:r>
      <w:r>
        <w:rPr>
          <w:rFonts w:ascii="Times New Roman;Times;serif" w:hAnsi="Times New Roman;Times;serif"/>
          <w:sz w:val="20"/>
        </w:rPr>
        <w:t xml:space="preserve">” </w:t>
      </w:r>
      <w:r>
        <w:rPr>
          <w:rFonts w:ascii="Times New Roman;Times;serif" w:hAnsi="Times New Roman;Times;serif"/>
          <w:sz w:val="22"/>
        </w:rPr>
        <w:t xml:space="preserve">means Money Market Yield, </w:t>
      </w:r>
      <w:r>
        <w:rPr>
          <w:rFonts w:ascii="Times New Roman;Times;serif" w:hAnsi="Times New Roman;Times;serif"/>
          <w:i/>
          <w:sz w:val="22"/>
        </w:rPr>
        <w:t>i.e.</w:t>
      </w:r>
      <w:r>
        <w:rPr>
          <w:rFonts w:ascii="Times New Roman;Times;serif" w:hAnsi="Times New Roman;Times;serif"/>
          <w:sz w:val="22"/>
        </w:rPr>
        <w:t>, the yield per annum on a commercial paper investment of the highest quality selected by Prudential on the date Prudential receives notice of the delay in the closing for such Note having a maturity date or dates the same as, or closest to, the Rescheduled Closing Day (a new alternative investment being selected by Prudential each time such closing is delayed); “</w:t>
      </w:r>
      <w:r>
        <w:rPr>
          <w:rFonts w:ascii="Times New Roman;Times;serif" w:hAnsi="Times New Roman;Times;serif"/>
          <w:b/>
          <w:sz w:val="22"/>
        </w:rPr>
        <w:t>DTS</w:t>
      </w:r>
      <w:r>
        <w:rPr>
          <w:rFonts w:ascii="Times New Roman;Times;serif" w:hAnsi="Times New Roman;Times;serif"/>
          <w:sz w:val="20"/>
        </w:rPr>
        <w:t xml:space="preserve">” </w:t>
      </w:r>
      <w:r>
        <w:rPr>
          <w:rFonts w:ascii="Times New Roman;Times;serif" w:hAnsi="Times New Roman;Times;serif"/>
          <w:sz w:val="22"/>
        </w:rPr>
        <w:t xml:space="preserve">means Days to Settlement, </w:t>
      </w:r>
      <w:r>
        <w:rPr>
          <w:rFonts w:ascii="Times New Roman;Times;serif" w:hAnsi="Times New Roman;Times;serif"/>
          <w:i/>
          <w:sz w:val="22"/>
        </w:rPr>
        <w:t>i.e.</w:t>
      </w:r>
      <w:r>
        <w:rPr>
          <w:rFonts w:ascii="Times New Roman;Times;serif" w:hAnsi="Times New Roman;Times;serif"/>
          <w:sz w:val="22"/>
        </w:rPr>
        <w:t>, the number of actual days elapsed from and including the original Closing Day with respect to such Note to but excluding the date of such payment; and “</w:t>
      </w:r>
      <w:r>
        <w:rPr>
          <w:rFonts w:ascii="Times New Roman;Times;serif" w:hAnsi="Times New Roman;Times;serif"/>
          <w:b/>
          <w:sz w:val="22"/>
        </w:rPr>
        <w:t>PA</w:t>
      </w:r>
      <w:r>
        <w:rPr>
          <w:rFonts w:ascii="Times New Roman;Times;serif" w:hAnsi="Times New Roman;Times;serif"/>
          <w:sz w:val="20"/>
        </w:rPr>
        <w:t xml:space="preserve">” </w:t>
      </w:r>
      <w:r>
        <w:rPr>
          <w:rFonts w:ascii="Times New Roman;Times;serif" w:hAnsi="Times New Roman;Times;serif"/>
          <w:sz w:val="22"/>
        </w:rPr>
        <w:t xml:space="preserve">means Principal Amount, </w:t>
      </w:r>
      <w:r>
        <w:rPr>
          <w:rFonts w:ascii="Times New Roman;Times;serif" w:hAnsi="Times New Roman;Times;serif"/>
          <w:i/>
          <w:sz w:val="22"/>
        </w:rPr>
        <w:t>i.e.</w:t>
      </w:r>
      <w:r>
        <w:rPr>
          <w:rFonts w:ascii="Times New Roman;Times;serif" w:hAnsi="Times New Roman;Times;serif"/>
          <w:sz w:val="22"/>
        </w:rPr>
        <w:t>, the principal amount of the Accepted Note for which such calculation is being made.  In no case shall the Delayed Delivery Fee be less than zero.  Nothing contained herein shall obligate any Purchaser to purchase any Accepted Note on any day other than the original Closing Day for such Note, as the same may be rescheduled from time to time in compliance with paragraph 2B(7).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2B(8)(iv).</w:t>
      </w:r>
      <w:r>
        <w:rPr>
          <w:rFonts w:ascii="Times New Roman;Times;serif" w:hAnsi="Times New Roman;Times;serif"/>
          <w:b/>
          <w:sz w:val="22"/>
        </w:rPr>
        <w:t>Cancellation Fee</w:t>
      </w:r>
      <w:r>
        <w:rPr>
          <w:rFonts w:ascii="Times New Roman;Times;serif" w:hAnsi="Times New Roman;Times;serif"/>
          <w:sz w:val="22"/>
        </w:rPr>
        <w:t>.  If (a) the Company at any time notifies Prudential in writing that the Company is canceling the closing of the purchase and sale of any Accepted Note, or (b) if Prudential notifies the Company in writing under the circumstances set forth in the last sentence of paragraph 2B(5) or the penultimate sentence of paragraph 2B(7) that the closing of the purchase and sale of any Accepted Note is to be canceled, or (c) the closing of the purchase and sale of any Accepted Note is not consummated on or prior to the last day of the Issuance Period (the date of any such notification, or the last day of the Issuance Period, as the case may be, being herein called the “</w:t>
      </w:r>
      <w:r>
        <w:rPr>
          <w:rFonts w:ascii="Times New Roman;Times;serif" w:hAnsi="Times New Roman;Times;serif"/>
          <w:b/>
          <w:sz w:val="22"/>
        </w:rPr>
        <w:t>Cancellation Date</w:t>
      </w:r>
      <w:r>
        <w:rPr>
          <w:rFonts w:ascii="Times New Roman;Times;serif" w:hAnsi="Times New Roman;Times;serif"/>
          <w:sz w:val="20"/>
        </w:rPr>
        <w:t>”</w:t>
      </w:r>
      <w:r>
        <w:rPr>
          <w:rFonts w:ascii="Times New Roman;Times;serif" w:hAnsi="Times New Roman;Times;serif"/>
          <w:sz w:val="22"/>
        </w:rPr>
        <w:t>), the Company agrees to pay to Prudential in immediately available funds an amount (the “</w:t>
      </w:r>
      <w:r>
        <w:rPr>
          <w:rFonts w:ascii="Times New Roman;Times;serif" w:hAnsi="Times New Roman;Times;serif"/>
          <w:b/>
          <w:sz w:val="22"/>
        </w:rPr>
        <w:t>Cancellation Fee</w:t>
      </w:r>
      <w:r>
        <w:rPr>
          <w:rFonts w:ascii="Times New Roman;Times;serif" w:hAnsi="Times New Roman;Times;serif"/>
          <w:sz w:val="20"/>
        </w:rPr>
        <w:t>”</w:t>
      </w:r>
      <w:r>
        <w:rPr>
          <w:rFonts w:ascii="Times New Roman;Times;serif" w:hAnsi="Times New Roman;Times;serif"/>
          <w:sz w:val="22"/>
        </w:rPr>
        <w:t>) calculated as follows:</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PI x PA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where “</w:t>
      </w:r>
      <w:r>
        <w:rPr>
          <w:rFonts w:ascii="Times New Roman;Times;serif" w:hAnsi="Times New Roman;Times;serif"/>
          <w:b/>
          <w:sz w:val="22"/>
        </w:rPr>
        <w:t>PI</w:t>
      </w:r>
      <w:r>
        <w:rPr>
          <w:rFonts w:ascii="Times New Roman;Times;serif" w:hAnsi="Times New Roman;Times;serif"/>
          <w:sz w:val="20"/>
        </w:rPr>
        <w:t xml:space="preserve">” </w:t>
      </w:r>
      <w:r>
        <w:rPr>
          <w:rFonts w:ascii="Times New Roman;Times;serif" w:hAnsi="Times New Roman;Times;serif"/>
          <w:sz w:val="22"/>
        </w:rPr>
        <w:t xml:space="preserve">means Price Increase, </w:t>
      </w:r>
      <w:r>
        <w:rPr>
          <w:rFonts w:ascii="Times New Roman;Times;serif" w:hAnsi="Times New Roman;Times;serif"/>
          <w:i/>
          <w:sz w:val="22"/>
        </w:rPr>
        <w:t>i.e.</w:t>
      </w:r>
      <w:r>
        <w:rPr>
          <w:rFonts w:ascii="Times New Roman;Times;serif" w:hAnsi="Times New Roman;Times;serif"/>
          <w:sz w:val="22"/>
        </w:rPr>
        <w:t>, the quotient (expressed in decimals) obtained by dividing (a) the excess of the ask price (as determined by Prudential) of the Hedge Treasury Note(s) on the Cancellation Date over the bid price (as determined by Prudential) of the Hedge Treasury Notes(s)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on the Acceptance Day for such Accepted Note by (b) such bid price; and “</w:t>
      </w:r>
      <w:r>
        <w:rPr>
          <w:rFonts w:ascii="Times New Roman;Times;serif" w:hAnsi="Times New Roman;Times;serif"/>
          <w:b/>
          <w:sz w:val="22"/>
        </w:rPr>
        <w:t>PA</w:t>
      </w:r>
      <w:r>
        <w:rPr>
          <w:rFonts w:ascii="Times New Roman;Times;serif" w:hAnsi="Times New Roman;Times;serif"/>
          <w:sz w:val="20"/>
        </w:rPr>
        <w:t xml:space="preserve">” </w:t>
      </w:r>
      <w:r>
        <w:rPr>
          <w:rFonts w:ascii="Times New Roman;Times;serif" w:hAnsi="Times New Roman;Times;serif"/>
          <w:sz w:val="22"/>
        </w:rPr>
        <w:t>has the meaning ascribed to it in paragraph 2B(8)(iii).  The foregoing bid and ask prices shall be as reported by such publicly available source of such market data as is then customarily utilized by Prudential.  Each price shall be based on a U.S. Treasury security having a par value of $100.00 and shall be rounded to the second decimal place.  In no case shall the Cancellation Fee be less than zero.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w:t>
      </w:r>
      <w:r>
        <w:rPr>
          <w:rFonts w:ascii="Times New Roman;Times;serif" w:hAnsi="Times New Roman;Times;serif"/>
          <w:b/>
          <w:sz w:val="22"/>
        </w:rPr>
        <w:t>CONDITIONS</w:t>
      </w:r>
      <w:r>
        <w:rPr>
          <w:rFonts w:ascii="Times New Roman;Times;serif" w:hAnsi="Times New Roman;Times;serif"/>
          <w:sz w:val="22"/>
        </w:rPr>
        <w:t>.  The effectiveness of this Agreement and the amendment and restatement of the Prior Agreement effected hereby is subject to the satisfaction of the conditions set forth in paragraph 3A, and the obligation of any Purchaser to purchase and pay for the Series D Notes or any Shelf Notes to be purchased by such Purchaser is subject to the satisfaction, on or before the applicable Closing Day, of the conditions set forth in paragraph 3B: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3A.</w:t>
      </w:r>
      <w:r>
        <w:rPr>
          <w:rFonts w:ascii="Times New Roman;Times;serif" w:hAnsi="Times New Roman;Times;serif"/>
          <w:b/>
          <w:sz w:val="22"/>
        </w:rPr>
        <w:t>CONDITIONS TO EFFECTIVENESS OF AGREEMENT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3A(1).</w:t>
      </w:r>
      <w:r>
        <w:rPr>
          <w:rFonts w:ascii="Times New Roman;Times;serif" w:hAnsi="Times New Roman;Times;serif"/>
          <w:b/>
          <w:sz w:val="22"/>
        </w:rPr>
        <w:t>This Agreement; Reaffirmation</w:t>
      </w:r>
      <w:r>
        <w:rPr>
          <w:rFonts w:ascii="Times New Roman;Times;serif" w:hAnsi="Times New Roman;Times;serif"/>
          <w:sz w:val="22"/>
        </w:rPr>
        <w:t>.  Each of the parties hereto shall have duly executed and delivered this Agreement, and each Guarantor shall have executed and delivered the reaffirmation of its obligations under the Multiparty Guaranty set forth below the signature blocks of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3A(2).</w:t>
      </w:r>
      <w:r>
        <w:rPr>
          <w:rFonts w:ascii="Times New Roman;Times;serif" w:hAnsi="Times New Roman;Times;serif"/>
          <w:b/>
          <w:sz w:val="22"/>
        </w:rPr>
        <w:t>Other Amendment(s)</w:t>
      </w:r>
      <w:r>
        <w:rPr>
          <w:rFonts w:ascii="Times New Roman;Times;serif" w:hAnsi="Times New Roman;Times;serif"/>
          <w:sz w:val="22"/>
        </w:rPr>
        <w:t>.  The Company shall have delivered to Prudential a copy of any fully executed modification to the Bank Credit Agreement or any Other Note Agreement if any such modification corresponds or otherwise relates to the modifications effected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3A(3).</w:t>
      </w:r>
      <w:r>
        <w:rPr>
          <w:rFonts w:ascii="Times New Roman;Times;serif" w:hAnsi="Times New Roman;Times;serif"/>
          <w:b/>
          <w:sz w:val="22"/>
        </w:rPr>
        <w:t>Designation under Intercreditor Agreement</w:t>
      </w:r>
      <w:r>
        <w:rPr>
          <w:rFonts w:ascii="Times New Roman;Times;serif" w:hAnsi="Times New Roman;Times;serif"/>
          <w:sz w:val="22"/>
        </w:rPr>
        <w:t>.  Prudential shall have received a copy of the Company’s written designation of the holders of the Series B Notes, the Series C Notes and the Series D Notes as “Additional Creditors” (as defined in the Intercreditor Agreement), together with a Counterpart (as defined in the Intercreditor Agreement) executed by each such holder, with each of the foregoing having been prepared and delivered in accordance with Section 10 of the Intercreditor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3A(4).</w:t>
      </w:r>
      <w:r>
        <w:rPr>
          <w:rFonts w:ascii="Times New Roman;Times;serif" w:hAnsi="Times New Roman;Times;serif"/>
          <w:b/>
          <w:sz w:val="22"/>
        </w:rPr>
        <w:t>Fees and Expenses</w:t>
      </w:r>
      <w:r>
        <w:rPr>
          <w:rFonts w:ascii="Times New Roman;Times;serif" w:hAnsi="Times New Roman;Times;serif"/>
          <w:sz w:val="22"/>
        </w:rPr>
        <w:t>.  Without limiting the provisions of paragraph 11B hereof, the Company shall have paid in immediately available funds (i) the Structuring Fee, and (ii) the reasonable and documented fees, charges and disbursements of special counsel to the Purchasers to the extent invoiced by no later than one (1) day prior to the date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3B.</w:t>
      </w:r>
      <w:r>
        <w:rPr>
          <w:rFonts w:ascii="Times New Roman;Times;serif" w:hAnsi="Times New Roman;Times;serif"/>
          <w:b/>
          <w:sz w:val="22"/>
        </w:rPr>
        <w:t>CONDITIONS TO EACH CLOSING</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3B(1).</w:t>
      </w:r>
      <w:r>
        <w:rPr>
          <w:rFonts w:ascii="Times New Roman;Times;serif" w:hAnsi="Times New Roman;Times;serif"/>
          <w:b/>
          <w:sz w:val="22"/>
        </w:rPr>
        <w:t>Certain Documents</w:t>
      </w:r>
      <w:r>
        <w:rPr>
          <w:rFonts w:ascii="Times New Roman;Times;serif" w:hAnsi="Times New Roman;Times;serif"/>
          <w:sz w:val="22"/>
        </w:rPr>
        <w:t>.  Each Purchaser shall have received the following, each dated the applicable Closing Day (unless otherwise specified):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the Note(s) to be purchased by such Purchaser;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a copy of the Company’s written designation of the holders of the Notes to be purchased and sold on the applicable Closing Day (other than the Series D Closing Day) as “Additional Creditors” (as defined in the Intercreditor Agreement), together with a Counterpart (as defined in the Intercreditor Agreement) executed by each such holder, 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each of the foregoing having been prepared and delivered in accordance with Section 10 of the Intercreditor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a favorable opinion of (a) Gibson, Dunn &amp; Crutcher LLP, special counsel to the Credit Parties, in form and substance satisfactory to such Purchaser, and (b) Goodsill Anderson Quinn &amp; Stifel, special counsel to the Credit Parties, in form and substance satisfactory to such Purchaser, (the Company hereby directs each such counsel to deliver such opinion, agrees that the issuance and sale of any Notes will constitute a reconfirmation of such direction, and understands and agrees that each Purchaser receiving such an opinion is hereby authorized to rely on such opinion);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a favorable opinion of Vedder Price P.C., special counsel to the Purchasers, satisfactory to such Purchaser as to such matters incident to the matters herein contemplated as it may reasonably request;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certified copies of the resolutions of the Board of Directors (or Board of Managers or other similar authorizing body) of each Credit Party authorizing the execution and delivery of the Transaction Documents to which such Person is a party (including, in the case of the Company, the issuance, execution and delivery of the applicable Series of Notes), and of all documents evidencing other necessary corporate or similar action and governmental approvals, if any, with respect to this Agreement, the Notes and the other Transaction Documents;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a certificate of the Secretary or an Assistant Secretary and one other officer of each Credit Party certifying the names and true signatures of the officers of such Person authorized to sign the Transaction Documents to which such Person is a party and the other documents to be delivered hereunder, or a certificate of a Responsible Officer certifying that there have been no changes to such officers since the last date of delivery to the Purchasers;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w:t>
      </w:r>
      <w:r>
        <w:rPr>
          <w:rFonts w:ascii="Times New Roman;Times;serif" w:hAnsi="Times New Roman;Times;serif"/>
          <w:sz w:val="22"/>
        </w:rPr>
        <w:t>certified copies of the articles of incorporation and bylaws (or similar constitutive documents) of each Credit Party, or a certificate of a Responsible Officer certifying that there have been no changes to such documents since the last date of delivery to the Purchasers;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(viii)</w:t>
      </w:r>
      <w:r>
        <w:rPr>
          <w:rFonts w:ascii="Times New Roman;Times;serif" w:hAnsi="Times New Roman;Times;serif"/>
          <w:sz w:val="22"/>
        </w:rPr>
        <w:t>a good standing certificate for each Credit Party from the secretary of state of the state of its formation (and, in the case of Matson Navigation, the State of California), in each case dated as of a recent date and such other evidence of the status of each Credit Party as such Purchaser may reasonably request;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(ix)</w:t>
      </w:r>
      <w:r>
        <w:rPr>
          <w:rFonts w:ascii="Times New Roman;Times;serif" w:hAnsi="Times New Roman;Times;serif"/>
          <w:sz w:val="22"/>
        </w:rPr>
        <w:t>additional documents or certificates with respect to legal matters or corporate or other proceedings related to the transactions contemplated hereby as may be reasonably requested by such Purchaser.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3B(2).</w:t>
      </w:r>
      <w:r>
        <w:rPr>
          <w:rFonts w:ascii="Times New Roman;Times;serif" w:hAnsi="Times New Roman;Times;serif"/>
          <w:b/>
          <w:sz w:val="22"/>
        </w:rPr>
        <w:t>Representations and Warranties; No Default</w:t>
      </w:r>
      <w:r>
        <w:rPr>
          <w:rFonts w:ascii="Times New Roman;Times;serif" w:hAnsi="Times New Roman;Times;serif"/>
          <w:sz w:val="22"/>
        </w:rPr>
        <w:t>.  The representations and warranties of each Credit Party contained in paragraph 8 hereof and in each other Transaction Document shall be true on and as of the applicable Closing Day (except to the extent such representations and warranties expressly refer to an earlier date, in which case they shall be true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on and as of such earlier date); there shall exist on such Closing Day no Event of Default or Default; and the Company shall have delivered to each Purchaser an Officer’s Certificate, dated such Closing Day, to such effects.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3B(3).</w:t>
      </w:r>
      <w:r>
        <w:rPr>
          <w:rFonts w:ascii="Times New Roman;Times;serif" w:hAnsi="Times New Roman;Times;serif"/>
          <w:b/>
          <w:sz w:val="22"/>
        </w:rPr>
        <w:t>Purchase Permitted by Applicable Laws.</w:t>
      </w:r>
      <w:r>
        <w:rPr>
          <w:rFonts w:ascii="Times New Roman;Times;serif" w:hAnsi="Times New Roman;Times;serif"/>
          <w:sz w:val="20"/>
        </w:rPr>
        <w:t xml:space="preserve">  </w:t>
      </w:r>
      <w:r>
        <w:rPr>
          <w:rFonts w:ascii="Times New Roman;Times;serif" w:hAnsi="Times New Roman;Times;serif"/>
          <w:sz w:val="22"/>
        </w:rPr>
        <w:t>The purchase of and payment for the applicable Series of Notes to be purchased by each Purchaser thereof on the terms and conditions herein provided (including the use of the proceeds of such Series of Notes by the Company) shall not violate any applicable law or governmental regulation (including, without limitation, Section 5 of the Securities Act or Regulation T, U or X of the Board of Governors of the Federal Reserve System) and shall not subject such Purchaser to any tax, penalty, liability or other onerous condition under or pursuant to any applicable law or governmental regulation, and such Purchaser shall have received such certificates or other evidence as it may request to establish compliance with this condition.  This paragraph 3B(3) is a closing condition and shall not be construed as a tax indemnity.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3B(4).</w:t>
      </w:r>
      <w:r>
        <w:rPr>
          <w:rFonts w:ascii="Times New Roman;Times;serif" w:hAnsi="Times New Roman;Times;serif"/>
          <w:b/>
          <w:sz w:val="22"/>
        </w:rPr>
        <w:t>Fees and Expenses</w:t>
      </w:r>
      <w:r>
        <w:rPr>
          <w:rFonts w:ascii="Times New Roman;Times;serif" w:hAnsi="Times New Roman;Times;serif"/>
          <w:sz w:val="22"/>
        </w:rPr>
        <w:t>.  Without limiting the provisions of paragraph 11B hereof, the Company shall have paid the reasonable and documented fees, charges and disbursements of special counsel to the Purchasers to the extent invoiced by no later than one (1) day prior to the applicable Closing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w:t>
      </w:r>
      <w:r>
        <w:rPr>
          <w:rFonts w:ascii="Times New Roman;Times;serif" w:hAnsi="Times New Roman;Times;serif"/>
          <w:b/>
          <w:sz w:val="22"/>
        </w:rPr>
        <w:t>PREPAYMENTS</w:t>
      </w:r>
      <w:r>
        <w:rPr>
          <w:rFonts w:ascii="Times New Roman;Times;serif" w:hAnsi="Times New Roman;Times;serif"/>
          <w:sz w:val="22"/>
        </w:rPr>
        <w:t>.  The Notes shall be subject to required prepayment as and to the extent provided in paragraph 4A.  The Notes shall also be subject to prepayment under the circumstances set forth in paragraph 4B.  Any prepayment made by the Company pursuant to any other provision of this paragraph 4 shall not reduce or otherwise affect its obligation to make any required prepayment as specified in paragraph 4A.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4A.</w:t>
      </w:r>
      <w:r>
        <w:rPr>
          <w:rFonts w:ascii="Times New Roman;Times;serif" w:hAnsi="Times New Roman;Times;serif"/>
          <w:b/>
          <w:sz w:val="22"/>
        </w:rPr>
        <w:t>Required Prepayments of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4A(1).</w:t>
      </w:r>
      <w:r>
        <w:rPr>
          <w:rFonts w:ascii="Times New Roman;Times;serif" w:hAnsi="Times New Roman;Times;serif"/>
          <w:b/>
          <w:sz w:val="22"/>
        </w:rPr>
        <w:t>Series B Notes</w:t>
      </w:r>
      <w:r>
        <w:rPr>
          <w:rFonts w:ascii="Times New Roman;Times;serif" w:hAnsi="Times New Roman;Times;serif"/>
          <w:sz w:val="22"/>
        </w:rPr>
        <w:t>.  Until the Series B Notes shall be paid in full, the Company shall apply to the prepayment thereof, without premium, the sum of $3,500,000 on May 19 and November 19 in each of the years 2005 to 2019, inclusive, and such principal amounts of the Series B Notes, together with interest thereon to the prepayment dates, shall become due on such prepayment dates.  The remaining outstanding principal amount of the Series B Notes, together with any accrued and unpaid interest thereon, shall become due on May 19, 2020, the maturity date of the Series B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4A(2).</w:t>
      </w:r>
      <w:r>
        <w:rPr>
          <w:rFonts w:ascii="Times New Roman;Times;serif" w:hAnsi="Times New Roman;Times;serif"/>
          <w:b/>
          <w:sz w:val="22"/>
        </w:rPr>
        <w:t>Series C Notes</w:t>
      </w:r>
      <w:r>
        <w:rPr>
          <w:rFonts w:ascii="Times New Roman;Times;serif" w:hAnsi="Times New Roman;Times;serif"/>
          <w:sz w:val="22"/>
        </w:rPr>
        <w:t>.  (1) Until the Series C-1 Notes shall be paid in full, the Company shall apply to the prepayment thereof, without premium, the sum of $4,558,823.53 on each June 29 and December 29, beginning on June 29, 2015 through and including December 29, 2022, and such principal amounts of the Series C-1 Notes, together with interest thereon to the prepayment dates, shall become due on such prepayment dates.  The remaining outstanding principal amount of the Series C-1 Notes, together with any accrued and unpaid interest thereon, shall become due on June 29, 2023, the maturity date of the Series C-1 Notes.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Until the Series C-2 Notes shall be paid in full, the Company shall apply to the prepayment thereof, without premium, the sum of $2,619,047.62 on each June 29 and December 29, beginning on June 29, 2017 through and including December 29, 2026,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such principal amounts of the Series C-2 Notes, together with interest thereon to the prepayment dates, shall become due on such prepayment dates.  The remaining outstanding principal amount of the Series C-2 Notes, together with any accrued and unpaid interest thereon, shall become due on June 29, 2027, the maturity date of the Series C-2 Notes.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Until the Series C-3 Notes shall be paid in full, the Company shall apply to the prepayment thereof, without premium, the sum of $1,209,677.42 on each June 29 and December 29, beginning on June 29, 2017 through and including December 29, 2031, and such principal amounts of the Series C-3 Notes, together with interest thereon to the prepayment dates, shall become due on such prepayment dates.  The remaining outstanding principal amount of the Series C-3 Notes, together with any accrued and unpaid interest thereon, shall become due on June 29, 2032, the maturity date of the Series C-3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4A(3).</w:t>
      </w:r>
      <w:r>
        <w:rPr>
          <w:rFonts w:ascii="Times New Roman;Times;serif" w:hAnsi="Times New Roman;Times;serif"/>
          <w:b/>
          <w:sz w:val="22"/>
        </w:rPr>
        <w:t>Series D Notes</w:t>
      </w:r>
      <w:r>
        <w:rPr>
          <w:rFonts w:ascii="Times New Roman;Times;serif" w:hAnsi="Times New Roman;Times;serif"/>
          <w:sz w:val="22"/>
        </w:rPr>
        <w:t xml:space="preserve">.  Until the Series D Notes shall be paid in full, the Company shall apply to the prepayment thereof, without premium, on each March 14 and September 14, beginning on March 14, 2019 through and including March 14, 2031, the applicable amount specified to be prepaid on each such payment date and set forth on </w:t>
      </w:r>
      <w:r>
        <w:rPr>
          <w:rFonts w:ascii="Times New Roman;Times;serif" w:hAnsi="Times New Roman;Times;serif"/>
          <w:sz w:val="22"/>
          <w:u w:val="single"/>
        </w:rPr>
        <w:t>Schedule 4A(3)</w:t>
      </w:r>
      <w:r>
        <w:rPr>
          <w:rFonts w:ascii="Times New Roman;Times;serif" w:hAnsi="Times New Roman;Times;serif"/>
          <w:sz w:val="22"/>
        </w:rPr>
        <w:t>, and such principal amounts of the Series D Notes, together with interest thereon to the prepayment dates, shall become due on such prepayment dates.  The remaining outstanding principal amount of the Series D Notes, together with any accrued and unpaid interest thereon, shall become due on September 14, 2031, the maturity date of the Series D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4A(4).</w:t>
      </w:r>
      <w:r>
        <w:rPr>
          <w:rFonts w:ascii="Times New Roman;Times;serif" w:hAnsi="Times New Roman;Times;serif"/>
          <w:b/>
          <w:sz w:val="22"/>
        </w:rPr>
        <w:t>Shelf Notes</w:t>
      </w:r>
      <w:r>
        <w:rPr>
          <w:rFonts w:ascii="Times New Roman;Times;serif" w:hAnsi="Times New Roman;Times;serif"/>
          <w:sz w:val="22"/>
        </w:rPr>
        <w:t>.  Until paid in full, each Series of Shelf Notes shall be subject to required prepayments, if any, set forth in the Notes of such Series, and such principal amounts of such Series of Notes, together with interest thereon to the prepayment dates, shall become due on such prepayment dates.  The remaining outstanding principal amount of each Series of Shelf Notes shall become due on the stated maturity date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4B.</w:t>
      </w:r>
      <w:r>
        <w:rPr>
          <w:rFonts w:ascii="Times New Roman;Times;serif" w:hAnsi="Times New Roman;Times;serif"/>
          <w:b/>
          <w:sz w:val="22"/>
        </w:rPr>
        <w:t>Optional Prepayment with Yield-Maintenance Amount</w:t>
      </w:r>
      <w:r>
        <w:rPr>
          <w:rFonts w:ascii="Times New Roman;Times;serif" w:hAnsi="Times New Roman;Times;serif"/>
          <w:sz w:val="22"/>
        </w:rPr>
        <w:t>.  The Notes of each Series shall be subject to prepayment, in whole at any time or from time to time in part (in integral multiples of $100,000 and in a minimum amount of $1,000,000), at the option of the Company, at 100% of the principal amount so prepaid plus interest thereon to the prepayment date and the Yield-Maintenance Amount, if any, with respect to each such Note.  Any partial prepayment of a Series of the Notes pursuant to this paragraph 4B shall be applied in satisfaction of required payments of principal in inverse order of their scheduled due dates.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4C.</w:t>
      </w:r>
      <w:r>
        <w:rPr>
          <w:rFonts w:ascii="Times New Roman;Times;serif" w:hAnsi="Times New Roman;Times;serif"/>
          <w:b/>
          <w:sz w:val="22"/>
        </w:rPr>
        <w:t>Notice of Optional Prepayment</w:t>
      </w:r>
      <w:r>
        <w:rPr>
          <w:rFonts w:ascii="Times New Roman;Times;serif" w:hAnsi="Times New Roman;Times;serif"/>
          <w:sz w:val="22"/>
        </w:rPr>
        <w:t>.  The Company shall give the holder of each Note of a Series to be prepaid pursuant to paragraph 4B irrevocable written notice of such prepayment not less than five Business Days prior to the prepayment date, specifying such prepayment date, the aggregate principal amount of the Notes of such Series to be prepaid on such date, the principal amount of the Notes of such Series held by such holder to be prepaid on that date and that such prepayment is to be made pursuant to paragraph 4B.  Notice of prepayment having been given as aforesaid, the principal amount of the Notes specified in such notice, together with interest thereon to the prepayment date and together with the Yield-Maintenance Amount, if any, herein provided, shall become due and payable on such prepayment date.  The Company shall, on or before the day on which it gives written notice of any prepayment pursuant to paragraph 4B, give telephonic notice of the principal amount of the Notes to be prepaid and the prepayment date to each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Significant Holder which shall have designated a recipient for such notices in the Purchaser Schedule attached hereto (in the case of the Series D Notes), in the most recent Purchaser Schedule for such Significant Holder (in the case of all other Series of Notes) or by notice in writing to the Company.  Notwithstanding the foregoing, any notice of prepayment of the Notes in whole given by the Company may state that such prepayment notice is conditioned upon the effectiveness of other credit facilities or capital raising, in which case such notice may be revoked by the Company (by notice to the holders on or prior to the specified effective date) if such condition is not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4D.</w:t>
      </w:r>
      <w:r>
        <w:rPr>
          <w:rFonts w:ascii="Times New Roman;Times;serif" w:hAnsi="Times New Roman;Times;serif"/>
          <w:b/>
          <w:sz w:val="22"/>
        </w:rPr>
        <w:t>Application of Prepayments</w:t>
      </w:r>
      <w:r>
        <w:rPr>
          <w:rFonts w:ascii="Times New Roman;Times;serif" w:hAnsi="Times New Roman;Times;serif"/>
          <w:sz w:val="22"/>
        </w:rPr>
        <w:t>.  In the case of each prepayment of less than the entire unpaid principal amount of all outstanding Notes of any Series pursuant to paragraph 4A(1), 4A(2) or 4(A)(3) or 4B, the amount to be prepaid shall be applied pro rata to all outstanding Notes of such Series (including, in the case of prepayments pursuant to paragraph 4A(1), 4A(2) or 4A(3) for the purpose of this paragraph 4D only, all Notes of such Series prepaid or otherwise retired or purchased or otherwise acquired by the Company or any of its Subsidiaries or any other Affiliates other than by prepayment pursuant to paragraph 4A or 4B) according to the respective unpaid principal amounts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4E.</w:t>
      </w:r>
      <w:r>
        <w:rPr>
          <w:rFonts w:ascii="Times New Roman;Times;serif" w:hAnsi="Times New Roman;Times;serif"/>
          <w:b/>
          <w:sz w:val="22"/>
        </w:rPr>
        <w:t>Retirement of Notes</w:t>
      </w:r>
      <w:r>
        <w:rPr>
          <w:rFonts w:ascii="Times New Roman;Times;serif" w:hAnsi="Times New Roman;Times;serif"/>
          <w:sz w:val="22"/>
        </w:rPr>
        <w:t>.  The Company shall not, and shall not permit any of its Subsidiaries or any other Affiliates to, prepay or otherwise retire in whole or in part prior to their stated final maturity (other than by prepayment pursuant to paragraphs 4A or 4B, or upon acceleration of such final maturity pursuant to paragraph 7A), or purchase or otherwise acquire, directly or indirectly, Notes of any Series held by any holder unless the Company or such Subsidiary or Affiliate shall have offered to prepay or otherwise retire or purchase or otherwise acquire, as the case may be, the same proportion of the aggregate principal amount of Notes of such Series held by each other holder of Notes of such Series at the time outstanding upon the same terms and conditions.  Any Notes so prepaid or otherwise retired or purchased or otherwise acquired by the Company or any of its Subsidiaries or other Affiliates shall not be deemed to be outstanding for any purpose under this Agreement, except as provided in paragraph 4D.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w:t>
      </w:r>
      <w:r>
        <w:rPr>
          <w:rFonts w:ascii="Times New Roman;Times;serif" w:hAnsi="Times New Roman;Times;serif"/>
          <w:b/>
          <w:sz w:val="22"/>
        </w:rPr>
        <w:t>AFFIRMATIVE COVENANTS</w:t>
      </w:r>
      <w:r>
        <w:rPr>
          <w:rFonts w:ascii="Times New Roman;Times;serif" w:hAnsi="Times New Roman;Times;serif"/>
          <w:sz w:val="22"/>
        </w:rPr>
        <w:t>.  During the Issuance Period and so long thereafter as any Note or amount due hereunder or under any other Transaction Document (other than any contingent indemnification obligation) is outstanding or unpaid, the Company covenants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5A.</w:t>
      </w:r>
      <w:r>
        <w:rPr>
          <w:rFonts w:ascii="Times New Roman;Times;serif" w:hAnsi="Times New Roman;Times;serif"/>
          <w:b/>
          <w:sz w:val="22"/>
        </w:rPr>
        <w:t>Financial Statements</w:t>
      </w:r>
      <w:r>
        <w:rPr>
          <w:rFonts w:ascii="Times New Roman;Times;serif" w:hAnsi="Times New Roman;Times;serif"/>
          <w:sz w:val="22"/>
        </w:rPr>
        <w:t>.  The Company covenants that it will deliver to each holder of the Notes: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as soon as practicable and in any event within 60 days after the end of each quarterly period (other than the last quarterly period) in each fiscal year (or if earlier, 5 days after the date required to be filed with the SEC), consolidated statements of income and cash flows of the Company and its Subsidiaries for the period from the beginning of the current fiscal year to the end of such quarterly period, and a consolidated balance sheet of the Company and its Subsidiaries as at the end of such quarterly period, setting forth in each case in comparative form figures for the corresponding period in the preceding fiscal year, all in reasonable detail and certified by an authorized financial officer of the Company, subject only to changes resulting from year-end adjustments;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as soon as practicable and in any event within 120 days after the end of each fiscal year (or if earlier, 5 days after the date required to be filed with the SEC), consolidated statements of income and cash flows of the Company and its Subsidiaries for such year and a consolidated balance sheet of the Company and its Subsidiaries as at the end of such year, setting forth in each case in comparative form corresponding figures from the preceding annual audit, certified by independent public accountants of recognized national standing whose opinion shall be prepared in accordance with generally accepted auditing standards and shall not be subject to any “going concern” or like qualification or exception or any qualification or exception as to the scope of such audit,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so long as the Bank Credit Agreement shall have a similar provision, it shall not be a violation of this clause (ii) if the opinion accompanying the financial statements for the last fiscal year prior to the Maturity Date (as defined in the Bank Credit Agreement) is subject to a “going concern” or like qualification solely as a result of the impending maturity of the Loans (as defined in the Bank Credit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promptly upon transmission thereof, copies of all such financial, proxy and information statements, notices and other reports as are sent to the Company’s public stockholders and copies of all registration statements (without exhibits) and all reports which are filed with the Securities and Exchange Commission (or any governmental body or agency succeeding to the functions of the Securities and Exchange Commission);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promptly upon receipt thereof, a copy of each other material report submitted to the Company or any of its Subsidiaries by independent accountants in connection with any material annual, interim or special audit made by them of the books of the Company or such Subsidiary;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promptly after the furnishing thereof, copies of any certificate, statement or report furnished to any other lender to, or holder of the debt securities of, the Company pursuant to the terms of any indenture, loan, credit or similar agreement or instrument and not otherwise required to be furnished to the holders of the Notes pursuant to any other clause of this paragraph 5A;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with reasonable promptness, such other financial data as any holder of Notes may reasonably request.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documents required to be delivered by clauses (i), (ii) and (iii) above (to the extent any such documents are included in materials otherwise filed with the SEC) may be delivered electronically and if so delivered, shall be deemed to have been delivered on the date on which the Company shall provide each holder of Notes (by electronic mail at such holder’s electronic mail address as set forth on the Purchaser Schedule for such holder or at such other electronic mail address as any such Purchaser shall have specified to the Company in writing) with an electronic link to such documents.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Together with each delivery of financial statements required by clauses (i) and (ii) above, the Company will deliver to each holder of Notes an Officers’ Certificate (a) demonstrating (with computations in reasonable detail) compliance with the covenants in paragraphs 6A(1), 6A(2), 6A(3), 6C(4) and 6C(6) (including with respect to each such covenant, where applicable, 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reconciliation from GAAP, as reflected in the financial statements then being furnished, to the calculation of such financial covenants, after giving effect to any change in accounting for Capitalized Lease Obligations which has occurred after September 14, 2016), (b) listing each Material Subsidiary (and identifying whether or not such Material Subsidiary is a Domestic Material Subsidiary) as of the end of the applicable period to which the accompanying financial statements pertain and (c) stating that there exists no Default or Event of Default, or if any Default or Event of Default exists, specifying the nature and period of existence thereof and what action the Company proposes to take with respect thereto.</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 also covenants that forthwith upon a Responsible Officer of the Company obtaining actual knowledge of an Event of Default or Default, it will deliver to each holder of Notes an Officers’ Certificate specifying the nature and period of existence thereof and what action the Company proposes to take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5B.</w:t>
      </w:r>
      <w:r>
        <w:rPr>
          <w:rFonts w:ascii="Times New Roman;Times;serif" w:hAnsi="Times New Roman;Times;serif"/>
          <w:b/>
          <w:sz w:val="22"/>
        </w:rPr>
        <w:t>Inspection of Property</w:t>
      </w:r>
      <w:r>
        <w:rPr>
          <w:rFonts w:ascii="Times New Roman;Times;serif" w:hAnsi="Times New Roman;Times;serif"/>
          <w:sz w:val="22"/>
        </w:rPr>
        <w:t xml:space="preserve">.  The Company covenants that it will permit any Person designated by any Significant Holder in writing, at such Significant Holder’s expense, to visit and inspect any of the properties of the Company and its Subsidiaries, to examine their books and financial records and to make copies thereof or extracts therefrom and to discuss their affairs, finances and accounts with the principal officers and the Company’s independent certified public accountants, all at such reasonable times and as often as such Significant Holder may reasonably request;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 principal financial officer of the Company shall have reasonable prior notice of, and may elect to be present during, discussions with the Company’s independent public accountants.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5C.</w:t>
      </w:r>
      <w:r>
        <w:rPr>
          <w:rFonts w:ascii="Times New Roman;Times;serif" w:hAnsi="Times New Roman;Times;serif"/>
          <w:b/>
          <w:sz w:val="22"/>
        </w:rPr>
        <w:t>Information Required by Rule 144A</w:t>
      </w:r>
      <w:r>
        <w:rPr>
          <w:rFonts w:ascii="Times New Roman;Times;serif" w:hAnsi="Times New Roman;Times;serif"/>
          <w:sz w:val="22"/>
        </w:rPr>
        <w:t>.  The Company covenants that it will, upon the request of the holder of any Note, provide such holder, and any qualified institutional buyer designated by such holder, such financial and other information as such holder may reasonably determine to be necessary in order to permit compliance with the information requirements of Rule 144A under the Securities Act in connection with the resale of Notes, except at such times as the Company is subject to and in compliance with the reporting requirements of section 13 or 15(d) of the Exchange Act.  For the purpose of this paragraph 5C, the term “</w:t>
      </w:r>
      <w:r>
        <w:rPr>
          <w:rFonts w:ascii="Times New Roman;Times;serif" w:hAnsi="Times New Roman;Times;serif"/>
          <w:b/>
          <w:sz w:val="22"/>
        </w:rPr>
        <w:t>qualified institutional buyer</w:t>
      </w:r>
      <w:r>
        <w:rPr>
          <w:rFonts w:ascii="Times New Roman;Times;serif" w:hAnsi="Times New Roman;Times;serif"/>
          <w:sz w:val="20"/>
        </w:rPr>
        <w:t xml:space="preserve">” </w:t>
      </w:r>
      <w:r>
        <w:rPr>
          <w:rFonts w:ascii="Times New Roman;Times;serif" w:hAnsi="Times New Roman;Times;serif"/>
          <w:sz w:val="22"/>
        </w:rPr>
        <w:t>shall have the meaning specified in Rule 144A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5D.</w:t>
      </w:r>
      <w:r>
        <w:rPr>
          <w:rFonts w:ascii="Times New Roman;Times;serif" w:hAnsi="Times New Roman;Times;serif"/>
          <w:b/>
          <w:sz w:val="22"/>
        </w:rPr>
        <w:t>Maintenance of Properties; Insurance</w:t>
      </w:r>
      <w:r>
        <w:rPr>
          <w:rFonts w:ascii="Times New Roman;Times;serif" w:hAnsi="Times New Roman;Times;serif"/>
          <w:sz w:val="22"/>
        </w:rPr>
        <w:t>.  The Company covenants that it shall, and shall cause its Subsidiaries to (i) maintain or cause to be maintained in good repair, working order and condition all material properties used or useful at that time in its business and from time to time will make or cause to be made all appropriate repairs, renewals and replacements thereof and (ii) maintain insurance with reputable and financially sound insurers in such amounts and against such liabilities and hazards as is customarily maintained by other companies operating similar businesses.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5E.</w:t>
      </w:r>
      <w:r>
        <w:rPr>
          <w:rFonts w:ascii="Times New Roman;Times;serif" w:hAnsi="Times New Roman;Times;serif"/>
          <w:b/>
          <w:sz w:val="22"/>
        </w:rPr>
        <w:t>United States Citizen</w:t>
      </w:r>
      <w:r>
        <w:rPr>
          <w:rFonts w:ascii="Times New Roman;Times;serif" w:hAnsi="Times New Roman;Times;serif"/>
          <w:sz w:val="22"/>
        </w:rPr>
        <w:t>.  The Company covenants that it will, and will cause each of its Subsidiaries that owns or operates any Vessel, at all times to preserve and maintain its status as a Section 2 Citizen.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5F.</w:t>
      </w:r>
      <w:r>
        <w:rPr>
          <w:rFonts w:ascii="Times New Roman;Times;serif" w:hAnsi="Times New Roman;Times;serif"/>
          <w:b/>
          <w:sz w:val="22"/>
        </w:rPr>
        <w:t>Environmental and Safety Laws</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Company shall deliver promptly to each holder of any Notes notice of (i) any material enforcement, cleanup, removal or other material governmental or regulatory action instituted or, to the Company’s best knowledge, threatened against the Company or any Material Subsidiary pursuant to any Environmental and Safety Laws, (ii) all material Environmental Liabilities and Costs against or in respect of the Company or any Material Subsidiary or any of their respective material properties and (iii) the Company’s or any Material Subsidiary’s discovery of any occurrence or condition on any material real property adjoining or in the vicinity of any of its properties that the Company or such Material Subsidiary has reason to believe would cause such property or any material part thereof to be subject to any material restrictions on its ownership, occupancy, transferability or use under any Environmental and Safety Laws.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Company shall, and shall cause its Material Subsidiaries to, keep and maintain its properties and conduct its and their operations in compliance in all material respects with all applicable Environmental and Safety Laws except where the failure to do so would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5G.</w:t>
      </w:r>
      <w:r>
        <w:rPr>
          <w:rFonts w:ascii="Times New Roman;Times;serif" w:hAnsi="Times New Roman;Times;serif"/>
          <w:b/>
          <w:sz w:val="22"/>
        </w:rPr>
        <w:t>Equal and Ratable Liens.</w:t>
      </w:r>
      <w:r>
        <w:rPr>
          <w:rFonts w:ascii="Times New Roman;Times;serif" w:hAnsi="Times New Roman;Times;serif"/>
          <w:sz w:val="20"/>
        </w:rPr>
        <w:t xml:space="preserve">  </w:t>
      </w:r>
      <w:r>
        <w:rPr>
          <w:rFonts w:ascii="Times New Roman;Times;serif" w:hAnsi="Times New Roman;Times;serif"/>
          <w:sz w:val="22"/>
        </w:rPr>
        <w:t>If the Company or any of its Subsidiaries shall create, assume or otherwise incur any Lien upon any of its property or assets, whether now owned or hereafter acquired, other than Liens permitted by the provisions of paragraph 6C(1) (including in such permitted Liens, without limitation, Liens securing Title XI Debt to the extent such Title XI Debt is permitted Priority Debt), then the Company will make, or will cause its Subsidiaries to make, effective provision whereby the obligations evidenced by the Notes and under the other Transaction Documents will be secured by such Liens equally and ratably with any and all other Debt thereby secured so long as any such other Debt shall be so secured pursuant to an agreement or agreements (including security agreements and similar collateral documents and an intercreditor agreement) reasonably acceptable to the Required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5H.</w:t>
      </w:r>
      <w:r>
        <w:rPr>
          <w:rFonts w:ascii="Times New Roman;Times;serif" w:hAnsi="Times New Roman;Times;serif"/>
          <w:b/>
          <w:sz w:val="22"/>
        </w:rPr>
        <w:t>Subsequent Guarantors; Release of Guarantors</w:t>
      </w:r>
      <w:r>
        <w:rPr>
          <w:rFonts w:ascii="Times New Roman;Times;serif" w:hAnsi="Times New Roman;Times;serif"/>
          <w:sz w:val="22"/>
        </w:rPr>
        <w:t>.  (a)  Together with each delivery of financial statements required by paragraphs 5A(i) or (ii), the Company shall notify the holders of the Notes in writing if any Subsidiary has become a Material Domestic Subsidiary.  The Company covenants that, upon the earlier of (i) 30 days after any notice referred to in the immediately preceding sentence (or such longer period as determined in writing by the Required Holders in their sole discretion) if such Subsidiary is not a Guarantor at such time, and (ii) such time as any Person becomes a guarantor or other obligor under the Bank Credit Agreement or any Other Note Agreement, the Company shall cause such Person to (1) become a party to each of the Multiparty Guaranty and the Indemnity and Contribution Agreement by executing and delivering to the holders of the Notes a joinder or counterpart to the Multiparty Guaranty and the Indemnity and Contribution Agreement, and (2) deliver to the holders of the Notes such organization documents, resolutions and favorable opinions of counsel, all in form, content and scope similar to those delivered on the Series D Closing Day or otherwise reasonably satisfactory to the Required Holders.  Notwithstanding anything to the contrary in clause (i) of the second sentence of this paragraph 5H(a), the Company will be deemed to have complied with the requirements of clause (i) of the second sentence of this paragraph 5H(a) with respect to the Subsidiaries of the Company acquired pursuant to that certain Membership Interest Purchase Agreement dated as of July 18,</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2016 between Matson Logistics, Inc. as buyer and Span Holdings, LLC as seller, if, on or before the date that is 30 days after delivery pursuant to Section 5A(i) of the financial statements for the fiscal quarter ended September 30, 2016 (or such longer period as determined in writing by the Required Holders in their sole discretion), the Company shall cause each of such applicable Subsidiaries to comply with the requirements set forth in clauses (1) and (2) of the second sentence of this paragraph 5H(a).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If (i) any Guarantor ceases to be a Material Domestic Subsidiary (based on the most recent financial statements delivered to the holders of the Notes pursuant to paragraphs 5A(i) or (ii)), or (ii) if any Person which has become a Guarantor by virtue of clause (ii) of the second sentence of paragraph 5H(a) (and which is not at the applicable time of determination a Material Domestic Subsidiary (based on the most recent financial statements delivered to the holders of the Notes pursuant to paragraphs 5A(i) or (ii))) ceases to be required to be a guarantor or other obligor of the credit facilities under the Bank Credit Agreement and each Other Note Agreement, and if, in the case of either of the immediately preceding clause (i) or (ii), after giving effect to the release of such Guarantor of its obligations under the Multiparty Guaranty, no Default or Event of Default would exist, then the Company may deliver to each holder of Notes a certificate of a Responsible Officer as to the foregoing requirements and, upon the later of (x) such delivery and (y) concurrently with such time as that Guarantor has been released from all of its obligations as a guarantor or other obligor of the credit facilities under the Bank Credit Agreement and each Other Note Agreement, that Guarantor shall be released automatically from all of its obligations under the Multiparty Guaranty and the Indemnity and Contribution Agreement, without further approval or action by any holder of Notes;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any consideration is given to any party to the Bank Credit Agreement or any Other Note Agreement for such release of such Guarantor, then the holders of the Notes shall be paid an amount equal to their ratable share of such consideration concurrently therewith.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5I.</w:t>
      </w:r>
      <w:r>
        <w:rPr>
          <w:rFonts w:ascii="Times New Roman;Times;serif" w:hAnsi="Times New Roman;Times;serif"/>
          <w:b/>
          <w:sz w:val="22"/>
        </w:rPr>
        <w:t>Collateral</w:t>
      </w:r>
      <w:r>
        <w:rPr>
          <w:rFonts w:ascii="Times New Roman;Times;serif" w:hAnsi="Times New Roman;Times;serif"/>
          <w:sz w:val="22"/>
        </w:rPr>
        <w:t>.  At any time and from time to time, at the written election of the Company delivered to the holders of the Notes (a “</w:t>
      </w:r>
      <w:r>
        <w:rPr>
          <w:rFonts w:ascii="Times New Roman;Times;serif" w:hAnsi="Times New Roman;Times;serif"/>
          <w:b/>
          <w:sz w:val="22"/>
        </w:rPr>
        <w:t>Collateral Election</w:t>
      </w:r>
      <w:r>
        <w:rPr>
          <w:rFonts w:ascii="Times New Roman;Times;serif" w:hAnsi="Times New Roman;Times;serif"/>
          <w:sz w:val="20"/>
        </w:rPr>
        <w:t>”</w:t>
      </w:r>
      <w:r>
        <w:rPr>
          <w:rFonts w:ascii="Times New Roman;Times;serif" w:hAnsi="Times New Roman;Times;serif"/>
          <w:sz w:val="22"/>
        </w:rPr>
        <w:t>), the Company shall deliver to the Collateral Agent, or shall cause Matson Navigation and/or one or more other Guarantors, as applicable, to deliver to the Collateral Agent, effective on such date or on a Business Day thereafter as specified in the Collateral Election:  (i) one or more Security Agreements (each duly executed by the applicable grantor under such Security Agreement) and such other documents as are necessary for the due perfection of the Collateral Agent’s Lien in the applicable Collateral; and (ii) upon the original execution of each Security Agreement, resolutions in form and substance relating thereto reasonably satisfactory to the Required Holders and the Collateral Agent</w:t>
      </w:r>
      <w:r>
        <w:rPr>
          <w:rFonts w:ascii="Times New Roman;Times;serif" w:hAnsi="Times New Roman;Times;serif"/>
          <w:color w:val="0000FF"/>
          <w:sz w:val="22"/>
          <w:u w:val="single"/>
        </w:rPr>
        <w:t>; provided that at any time the Credit Parties have granted a Lien on the Collateral under the Bank Credit Agreement, the Company shall be required to deliver such documentation as is necessary to perfect the Collateral Agent’s Lien on such Collateral on a pari passu basis</w:t>
      </w:r>
      <w:r>
        <w:rPr>
          <w:rFonts w:ascii="Times New Roman;Times;serif" w:hAnsi="Times New Roman;Times;serif"/>
          <w:sz w:val="22"/>
        </w:rPr>
        <w:t>.  In addition, from time to time on or after the date hereof the Company may enter into additional note purchase and/or credit agreements with lenders which are not party to the Intercreditor Agreement as of the date hereof for purpose of such additional note purchase and/or credit agreements, and the Company may designate, at the written election of the Company delivered to the holders of the Notes, such lenders to become parties to the Intercreditor Agreement.  Notwithstanding the foregoing, so long as no Default has occurred and is continuing, the Company may, at any time and from time to time, by written notice thereof of the Company delivered to the holders of the Notes, elect to revoke, or cause Matson Navigation and/or one or more other Guarantors, as applicable, to revoke any prior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Collateral Election with respect to one or more (as applicable) Security Agreements, and the holders of the Notes hereby consent to the Collateral Agent’s delivering, at the expense of the Company, such releases as are necessary to evidence the termination of the applicable Liens</w:t>
      </w:r>
      <w:r>
        <w:rPr>
          <w:rFonts w:ascii="Times New Roman;Times;serif" w:hAnsi="Times New Roman;Times;serif"/>
          <w:color w:val="FF0000"/>
          <w:sz w:val="22"/>
        </w:rPr>
        <w:t>.</w:t>
      </w:r>
      <w:r>
        <w:rPr>
          <w:rFonts w:ascii="Times New Roman;Times;serif" w:hAnsi="Times New Roman;Times;serif"/>
          <w:color w:val="0000FF"/>
          <w:sz w:val="22"/>
          <w:u w:val="single"/>
        </w:rPr>
        <w:t>; provided, however, that any such revocation shall not be effective unless a corresponding revocation is made with respect to each other note purchase and/or credit agreements (including, without limitation, the Bank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5J.</w:t>
      </w:r>
      <w:r>
        <w:rPr>
          <w:rFonts w:ascii="Times New Roman;Times;serif" w:hAnsi="Times New Roman;Times;serif"/>
          <w:b/>
          <w:sz w:val="22"/>
        </w:rPr>
        <w:t xml:space="preserve">Rating Confirmation. </w:t>
      </w:r>
      <w:r>
        <w:rPr>
          <w:rFonts w:ascii="Times New Roman;Times;serif" w:hAnsi="Times New Roman;Times;serif"/>
          <w:sz w:val="22"/>
        </w:rPr>
        <w:t>The Company covenants that it will obtain, by not later than the earlier of June 30, 2018 and the beginning of the Special Relief Period, and thereafter use its reasonable best efforts to cause to be maintained at all times until December 31, 2021, but only if the Consolidated Leverage Ratio is 2.50:1.00 or less as of such date (as reflected in the Officer’s Certificate required to accompany the financial statements for December 31, 2021 delivered pursuant to paragraph 5A(ii)), and otherwise until December 31, 2022, at its sole cost and expense, a Credit Rating from at least one Rating Agency.  On or before November 30 of each year when a Credit Rating is required to be maintained the Company further covenants and agrees it will provide a notice to each of the holders of the Notes sent in the manner provided in paragraph 11I with respect to any then current Credit Ratings.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5K.</w:t>
      </w:r>
      <w:r>
        <w:rPr>
          <w:rFonts w:ascii="Times New Roman;Times;serif" w:hAnsi="Times New Roman;Times;serif"/>
          <w:b/>
          <w:sz w:val="22"/>
        </w:rPr>
        <w:t>Most-Favored Lender</w:t>
      </w:r>
      <w:r>
        <w:rPr>
          <w:rFonts w:ascii="Times New Roman;Times;serif" w:hAnsi="Times New Roman;Times;serif"/>
          <w:sz w:val="22"/>
        </w:rPr>
        <w:t>. If the Company shall at any time on or after March 31, 2020 enter into any modification, amendment or restatement of any of the Bank Credit Agreement, the MetLife Note Agreement or the NYL Note Agreements in any manner which (a) has added or subsequently adds additional financial or negative covenants and/or events of default for the benefit of the lenders under any of such other financing agreements or (b) has made or subsequently makes the financial or negative covenants and/or events of default set forth therein more restrictive on the Company or any Subsidiary than the covenants and/or events of default contained in this Agreement, then such additional or more restrictive financial or negative covenants, events of default and any related definitions (the “Additional Provisions”) shall automatically be deemed to be incorporated into this Agreement by reference and this Agreement shall be deemed to be amended to include such Additional Provisions from the time any such modification, amendment or restatement of such applicable other financing agreement becomes binding upon the Company. Promptly but in no event more than five (5) Business Days following the execution of any agreement providing for Additional Provisions, the Company shall furnish the holders of the Notes with a copy of such agreement. Upon written request of the Required Holders, the Company will enter into an amendment to this Agreement pursuant to which this Agreement will be formally amended to incorporate the Additional Provisions on the terms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w:t>
      </w:r>
      <w:r>
        <w:rPr>
          <w:rFonts w:ascii="Times New Roman;Times;serif" w:hAnsi="Times New Roman;Times;serif"/>
          <w:b/>
          <w:sz w:val="22"/>
        </w:rPr>
        <w:t>NEGATIVE COVENANTS</w:t>
      </w:r>
      <w:r>
        <w:rPr>
          <w:rFonts w:ascii="Times New Roman;Times;serif" w:hAnsi="Times New Roman;Times;serif"/>
          <w:sz w:val="22"/>
        </w:rPr>
        <w:t>.  During the Issuance Period and so long thereafter as any Note or amount due hereunder or under any other Transaction Document (other than any contingent indemnification obligation) is outstanding or unpaid, the Company covenants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6A.</w:t>
      </w:r>
      <w:r>
        <w:rPr>
          <w:rFonts w:ascii="Times New Roman;Times;serif" w:hAnsi="Times New Roman;Times;serif"/>
          <w:b/>
          <w:sz w:val="22"/>
        </w:rPr>
        <w:t>Financial Covenants</w:t>
      </w:r>
      <w:r>
        <w:rPr>
          <w:rFonts w:ascii="Times New Roman;Times;serif" w:hAnsi="Times New Roman;Times;serif"/>
          <w:sz w:val="22"/>
        </w:rPr>
        <w:t>.  The Company will not permit: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6A(1).</w:t>
      </w:r>
      <w:r>
        <w:rPr>
          <w:rFonts w:ascii="Times New Roman;Times;serif" w:hAnsi="Times New Roman;Times;serif"/>
          <w:b/>
          <w:color w:val="FF0000"/>
          <w:sz w:val="22"/>
        </w:rPr>
        <w:t>Consolidated Interest Coverage Ratio</w:t>
      </w:r>
      <w:r>
        <w:rPr>
          <w:rFonts w:ascii="Times New Roman;Times;serif" w:hAnsi="Times New Roman;Times;serif"/>
          <w:color w:val="FF0000"/>
          <w:sz w:val="22"/>
        </w:rPr>
        <w:t>.  The Consolidated Interest Coverage Ratio as of the end of any fiscal quarter of the Company to be less than 3.50 to 1.00</w:t>
      </w:r>
      <w:r>
        <w:rPr>
          <w:rFonts w:ascii="Times New Roman;Times;serif" w:hAnsi="Times New Roman;Times;serif"/>
          <w:b/>
          <w:color w:val="0000FF"/>
          <w:sz w:val="22"/>
        </w:rPr>
        <w:t>[Reserved]</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6A(2).</w:t>
      </w:r>
      <w:r>
        <w:rPr>
          <w:rFonts w:ascii="Times New Roman;Times;serif" w:hAnsi="Times New Roman;Times;serif"/>
          <w:b/>
          <w:sz w:val="22"/>
        </w:rPr>
        <w:t>Consolidated Leverage Ratio</w:t>
      </w:r>
      <w:r>
        <w:rPr>
          <w:rFonts w:ascii="Times New Roman;Times;serif" w:hAnsi="Times New Roman;Times;serif"/>
          <w:sz w:val="22"/>
        </w:rPr>
        <w:t>.  The ratio (the “</w:t>
      </w:r>
      <w:r>
        <w:rPr>
          <w:rFonts w:ascii="Times New Roman;Times;serif" w:hAnsi="Times New Roman;Times;serif"/>
          <w:b/>
          <w:sz w:val="22"/>
        </w:rPr>
        <w:t>Consolidated Leverage Ratio</w:t>
      </w:r>
      <w:r>
        <w:rPr>
          <w:rFonts w:ascii="Times New Roman;Times;serif" w:hAnsi="Times New Roman;Times;serif"/>
          <w:sz w:val="20"/>
        </w:rPr>
        <w:t>”</w:t>
      </w:r>
      <w:r>
        <w:rPr>
          <w:rFonts w:ascii="Times New Roman;Times;serif" w:hAnsi="Times New Roman;Times;serif"/>
          <w:sz w:val="22"/>
        </w:rPr>
        <w:t xml:space="preserve">) of (a) all Debt of the Company and Subsidiaries on a consolidated basis at any time to (b) Consolidated EBITDA for the period of four consecutive fiscal quarters then or most recently ended to exceed 3.50 to 1.00;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in connection with any Acquisition that is not a Hostile Acquisition and that is in an Eligible Business Line for which the aggregate purchase consideration equals or exceeds $75,000,000, the maximum permitted Consolidated Leverage Ratio, at the election of the Company, with prior written notice from the Company to the holders of the Notes, shall increase to 4.00 to 1.00, on one occasion during the term of this Agreement, for the period beginning on the date of the consummation of such Acquisition and continuing until the fourth consecutive fiscal quarter end which occurs on or after the date of the consummation of such Acquisition, provided that the coupon (including the applicable default rate) for each Series of the Notes shall automatically, without further consent or other action of any Person, be deemed to be increased by 0.50% per annum during such period (which increase shall (i) be in addition to the applicable Interest Enhancement Payment that applies during such period or any portion thereof, and (ii) automatically, without further consent or other action of any Person, be deemed to return to the original coupon (including (i) the applicable Interest Enhancement Payment, and (ii) the applicable default rate) after the end of such period);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6A(3).</w:t>
      </w:r>
      <w:r>
        <w:rPr>
          <w:rFonts w:ascii="Times New Roman;Times;serif" w:hAnsi="Times New Roman;Times;serif"/>
          <w:b/>
          <w:sz w:val="22"/>
        </w:rPr>
        <w:t>Priority Debt</w:t>
      </w:r>
      <w:r>
        <w:rPr>
          <w:rFonts w:ascii="Times New Roman;Times;serif" w:hAnsi="Times New Roman;Times;serif"/>
          <w:sz w:val="22"/>
        </w:rPr>
        <w:t xml:space="preserve">.  The Company shall not permit:  (i) the principal amount of Priority Debt at any time to exceed 20% of Consolidated Tangible Assets as of the most recently ended fiscal quarter with respect to which financial statements have been delivered pursuant to the requirements of paragraphs 5A(i) or (ii) of this Agreement or the Prior Agreement; </w:t>
      </w:r>
      <w:r>
        <w:rPr>
          <w:rFonts w:ascii="Times New Roman;Times;serif" w:hAnsi="Times New Roman;Times;serif"/>
          <w:color w:val="FF0000"/>
          <w:sz w:val="22"/>
          <w:u w:val="single"/>
        </w:rPr>
        <w:t>provided</w:t>
      </w:r>
      <w:r>
        <w:rPr>
          <w:rFonts w:ascii="Times New Roman;Times;serif" w:hAnsi="Times New Roman;Times;serif"/>
          <w:color w:val="FF0000"/>
          <w:sz w:val="22"/>
        </w:rPr>
        <w:t>, that such maximum permitted percentage amount of Priority Debt shall be reduced to 17.5% upon the earlier to occur of (a) such time, if any, as the Company or any of its Subsidiaries acquires two new vessels for which the aggregate purchase consideration for each vessel exceeds $100,000,000 and (b) December 31, 2017;</w:t>
      </w:r>
      <w:r>
        <w:rPr>
          <w:rFonts w:ascii="Times New Roman;Times;serif" w:hAnsi="Times New Roman;Times;serif"/>
          <w:sz w:val="20"/>
        </w:rPr>
        <w:t xml:space="preserve"> </w:t>
      </w:r>
      <w:r>
        <w:rPr>
          <w:rFonts w:ascii="Times New Roman;Times;serif" w:hAnsi="Times New Roman;Times;serif"/>
          <w:sz w:val="22"/>
        </w:rPr>
        <w:t>and (ii) the principal amount of Priority Debt that is not Title XI Debt at any time to exceed 10% of Consolidated Tangible Assets as of the most recently ended fiscal quarter with respect to which financial statements have been delivered pursuant to the requirements of paragraphs 5A(i) or (ii) of this Agreement or the Prior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6B.</w:t>
      </w:r>
      <w:r>
        <w:rPr>
          <w:rFonts w:ascii="Times New Roman;Times;serif" w:hAnsi="Times New Roman;Times;serif"/>
          <w:b/>
          <w:sz w:val="22"/>
        </w:rPr>
        <w:t>Restricted Payments Limitation</w:t>
      </w:r>
      <w:r>
        <w:rPr>
          <w:rFonts w:ascii="Times New Roman;Times;serif" w:hAnsi="Times New Roman;Times;serif"/>
          <w:sz w:val="22"/>
        </w:rPr>
        <w:t>.  The Company covenants that it will not pay or declare any dividend on any class of stock or make any other distribution on account of any class of its stock, or redeem, purchase or otherwise acquire (or permit any Subsidiary to redeem, purchase or otherwise acquire), directly or indirectly, any shares of the Company’s stock (all of the foregoing being herein called “</w:t>
      </w:r>
      <w:r>
        <w:rPr>
          <w:rFonts w:ascii="Times New Roman;Times;serif" w:hAnsi="Times New Roman;Times;serif"/>
          <w:b/>
          <w:sz w:val="22"/>
        </w:rPr>
        <w:t>Restricted Payments</w:t>
      </w:r>
      <w:r>
        <w:rPr>
          <w:rFonts w:ascii="Times New Roman;Times;serif" w:hAnsi="Times New Roman;Times;serif"/>
          <w:sz w:val="20"/>
        </w:rPr>
        <w:t>”</w:t>
      </w:r>
      <w:r>
        <w:rPr>
          <w:rFonts w:ascii="Times New Roman;Times;serif" w:hAnsi="Times New Roman;Times;serif"/>
          <w:sz w:val="22"/>
        </w:rPr>
        <w:t>) if at the time any proposed Restricted Payment is to be made, or after giving effect to any proposed Restricted Payment, a Default or an Event of Default exists or would exist.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6C.</w:t>
      </w:r>
      <w:r>
        <w:rPr>
          <w:rFonts w:ascii="Times New Roman;Times;serif" w:hAnsi="Times New Roman;Times;serif"/>
          <w:b/>
          <w:sz w:val="22"/>
        </w:rPr>
        <w:t>Lien and Other Restrictions</w:t>
      </w:r>
      <w:r>
        <w:rPr>
          <w:rFonts w:ascii="Times New Roman;Times;serif" w:hAnsi="Times New Roman;Times;serif"/>
          <w:sz w:val="22"/>
        </w:rPr>
        <w:t>.  The Company covenants that it will not and will not permit any Subsidiary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6C(1).</w:t>
      </w:r>
      <w:r>
        <w:rPr>
          <w:rFonts w:ascii="Times New Roman;Times;serif" w:hAnsi="Times New Roman;Times;serif"/>
          <w:b/>
          <w:sz w:val="22"/>
        </w:rPr>
        <w:t>Liens</w:t>
      </w:r>
      <w:r>
        <w:rPr>
          <w:rFonts w:ascii="Times New Roman;Times;serif" w:hAnsi="Times New Roman;Times;serif"/>
          <w:sz w:val="22"/>
        </w:rPr>
        <w:t>.  Create, assume or suffer to exist any Lien upon any of its property or assets, whether now owned or hereafter acquired (whether or not provision is made for the equal and ratable securing of the obligations evidenced by the Notes and under the other Transaction Documents in accordance with the provisions of paragraph 5G), except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Liens for taxes not yet delinquent or which are being actively contested in good faith by appropriate proceedings and for which adequate reserves have been established to the extent required by GAAP,</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Liens (other than Liens pursuant to ERISA) incidental to the conduct of its business or the ownership of its property and assets which were not incurred in connection with the borrowing of money or the obtaining of advances or credit (including, without limitation, Liens on vessels or equipment (a) for crew and stevedores wages, (b) for salvage and general average, (c) arising by operation of law in the ordinary course of business in operating, maintaining or repairing vessels, and (d) for damages arising from maritime torts which are unclaimed, or which are claimed and are covered by insurance and any deductible applicable thereto), and which do not in the aggregate materially detract from the value of its property or assets or materially impair the use thereof in the operation of its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Liens on property or assets of a Subsidiary securing obligations of such Subsidiary to the Company or another Subsidiary,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Liens encumbering the CCF to the extent incurred to secure the financing by the Company or Matson Navigation of “qualified vessels” as defined in Section 607 of the Merchant Marine Act, 1936, as amended,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 xml:space="preserve">Liens existing on the date of this Agreement and listed on </w:t>
      </w:r>
      <w:r>
        <w:rPr>
          <w:rFonts w:ascii="Times New Roman;Times;serif" w:hAnsi="Times New Roman;Times;serif"/>
          <w:sz w:val="22"/>
          <w:u w:val="single"/>
        </w:rPr>
        <w:t>Schedule 6C(1)</w:t>
      </w:r>
      <w:r>
        <w:rPr>
          <w:rFonts w:ascii="Times New Roman;Times;serif" w:hAnsi="Times New Roman;Times;serif"/>
          <w:sz w:val="22"/>
        </w:rPr>
        <w:t xml:space="preserve">, and any renewals or extensions thereof,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property covered thereby is not changed (except for accessions to such property and the proceeds and the products therefrom) and the principal amount of any indebtedness secured thereby is not increased,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 xml:space="preserve">Liens in cash collateral securing contingent reimbursement obligations under standby letters of credit issued pursuant to the Bank Credit Agreement (but excluding any such Liens required pursuant to Section 8.02(c) of the Bank Credit Agreement, as such section was in effect on </w:t>
      </w:r>
      <w:r>
        <w:rPr>
          <w:rFonts w:ascii="Times New Roman;Times;serif" w:hAnsi="Times New Roman;Times;serif"/>
          <w:color w:val="FF0000"/>
          <w:sz w:val="22"/>
        </w:rPr>
        <w:t>June 4</w:t>
      </w:r>
      <w:r>
        <w:rPr>
          <w:rFonts w:ascii="Times New Roman;Times;serif" w:hAnsi="Times New Roman;Times;serif"/>
          <w:color w:val="0000FF"/>
          <w:sz w:val="22"/>
          <w:u w:val="single"/>
        </w:rPr>
        <w:t>July 23</w:t>
      </w:r>
      <w:r>
        <w:rPr>
          <w:rFonts w:ascii="Times New Roman;Times;serif" w:hAnsi="Times New Roman;Times;serif"/>
          <w:sz w:val="22"/>
        </w:rPr>
        <w:t xml:space="preserve">, </w:t>
      </w:r>
      <w:r>
        <w:rPr>
          <w:rFonts w:ascii="Times New Roman;Times;serif" w:hAnsi="Times New Roman;Times;serif"/>
          <w:color w:val="FF0000"/>
          <w:sz w:val="22"/>
        </w:rPr>
        <w:t>2012</w:t>
      </w:r>
      <w:r>
        <w:rPr>
          <w:rFonts w:ascii="Times New Roman;Times;serif" w:hAnsi="Times New Roman;Times;serif"/>
          <w:color w:val="0000FF"/>
          <w:sz w:val="22"/>
          <w:u w:val="single"/>
        </w:rPr>
        <w:t>2025</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 no Event of Default or Event of Default (as defined in the Bank Credit Agreement) exists, (b) the aggregate amount of all such cash collateral does not at any time exceed $20,000,000, and (c) such cash collateral does not secure such standby letters of credit for more than 60 consecutive days,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w:t>
      </w:r>
      <w:r>
        <w:rPr>
          <w:rFonts w:ascii="Times New Roman;Times;serif" w:hAnsi="Times New Roman;Times;serif"/>
          <w:sz w:val="22"/>
        </w:rPr>
        <w:t xml:space="preserve">other Liens securing Debt and other obligations not otherwise permitted by clauses (i) through (vi) above, inclusive;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aggregate amount of all Priority Debt does not, at any time, exceed the level prohibited by paragraph 6A(3), </w:t>
      </w:r>
      <w:r>
        <w:rPr>
          <w:rFonts w:ascii="Times New Roman;Times;serif" w:hAnsi="Times New Roman;Times;serif"/>
          <w:sz w:val="22"/>
          <w:u w:val="single"/>
        </w:rPr>
        <w:t>provided further</w:t>
      </w:r>
      <w:r>
        <w:rPr>
          <w:rFonts w:ascii="Times New Roman;Times;serif" w:hAnsi="Times New Roman;Times;serif"/>
          <w:sz w:val="20"/>
        </w:rPr>
        <w:t xml:space="preserve"> </w:t>
      </w:r>
      <w:r>
        <w:rPr>
          <w:rFonts w:ascii="Times New Roman;Times;serif" w:hAnsi="Times New Roman;Times;serif"/>
          <w:sz w:val="22"/>
        </w:rPr>
        <w:t xml:space="preserve">that, notwithstanding the foregoing, the Company shall not, and shall not permit any Subsidiary to, create or permit to exist any Lien on any property securing Debt or letters of credit (to the extent any letters of credit otherwise would not constitute Debt pursuant to the definition of such term) outstanding or issued under the Bank Credit Agreement (other than </w:t>
      </w:r>
      <w:r>
        <w:rPr>
          <w:rFonts w:ascii="Times New Roman;Times;serif" w:hAnsi="Times New Roman;Times;serif"/>
          <w:color w:val="FF0000"/>
          <w:sz w:val="22"/>
        </w:rPr>
        <w:t xml:space="preserve">(x) Collateral and/or (y) </w:t>
      </w:r>
      <w:r>
        <w:rPr>
          <w:rFonts w:ascii="Times New Roman;Times;serif" w:hAnsi="Times New Roman;Times;serif"/>
          <w:sz w:val="22"/>
        </w:rPr>
        <w:t>Liens permitted pursuant to clause (vi) of this paragraph 6C(1)) unless and until the Notes shall be secured equally and ratably with such Debt and letters of credit pursuant to an agreement or agreements (including security agreements and similar collateral documents and an intercreditor agreement) reasonably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acceptable to the Required Holders, </w:t>
      </w:r>
      <w:r>
        <w:rPr>
          <w:rFonts w:ascii="Times New Roman;Times;serif" w:hAnsi="Times New Roman;Times;serif"/>
          <w:sz w:val="22"/>
          <w:u w:val="single"/>
        </w:rPr>
        <w:t>provided further still</w:t>
      </w:r>
      <w:r>
        <w:rPr>
          <w:rFonts w:ascii="Times New Roman;Times;serif" w:hAnsi="Times New Roman;Times;serif"/>
          <w:sz w:val="20"/>
        </w:rPr>
        <w:t xml:space="preserve"> </w:t>
      </w:r>
      <w:r>
        <w:rPr>
          <w:rFonts w:ascii="Times New Roman;Times;serif" w:hAnsi="Times New Roman;Times;serif"/>
          <w:sz w:val="22"/>
        </w:rPr>
        <w:t>that, notwithstanding anything to the contrary in the immediately preceding proviso, (1) any cash which otherwise would secure the Notes, the notes issued under any Other Note Agreements, and contingent reimbursement obligations under letters of credit issued pursuant to the Bank Credit Agreement may, at the option of the Company, separately secure the Notes, the notes issued under any Other Note Agreements, and the contingent reimbursement obligations under letters of credit issued pursuant to the Bank Credit Agreement so long as the amount of cash which separately secures the Notes at all times equals the amount of cash securing the contingent reimbursement obligations under letters of credit issued under the Bank Credit Agreement and (2) the amount of any cash securing the Notes at any time pursuant to the immediately preceding clause (1) shall not be required to exceed the principal amount of the Notes outstanding at such time,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(viii)</w:t>
      </w:r>
      <w:r>
        <w:rPr>
          <w:rFonts w:ascii="Times New Roman;Times;serif" w:hAnsi="Times New Roman;Times;serif"/>
          <w:sz w:val="22"/>
        </w:rPr>
        <w:t xml:space="preserve">(a) other Liens securing obligations that do not constitute Debt,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aggregate amount of such obligations </w:t>
      </w:r>
      <w:r>
        <w:rPr>
          <w:rFonts w:ascii="Times New Roman;Times;serif" w:hAnsi="Times New Roman;Times;serif"/>
          <w:color w:val="0000FF"/>
          <w:sz w:val="22"/>
          <w:u w:val="single"/>
        </w:rPr>
        <w:t>at any time outstanding</w:t>
      </w:r>
      <w:r>
        <w:rPr>
          <w:rFonts w:ascii="Times New Roman;Times;serif" w:hAnsi="Times New Roman;Times;serif"/>
          <w:sz w:val="20"/>
        </w:rPr>
        <w:t xml:space="preserve"> </w:t>
      </w:r>
      <w:r>
        <w:rPr>
          <w:rFonts w:ascii="Times New Roman;Times;serif" w:hAnsi="Times New Roman;Times;serif"/>
          <w:sz w:val="22"/>
        </w:rPr>
        <w:t xml:space="preserve">does not exceed </w:t>
      </w:r>
      <w:r>
        <w:rPr>
          <w:rFonts w:ascii="Times New Roman;Times;serif" w:hAnsi="Times New Roman;Times;serif"/>
          <w:color w:val="0000FF"/>
          <w:sz w:val="22"/>
          <w:u w:val="single"/>
        </w:rPr>
        <w:t>the greater of (x)</w:t>
      </w:r>
      <w:r>
        <w:rPr>
          <w:rFonts w:ascii="Times New Roman;Times;serif" w:hAnsi="Times New Roman;Times;serif"/>
          <w:sz w:val="20"/>
        </w:rPr>
        <w:t xml:space="preserve"> </w:t>
      </w:r>
      <w:r>
        <w:rPr>
          <w:rFonts w:ascii="Times New Roman;Times;serif" w:hAnsi="Times New Roman;Times;serif"/>
          <w:sz w:val="22"/>
        </w:rPr>
        <w:t>$</w:t>
      </w:r>
      <w:r>
        <w:rPr>
          <w:rFonts w:ascii="Times New Roman;Times;serif" w:hAnsi="Times New Roman;Times;serif"/>
          <w:color w:val="FF0000"/>
          <w:sz w:val="22"/>
        </w:rPr>
        <w:t>25,000,000 at any time</w:t>
      </w:r>
      <w:r>
        <w:rPr>
          <w:rFonts w:ascii="Times New Roman;Times;serif" w:hAnsi="Times New Roman;Times;serif"/>
          <w:color w:val="0000FF"/>
          <w:sz w:val="22"/>
          <w:u w:val="single"/>
        </w:rPr>
        <w:t>50,000,000 and (y) 5% of Consolidated EBITDA for the most recently ended four fiscal quarters of the Company for which financial statements have been delivered pursuant to this Agreement</w:t>
      </w:r>
      <w:r>
        <w:rPr>
          <w:rFonts w:ascii="Times New Roman;Times;serif" w:hAnsi="Times New Roman;Times;serif"/>
          <w:sz w:val="20"/>
        </w:rPr>
        <w:t xml:space="preserve"> </w:t>
      </w:r>
      <w:r>
        <w:rPr>
          <w:rFonts w:ascii="Times New Roman;Times;serif" w:hAnsi="Times New Roman;Times;serif"/>
          <w:sz w:val="22"/>
        </w:rPr>
        <w:t xml:space="preserve">and (b) other Liens securing obligations that do not constitute Debt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aggregate fair market value (as reasonably determined by the Company acting in good faith) of all assets subject to such </w:t>
      </w:r>
      <w:r>
        <w:rPr>
          <w:rFonts w:ascii="Times New Roman;Times;serif" w:hAnsi="Times New Roman;Times;serif"/>
          <w:color w:val="FF0000"/>
          <w:sz w:val="22"/>
        </w:rPr>
        <w:t>Lien</w:t>
      </w:r>
      <w:r>
        <w:rPr>
          <w:rFonts w:ascii="Times New Roman;Times;serif" w:hAnsi="Times New Roman;Times;serif"/>
          <w:color w:val="0000FF"/>
          <w:sz w:val="22"/>
          <w:u w:val="single"/>
        </w:rPr>
        <w:t>Liens</w:t>
      </w:r>
      <w:r>
        <w:rPr>
          <w:rFonts w:ascii="Times New Roman;Times;serif" w:hAnsi="Times New Roman;Times;serif"/>
          <w:sz w:val="20"/>
        </w:rPr>
        <w:t xml:space="preserve"> </w:t>
      </w:r>
      <w:r>
        <w:rPr>
          <w:rFonts w:ascii="Times New Roman;Times;serif" w:hAnsi="Times New Roman;Times;serif"/>
          <w:sz w:val="22"/>
        </w:rPr>
        <w:t xml:space="preserve">does not </w:t>
      </w:r>
      <w:r>
        <w:rPr>
          <w:rFonts w:ascii="Times New Roman;Times;serif" w:hAnsi="Times New Roman;Times;serif"/>
          <w:color w:val="FF0000"/>
          <w:sz w:val="22"/>
        </w:rPr>
        <w:t>exceed $25,000,000</w:t>
      </w:r>
      <w:r>
        <w:rPr>
          <w:rFonts w:ascii="Times New Roman;Times;serif" w:hAnsi="Times New Roman;Times;serif"/>
          <w:color w:val="0000FF"/>
          <w:sz w:val="22"/>
          <w:u w:val="single"/>
        </w:rPr>
        <w:t>at any time exceed the greater of (x) $50,000,000 and (y) 5% of Consolidated EBITDA for the most recently ended four fiscal quarters of the Company for which financial statements have been delivered pursuant to this Agreement</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(ix)</w:t>
      </w:r>
      <w:r>
        <w:rPr>
          <w:rFonts w:ascii="Times New Roman;Times;serif" w:hAnsi="Times New Roman;Times;serif"/>
          <w:sz w:val="22"/>
        </w:rPr>
        <w:t xml:space="preserve">any Lien securing obligations </w:t>
      </w:r>
      <w:r>
        <w:rPr>
          <w:rFonts w:ascii="Times New Roman;Times;serif" w:hAnsi="Times New Roman;Times;serif"/>
          <w:color w:val="FF0000"/>
          <w:sz w:val="22"/>
        </w:rPr>
        <w:t>that do not constitute Debt</w:t>
      </w:r>
      <w:r>
        <w:rPr>
          <w:rFonts w:ascii="Times New Roman;Times;serif" w:hAnsi="Times New Roman;Times;serif"/>
          <w:sz w:val="20"/>
        </w:rPr>
        <w:t xml:space="preserve"> </w:t>
      </w:r>
      <w:r>
        <w:rPr>
          <w:rFonts w:ascii="Times New Roman;Times;serif" w:hAnsi="Times New Roman;Times;serif"/>
          <w:sz w:val="22"/>
        </w:rPr>
        <w:t xml:space="preserve">existing on any property of any Person at the time it becomes a Subsidiary, or existing prior to the time of acquisition upon any property acquired by the Company or any Subsidiary through purchase, merger or consolidation or otherwise, whether or not assumed by the Company or such Subsidiary;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w:t>
      </w:r>
      <w:r>
        <w:rPr>
          <w:rFonts w:ascii="Times New Roman;Times;serif" w:hAnsi="Times New Roman;Times;serif"/>
          <w:color w:val="0000FF"/>
          <w:sz w:val="22"/>
          <w:u w:val="single"/>
        </w:rPr>
        <w:t xml:space="preserve">(i) </w:t>
      </w:r>
      <w:r>
        <w:rPr>
          <w:rFonts w:ascii="Times New Roman;Times;serif" w:hAnsi="Times New Roman;Times;serif"/>
          <w:sz w:val="22"/>
        </w:rPr>
        <w:t>any such Lien shall not encumber any other property of the Company or such Subsidiary (other than proceeds of such acquired property),</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(ii) the obligations secured by such Lien were not incurred in connection with, or in anticipation or contemplation of, such acquisition or such Person becoming a Subsidiary, and (iii) any such Lien shall not secure the Bank Credit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w:t>
      </w:r>
      <w:r>
        <w:rPr>
          <w:rFonts w:ascii="Times New Roman;Times;serif" w:hAnsi="Times New Roman;Times;serif"/>
          <w:sz w:val="22"/>
        </w:rPr>
        <w:t xml:space="preserve">any Lien existing on any property or assets of Matson Alaska or its Subsidiaries immediately prior to the Horizon Acquisition that secures the Horizon Notes;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Lien shall secure only those obligations that it secures on the date of the Horizon Acquisition, and extensions, renewals and replacements thereof that do not increase the outstanding principal amount thereof,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(xi)</w:t>
      </w:r>
      <w:r>
        <w:rPr>
          <w:rFonts w:ascii="Times New Roman;Times;serif" w:hAnsi="Times New Roman;Times;serif"/>
          <w:sz w:val="22"/>
        </w:rPr>
        <w:t>any Lien created pursuant to any Collateral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6C(2).</w:t>
      </w:r>
      <w:r>
        <w:rPr>
          <w:rFonts w:ascii="Times New Roman;Times;serif" w:hAnsi="Times New Roman;Times;serif"/>
          <w:b/>
          <w:sz w:val="22"/>
        </w:rPr>
        <w:t>Sole Borrower Under Bank Credit Agreement.</w:t>
      </w:r>
      <w:r>
        <w:rPr>
          <w:rFonts w:ascii="Times New Roman;Times;serif" w:hAnsi="Times New Roman;Times;serif"/>
          <w:sz w:val="20"/>
        </w:rPr>
        <w:t xml:space="preserve">  </w:t>
      </w:r>
      <w:r>
        <w:rPr>
          <w:rFonts w:ascii="Times New Roman;Times;serif" w:hAnsi="Times New Roman;Times;serif"/>
          <w:sz w:val="22"/>
        </w:rPr>
        <w:t>Modify the Bank Credit Agreement in any manner that would result in any Person other than the Company being a borrower thereunder;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6C(3).</w:t>
      </w:r>
      <w:r>
        <w:rPr>
          <w:rFonts w:ascii="Times New Roman;Times;serif" w:hAnsi="Times New Roman;Times;serif"/>
          <w:b/>
          <w:sz w:val="22"/>
        </w:rPr>
        <w:t>Merger</w:t>
      </w:r>
      <w:r>
        <w:rPr>
          <w:rFonts w:ascii="Times New Roman;Times;serif" w:hAnsi="Times New Roman;Times;serif"/>
          <w:sz w:val="22"/>
        </w:rPr>
        <w:t xml:space="preserve">.  Enter into any transaction of merger, consolidation or other combination with any other Person;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the Company or any Subsidiary may consummate any merger or consolidation or other combination the sole consequence of which is to (i) reincorporate or reorganize in another jurisdiction in the United States or (ii) with respect to any Subsidiary, change the form of entity;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any Subsidiary may merge with the Company;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Company shall be the continuing or surviving corporation and immediately after such merger no Event of Default shall exist,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 xml:space="preserve">any Subsidiary may merge with another Subsidiary;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a Material Domestic Subsidiary merges with a Foreign Subsidiary, such Material Domestic Subsidiary shall be the surviving Person and immediately after such merger no Event of Default shall exist,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 xml:space="preserve">the Company or any Subsidiary may merge, consolidate or combine with any other Person in connection with an Acquisition permitted by paragraph 6C(6)(ii);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 immediately after such merger, consolidation or combination, no Event of Default shall exist and (b) if the Company is a party to such transaction, the Company will be the continuing or surviving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6C(4).</w:t>
      </w:r>
      <w:r>
        <w:rPr>
          <w:rFonts w:ascii="Times New Roman;Times;serif" w:hAnsi="Times New Roman;Times;serif"/>
          <w:b/>
          <w:sz w:val="22"/>
        </w:rPr>
        <w:t>Sale of Capital Assets</w:t>
      </w:r>
      <w:r>
        <w:rPr>
          <w:rFonts w:ascii="Times New Roman;Times;serif" w:hAnsi="Times New Roman;Times;serif"/>
          <w:sz w:val="22"/>
        </w:rPr>
        <w:t>.  Sell, lease or transfer or otherwise dispose of any Capital Asset to any Person, except that (i) any Credit Party may sell or otherwise dispose of any Capital Asset to any other Credit Party, (ii) any Subsidiary that is not a Credit Party may sell or otherwise dispose of any Capital Asset to the Company or any other Subsidiary</w:t>
      </w:r>
      <w:r>
        <w:rPr>
          <w:rFonts w:ascii="Times New Roman;Times;serif" w:hAnsi="Times New Roman;Times;serif"/>
          <w:color w:val="FF0000"/>
          <w:sz w:val="20"/>
        </w:rPr>
        <w:t xml:space="preserve"> </w:t>
      </w:r>
      <w:r>
        <w:rPr>
          <w:rFonts w:ascii="Times New Roman;Times;serif" w:hAnsi="Times New Roman;Times;serif"/>
          <w:color w:val="FF0000"/>
          <w:sz w:val="22"/>
        </w:rPr>
        <w:t>and</w:t>
      </w:r>
      <w:r>
        <w:rPr>
          <w:rFonts w:ascii="Times New Roman;Times;serif" w:hAnsi="Times New Roman;Times;serif"/>
          <w:color w:val="0000FF"/>
          <w:sz w:val="22"/>
          <w:u w:val="single"/>
        </w:rPr>
        <w:t>,</w:t>
      </w:r>
      <w:r>
        <w:rPr>
          <w:rFonts w:ascii="Times New Roman;Times;serif" w:hAnsi="Times New Roman;Times;serif"/>
          <w:sz w:val="20"/>
        </w:rPr>
        <w:t xml:space="preserve"> </w:t>
      </w:r>
      <w:r>
        <w:rPr>
          <w:rFonts w:ascii="Times New Roman;Times;serif" w:hAnsi="Times New Roman;Times;serif"/>
          <w:sz w:val="22"/>
        </w:rPr>
        <w:t>(iii</w:t>
      </w:r>
      <w:r>
        <w:rPr>
          <w:rFonts w:ascii="Times New Roman;Times;serif" w:hAnsi="Times New Roman;Times;serif"/>
          <w:color w:val="0000FF"/>
          <w:sz w:val="22"/>
          <w:u w:val="single"/>
        </w:rPr>
        <w:t>) the Company or any Subsidiary may sell or dispose of any obsolete, worn out or surplus property in the ordinary course of business (other than Vessels) and (iv</w:t>
      </w:r>
      <w:r>
        <w:rPr>
          <w:rFonts w:ascii="Times New Roman;Times;serif" w:hAnsi="Times New Roman;Times;serif"/>
          <w:sz w:val="22"/>
        </w:rPr>
        <w:t xml:space="preserve">) during any rolling twelve-month period, the Company or any Subsidiary may sell or otherwise dispose of Capital Assets which constituted up to 10% of the total value of the consolidated assets of Matson Navigation and its Subsidiaries as of December 31, </w:t>
      </w:r>
      <w:r>
        <w:rPr>
          <w:rFonts w:ascii="Times New Roman;Times;serif" w:hAnsi="Times New Roman;Times;serif"/>
          <w:color w:val="FF0000"/>
          <w:sz w:val="22"/>
        </w:rPr>
        <w:t>2020</w:t>
      </w:r>
      <w:r>
        <w:rPr>
          <w:rFonts w:ascii="Times New Roman;Times;serif" w:hAnsi="Times New Roman;Times;serif"/>
          <w:color w:val="0000FF"/>
          <w:sz w:val="22"/>
          <w:u w:val="single"/>
        </w:rPr>
        <w:t>2024</w:t>
      </w:r>
      <w:r>
        <w:rPr>
          <w:rFonts w:ascii="Times New Roman;Times;serif" w:hAnsi="Times New Roman;Times;serif"/>
          <w:sz w:val="22"/>
        </w:rPr>
        <w:t xml:space="preserve">, so long as such Capital Assets, when considered together with all other Capital Assets sold or otherwise disposed of subsequent to December 31, </w:t>
      </w:r>
      <w:r>
        <w:rPr>
          <w:rFonts w:ascii="Times New Roman;Times;serif" w:hAnsi="Times New Roman;Times;serif"/>
          <w:color w:val="FF0000"/>
          <w:sz w:val="22"/>
        </w:rPr>
        <w:t>2020</w:t>
      </w:r>
      <w:r>
        <w:rPr>
          <w:rFonts w:ascii="Times New Roman;Times;serif" w:hAnsi="Times New Roman;Times;serif"/>
          <w:color w:val="0000FF"/>
          <w:sz w:val="22"/>
          <w:u w:val="single"/>
        </w:rPr>
        <w:t>2024</w:t>
      </w:r>
      <w:r>
        <w:rPr>
          <w:rFonts w:ascii="Times New Roman;Times;serif" w:hAnsi="Times New Roman;Times;serif"/>
          <w:sz w:val="22"/>
        </w:rPr>
        <w:t xml:space="preserve">, do not constitute in excess of 30% of the total value of the consolidated assets of Matson Navigation and its Subsidiaries as of December 31, </w:t>
      </w:r>
      <w:r>
        <w:rPr>
          <w:rFonts w:ascii="Times New Roman;Times;serif" w:hAnsi="Times New Roman;Times;serif"/>
          <w:color w:val="FF0000"/>
          <w:sz w:val="22"/>
        </w:rPr>
        <w:t>2020</w:t>
      </w:r>
      <w:r>
        <w:rPr>
          <w:rFonts w:ascii="Times New Roman;Times;serif" w:hAnsi="Times New Roman;Times;serif"/>
          <w:color w:val="0000FF"/>
          <w:sz w:val="22"/>
          <w:u w:val="single"/>
        </w:rPr>
        <w:t>2024</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to the extent that the Company and its Subsidiaries have reinvested the net cash proceeds from any such sale in Capital Assets within </w:t>
      </w:r>
      <w:r>
        <w:rPr>
          <w:rFonts w:ascii="Times New Roman;Times;serif" w:hAnsi="Times New Roman;Times;serif"/>
          <w:color w:val="FF0000"/>
          <w:sz w:val="22"/>
        </w:rPr>
        <w:t>twelve</w:t>
      </w:r>
      <w:r>
        <w:rPr>
          <w:rFonts w:ascii="Times New Roman;Times;serif" w:hAnsi="Times New Roman;Times;serif"/>
          <w:color w:val="0000FF"/>
          <w:sz w:val="22"/>
          <w:u w:val="single"/>
        </w:rPr>
        <w:t>eighteen</w:t>
      </w:r>
      <w:r>
        <w:rPr>
          <w:rFonts w:ascii="Times New Roman;Times;serif" w:hAnsi="Times New Roman;Times;serif"/>
          <w:sz w:val="20"/>
        </w:rPr>
        <w:t xml:space="preserve"> </w:t>
      </w:r>
      <w:r>
        <w:rPr>
          <w:rFonts w:ascii="Times New Roman;Times;serif" w:hAnsi="Times New Roman;Times;serif"/>
          <w:sz w:val="22"/>
        </w:rPr>
        <w:t>(</w:t>
      </w:r>
      <w:r>
        <w:rPr>
          <w:rFonts w:ascii="Times New Roman;Times;serif" w:hAnsi="Times New Roman;Times;serif"/>
          <w:color w:val="FF0000"/>
          <w:sz w:val="22"/>
        </w:rPr>
        <w:t>12</w:t>
      </w:r>
      <w:r>
        <w:rPr>
          <w:rFonts w:ascii="Times New Roman;Times;serif" w:hAnsi="Times New Roman;Times;serif"/>
          <w:color w:val="0000FF"/>
          <w:sz w:val="22"/>
          <w:u w:val="single"/>
        </w:rPr>
        <w:t>18</w:t>
      </w:r>
      <w:r>
        <w:rPr>
          <w:rFonts w:ascii="Times New Roman;Times;serif" w:hAnsi="Times New Roman;Times;serif"/>
          <w:sz w:val="22"/>
        </w:rPr>
        <w:t xml:space="preserve">) months of the date of such sale, or have committed to so reinvest such net cash proceeds by the end of such </w:t>
      </w:r>
      <w:r>
        <w:rPr>
          <w:rFonts w:ascii="Times New Roman;Times;serif" w:hAnsi="Times New Roman;Times;serif"/>
          <w:color w:val="FF0000"/>
          <w:sz w:val="22"/>
        </w:rPr>
        <w:t>twelve-month</w:t>
      </w:r>
      <w:r>
        <w:rPr>
          <w:rFonts w:ascii="Times New Roman;Times;serif" w:hAnsi="Times New Roman;Times;serif"/>
          <w:color w:val="0000FF"/>
          <w:sz w:val="22"/>
          <w:u w:val="single"/>
        </w:rPr>
        <w:t>eighteen-month</w:t>
      </w:r>
      <w:r>
        <w:rPr>
          <w:rFonts w:ascii="Times New Roman;Times;serif" w:hAnsi="Times New Roman;Times;serif"/>
          <w:sz w:val="20"/>
        </w:rPr>
        <w:t xml:space="preserve"> </w:t>
      </w:r>
      <w:r>
        <w:rPr>
          <w:rFonts w:ascii="Times New Roman;Times;serif" w:hAnsi="Times New Roman;Times;serif"/>
          <w:sz w:val="22"/>
        </w:rPr>
        <w:t xml:space="preserve">period and have actually reinvested such net cash proceeds within </w:t>
      </w:r>
      <w:r>
        <w:rPr>
          <w:rFonts w:ascii="Times New Roman;Times;serif" w:hAnsi="Times New Roman;Times;serif"/>
          <w:color w:val="FF0000"/>
          <w:sz w:val="22"/>
        </w:rPr>
        <w:t>eighteen</w:t>
      </w:r>
      <w:r>
        <w:rPr>
          <w:rFonts w:ascii="Times New Roman;Times;serif" w:hAnsi="Times New Roman;Times;serif"/>
          <w:color w:val="0000FF"/>
          <w:sz w:val="22"/>
          <w:u w:val="single"/>
        </w:rPr>
        <w:t>twenty-four</w:t>
      </w:r>
      <w:r>
        <w:rPr>
          <w:rFonts w:ascii="Times New Roman;Times;serif" w:hAnsi="Times New Roman;Times;serif"/>
          <w:sz w:val="20"/>
        </w:rPr>
        <w:t xml:space="preserve"> </w:t>
      </w:r>
      <w:r>
        <w:rPr>
          <w:rFonts w:ascii="Times New Roman;Times;serif" w:hAnsi="Times New Roman;Times;serif"/>
          <w:sz w:val="22"/>
        </w:rPr>
        <w:t>(</w:t>
      </w:r>
      <w:r>
        <w:rPr>
          <w:rFonts w:ascii="Times New Roman;Times;serif" w:hAnsi="Times New Roman;Times;serif"/>
          <w:color w:val="FF0000"/>
          <w:sz w:val="22"/>
        </w:rPr>
        <w:t>18</w:t>
      </w:r>
      <w:r>
        <w:rPr>
          <w:rFonts w:ascii="Times New Roman;Times;serif" w:hAnsi="Times New Roman;Times;serif"/>
          <w:color w:val="0000FF"/>
          <w:sz w:val="22"/>
          <w:u w:val="single"/>
        </w:rPr>
        <w:t>24</w:t>
      </w:r>
      <w:r>
        <w:rPr>
          <w:rFonts w:ascii="Times New Roman;Times;serif" w:hAnsi="Times New Roman;Times;serif"/>
          <w:sz w:val="22"/>
        </w:rPr>
        <w:t xml:space="preserve">) months of the date of such sale, the amount of such reinvested net cash proceeds shall not constitute utilization of the foregoing 30% limitation;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this covenant shall not apply to any Lien permitted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6C(5).</w:t>
      </w:r>
      <w:r>
        <w:rPr>
          <w:rFonts w:ascii="Times New Roman;Times;serif" w:hAnsi="Times New Roman;Times;serif"/>
          <w:b/>
          <w:sz w:val="22"/>
        </w:rPr>
        <w:t>Transactions with Affiliates</w:t>
      </w:r>
      <w:r>
        <w:rPr>
          <w:rFonts w:ascii="Times New Roman;Times;serif" w:hAnsi="Times New Roman;Times;serif"/>
          <w:color w:val="FF0000"/>
          <w:sz w:val="20"/>
        </w:rPr>
        <w:t xml:space="preserve"> </w:t>
      </w:r>
      <w:r>
        <w:rPr>
          <w:rFonts w:ascii="Times New Roman;Times;serif" w:hAnsi="Times New Roman;Times;serif"/>
          <w:b/>
          <w:color w:val="FF0000"/>
          <w:sz w:val="22"/>
        </w:rPr>
        <w:t>and Stockholders</w:t>
      </w:r>
      <w:r>
        <w:rPr>
          <w:rFonts w:ascii="Times New Roman;Times;serif" w:hAnsi="Times New Roman;Times;serif"/>
          <w:sz w:val="22"/>
        </w:rPr>
        <w:t xml:space="preserve">.  Directly or indirectly, purchase, acquire or lease any property from, or sell, transfer or lease any property to, or otherwise deal with, in the ordinary course of business or otherwise </w:t>
      </w:r>
      <w:r>
        <w:rPr>
          <w:rFonts w:ascii="Times New Roman;Times;serif" w:hAnsi="Times New Roman;Times;serif"/>
          <w:color w:val="FF0000"/>
          <w:sz w:val="22"/>
        </w:rPr>
        <w:t>(i) </w:t>
      </w:r>
      <w:r>
        <w:rPr>
          <w:rFonts w:ascii="Times New Roman;Times;serif" w:hAnsi="Times New Roman;Times;serif"/>
          <w:sz w:val="22"/>
        </w:rPr>
        <w:t>any Affiliate (excluding directors and officers in their capacity as such</w:t>
      </w:r>
      <w:r>
        <w:rPr>
          <w:rFonts w:ascii="Times New Roman;Times;serif" w:hAnsi="Times New Roman;Times;serif"/>
          <w:color w:val="FF0000"/>
          <w:sz w:val="22"/>
        </w:rPr>
        <w:t>), (ii) any Person owning, beneficially or of record, directly or indirectly, either individually or together with all other Persons to whom such Person is related by blood,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color w:val="FF0000"/>
          <w:sz w:val="22"/>
        </w:rPr>
        <w:t>adoption or marriage, stock of the Company or stock of any Person owning stock of the Company (of any class having ordinary voting power for the election of directors) aggregating 5% or more of such voting power or (iii) any Person related by blood, adoption or marriage to any Person described or coming within the provisions of clause (i) or (ii) of this paragraph 6C(5</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following shall be permitted:  (a) such transactions on terms no less favorable to the Company or any Subsidiary than if no such relationship existed, (b) the sale or issuance by the Company of its capital stock, (c) transactions between the Company and any Subsidiary, and between or among Subsidiaries of the Company and (d) Restricted Payments made in compliance with paragraph 6B;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6C(6).</w:t>
      </w:r>
      <w:r>
        <w:rPr>
          <w:rFonts w:ascii="Times New Roman;Times;serif" w:hAnsi="Times New Roman;Times;serif"/>
          <w:b/>
          <w:sz w:val="22"/>
        </w:rPr>
        <w:t>Loans, Advances and Investments</w:t>
      </w:r>
      <w:r>
        <w:rPr>
          <w:rFonts w:ascii="Times New Roman;Times;serif" w:hAnsi="Times New Roman;Times;serif"/>
          <w:sz w:val="22"/>
        </w:rPr>
        <w:t>.  Make or permit to remain outstanding any loan or advance to, or own, purchase or acquire any stock, obligations or securities of, or any other interest in, or make any capital contribution to, any Person, or consummate any Acquisition, except that the Company or any Subsidiary may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make or permit to remain outstanding loans or advances to the Company or any Subsidiary,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own, purchase or acquire stock, obligations or securities of a Subsidiary and, so long as the Company is in compliance with the financial covenants set forth in paragraph 6A on a pro-forma basis immediately after giving effect to such transaction, consummate Acquisitions,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acquire and own stock, obligations, securities or other investments (a) consisting of extensions of credit arising from the grant of trade credit, or received in settlement or partial settlement thereof of obligations (including any Debt or trade credit) owing to the Company or any Subsidiary or (b) received in satisfaction of judgments or pursuant to any plan of reorganization or similar arrangement upon the bankruptcy or insolvency of trade creditors or account debtors,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 xml:space="preserve">make investments in accordance with the resolutions of the Board of Directors of the Company;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resolutions authorize only investments rated investment grade by S&amp;P, Moody’s, or any other nationally recognized credit rating agency or investments in the Company’s accounts receivable purchased or held by the CCF,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make any investment in any stock, obligations or securities of, or any other interest in, or any capital contribution to, an Eligible Business Line (subject in the case of any Acquisition, to paragraph 6C(6)(ii)),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 xml:space="preserve">make other investments, loans and advances which in the aggregate (at original cost) </w:t>
      </w:r>
      <w:r>
        <w:rPr>
          <w:rFonts w:ascii="Times New Roman;Times;serif" w:hAnsi="Times New Roman;Times;serif"/>
          <w:color w:val="FF0000"/>
          <w:sz w:val="22"/>
        </w:rPr>
        <w:t xml:space="preserve">do not exceed $50,000,000 </w:t>
      </w:r>
      <w:r>
        <w:rPr>
          <w:rFonts w:ascii="Times New Roman;Times;serif" w:hAnsi="Times New Roman;Times;serif"/>
          <w:sz w:val="22"/>
        </w:rPr>
        <w:t>at any time outstanding</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do not exceed the greater of (x) $250,000,000 and (y) 25% of Consolidated EBITDA for the most recently ended four fiscal quarters of the Company for which financial statements have been delivered pursuant to this Agreement</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notwithstanding the foregoing, (a) amounts in the CCF may be invested only as provided in clause (iv) above, and (b) for the avoidance of doubt, this paragraph 6C(6) shall not apply to any Guarantee.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6D.</w:t>
      </w:r>
      <w:r>
        <w:rPr>
          <w:rFonts w:ascii="Times New Roman;Times;serif" w:hAnsi="Times New Roman;Times;serif"/>
          <w:b/>
          <w:sz w:val="22"/>
        </w:rPr>
        <w:t>Economic Sanctions, Etc</w:t>
      </w:r>
      <w:r>
        <w:rPr>
          <w:rFonts w:ascii="Times New Roman;Times;serif" w:hAnsi="Times New Roman;Times;serif"/>
          <w:sz w:val="22"/>
        </w:rPr>
        <w:t>.  The Company will not, and will not permit any Controlled Entity to (a) become (including by virtue of being owned or controlled by a Blocked Person), own or control a Blocked Person or (b) directly or indirectly (and, with respect to clause (ii) of this sentence, knowingly after due inquiry) have any investment in or engage in any dealing or transaction (including any investment, dealing or transaction involving the proceeds of the Notes) with any Person if such investment, dealing or transaction (i) would cause any holder of a Note or any affiliate of such holder to be in violation of, or subject to sanctions under, any United States law or regulation concerning or relating to economic sanctions applicable to such holder (assuming, to the extent relevant, such holder or affiliate is not otherwise in violation of, or subject to sanctions under, any such law or regulation), or (ii) is prohibited by or subject to sanctions under any U.S. Economic Sanctions Laws, unless such Person has obtained all necessary general or specific licenses in respect of such investment, dealing or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000FF"/>
          <w:sz w:val="22"/>
        </w:rPr>
        <w:t>6E.</w:t>
      </w:r>
      <w:r>
        <w:rPr>
          <w:rFonts w:ascii="Times New Roman;Times;serif" w:hAnsi="Times New Roman;Times;serif"/>
          <w:b/>
          <w:color w:val="0000FF"/>
          <w:sz w:val="22"/>
        </w:rPr>
        <w:t>Non-Guarantor Subsidiaries</w:t>
      </w:r>
      <w:r>
        <w:rPr>
          <w:rFonts w:ascii="Times New Roman;Times;serif" w:hAnsi="Times New Roman;Times;serif"/>
          <w:color w:val="0000FF"/>
          <w:sz w:val="22"/>
          <w:u w:val="single"/>
        </w:rPr>
        <w:t>.  Notwithstanding anything contained herein or in any other Transaction Documents or Collateral Documents to the contrary, the Company will not, and will not permit any Subsidiary to cause or permit any Subsidiary that is not a Guarantor to hold a Lien on any assets of the Company or any Guarantor.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000FF"/>
          <w:sz w:val="22"/>
        </w:rPr>
        <w:t>6F.</w:t>
      </w:r>
      <w:r>
        <w:rPr>
          <w:rFonts w:ascii="Times New Roman;Times;serif" w:hAnsi="Times New Roman;Times;serif"/>
          <w:color w:val="0000FF"/>
          <w:sz w:val="20"/>
          <w:u w:val="single"/>
        </w:rPr>
        <w:t xml:space="preserve"> </w:t>
      </w:r>
      <w:r>
        <w:rPr>
          <w:rFonts w:ascii="Times New Roman;Times;serif" w:hAnsi="Times New Roman;Times;serif"/>
          <w:b/>
          <w:color w:val="0000FF"/>
          <w:sz w:val="22"/>
        </w:rPr>
        <w:t>Outbound Investment Rules</w:t>
      </w:r>
      <w:r>
        <w:rPr>
          <w:rFonts w:ascii="Times New Roman;Times;serif" w:hAnsi="Times New Roman;Times;serif"/>
          <w:color w:val="0000FF"/>
          <w:sz w:val="22"/>
          <w:u w:val="single"/>
        </w:rPr>
        <w:t>. The Company and each Subsidiary shall not, directly or indirectly (a) be or become a “covered foreign person”, as that term is defined in the Outbound Investment Rules, or (b) engage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or such Subsidiary were a United States Person, or (iii) any other activity that would cause the Collateral Agent or any holder of the Notes to be in violation of the Outbound Investment Rules or cause the Collateral Agent or any holder of the Notes to be legally prohibited by the Outbound Investment Rules from performing under this Agreement or any other Transaction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w:t>
      </w:r>
      <w:r>
        <w:rPr>
          <w:rFonts w:ascii="Times New Roman;Times;serif" w:hAnsi="Times New Roman;Times;serif"/>
          <w:b/>
          <w:sz w:val="22"/>
        </w:rPr>
        <w:t>EVENTS OF DEFAULT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7A.</w:t>
      </w:r>
      <w:r>
        <w:rPr>
          <w:rFonts w:ascii="Times New Roman;Times;serif" w:hAnsi="Times New Roman;Times;serif"/>
          <w:b/>
          <w:sz w:val="22"/>
        </w:rPr>
        <w:t>Acceleration</w:t>
      </w:r>
      <w:r>
        <w:rPr>
          <w:rFonts w:ascii="Times New Roman;Times;serif" w:hAnsi="Times New Roman;Times;serif"/>
          <w:sz w:val="22"/>
        </w:rPr>
        <w:t>.  If any of the following events shall occur and be continuing for any reason whatsoever (and whether such occurrence shall be voluntary or involuntary or come about or be effected by operation of law or otherwise):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the Company defaults in the payment of (i) any principal of, or Yield-Maintenance Amount in respect of, any Note, or (ii) any interest on any Note for more than five days after the same shall become due, in either case either by the terms thereof or otherwise as herein provided;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(a) an Event of Default (as defined in the Bank Credit Agreement) has occurred and is continuing under the Bank Credit Agreement, or (b) the Company or any Material Subsidiary defaults in any payment of principal of, or premium or interest on,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Debt (other than the Notes) beyond any period of grace provided with respect thereto, or the Company or any Material Subsidiary fails to perform or observe any other agreement, term or condition contained in any agreement relating to any such Debt (or any other event under any such agreement occurs and is continuing) and the effect of such default, failure or other event is to cause, or permit the holder or holders of such Debt (or a trustee on behalf of such holder or holders) to cause, such Debt to become due (or to be required to be repurchased by the Company or any </w:t>
      </w:r>
      <w:r>
        <w:rPr>
          <w:rFonts w:ascii="Times New Roman;Times;serif" w:hAnsi="Times New Roman;Times;serif"/>
          <w:color w:val="FF0000"/>
          <w:sz w:val="22"/>
        </w:rPr>
        <w:t xml:space="preserve">Material </w:t>
      </w:r>
      <w:r>
        <w:rPr>
          <w:rFonts w:ascii="Times New Roman;Times;serif" w:hAnsi="Times New Roman;Times;serif"/>
          <w:sz w:val="22"/>
        </w:rPr>
        <w:t xml:space="preserve">Subsidiary) prior to any stated maturity;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aggregate amount of all Debt </w:t>
      </w:r>
      <w:r>
        <w:rPr>
          <w:rFonts w:ascii="Times New Roman;Times;serif" w:hAnsi="Times New Roman;Times;serif"/>
          <w:color w:val="0000FF"/>
          <w:sz w:val="22"/>
          <w:u w:val="single"/>
        </w:rPr>
        <w:t>described in this clause (b)</w:t>
      </w:r>
      <w:r>
        <w:rPr>
          <w:rFonts w:ascii="Times New Roman;Times;serif" w:hAnsi="Times New Roman;Times;serif"/>
          <w:sz w:val="20"/>
        </w:rPr>
        <w:t xml:space="preserve"> </w:t>
      </w:r>
      <w:r>
        <w:rPr>
          <w:rFonts w:ascii="Times New Roman;Times;serif" w:hAnsi="Times New Roman;Times;serif"/>
          <w:sz w:val="22"/>
        </w:rPr>
        <w:t xml:space="preserve">as to which such a payment default shall occur or such a failure or other event causing or permitting acceleration (or resale to a Company or any Material Subsidiary) shall occur and be continuing exceeds </w:t>
      </w:r>
      <w:r>
        <w:rPr>
          <w:rFonts w:ascii="Times New Roman;Times;serif" w:hAnsi="Times New Roman;Times;serif"/>
          <w:color w:val="0000FF"/>
          <w:sz w:val="22"/>
          <w:u w:val="single"/>
        </w:rPr>
        <w:t>the greater of (x)</w:t>
      </w:r>
      <w:r>
        <w:rPr>
          <w:rFonts w:ascii="Times New Roman;Times;serif" w:hAnsi="Times New Roman;Times;serif"/>
          <w:sz w:val="20"/>
        </w:rPr>
        <w:t xml:space="preserve"> </w:t>
      </w:r>
      <w:r>
        <w:rPr>
          <w:rFonts w:ascii="Times New Roman;Times;serif" w:hAnsi="Times New Roman;Times;serif"/>
          <w:sz w:val="22"/>
        </w:rPr>
        <w:t>$</w:t>
      </w:r>
      <w:r>
        <w:rPr>
          <w:rFonts w:ascii="Times New Roman;Times;serif" w:hAnsi="Times New Roman;Times;serif"/>
          <w:color w:val="FF0000"/>
          <w:sz w:val="22"/>
        </w:rPr>
        <w:t>50,000,000</w:t>
      </w:r>
      <w:r>
        <w:rPr>
          <w:rFonts w:ascii="Times New Roman;Times;serif" w:hAnsi="Times New Roman;Times;serif"/>
          <w:color w:val="0000FF"/>
          <w:sz w:val="22"/>
          <w:u w:val="single"/>
        </w:rPr>
        <w:t>75,000,000 and (y) 5% of Consolidated EBITDA for the most recently completed four fiscal quarters for which financial statements have been delivered pursuant to this Agreement</w:t>
      </w:r>
      <w:r>
        <w:rPr>
          <w:rFonts w:ascii="Times New Roman;Times;serif" w:hAnsi="Times New Roman;Times;serif"/>
          <w:sz w:val="22"/>
        </w:rPr>
        <w: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any representation or warranty made by any Credit Party herein or in any other Transaction Document or by any Credit Party or any of its officers in any writing furnished in connection with or pursuant to this Agreement or any other Transaction Document shall be false or misleading in any material respect on the date as of which made;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the Company fails to perform or observe any agreement contained in paragraph 5H or paragraph 6 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any Credit Party fails to perform or observe any other agreement, term or condition (not specified in clauses (i) or (iv) of this paragraph 7A) contained in any Transaction Document on its part to be performed or observed and such failure shall not be remedied within 30 days after any Responsible Officer obtains actual knowledge thereof;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any Credit Party or any Material Subsidiary makes an assignment for the benefit of creditors or is generally not paying its debts as such debts become due;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w:t>
      </w:r>
      <w:r>
        <w:rPr>
          <w:rFonts w:ascii="Times New Roman;Times;serif" w:hAnsi="Times New Roman;Times;serif"/>
          <w:sz w:val="22"/>
        </w:rPr>
        <w:t>any decree or order for relief in respect of any Credit Party or any Material Subsidiary is entered under any bankruptcy, reorganization, compromise, arrangement, insolvency, readjustment of debt, dissolution, liquidation or similar debtor relief law, whether now or hereafter in effect (herein called the “</w:t>
      </w:r>
      <w:r>
        <w:rPr>
          <w:rFonts w:ascii="Times New Roman;Times;serif" w:hAnsi="Times New Roman;Times;serif"/>
          <w:b/>
          <w:sz w:val="22"/>
        </w:rPr>
        <w:t>Bankruptcy Law</w:t>
      </w:r>
      <w:r>
        <w:rPr>
          <w:rFonts w:ascii="Times New Roman;Times;serif" w:hAnsi="Times New Roman;Times;serif"/>
          <w:sz w:val="20"/>
        </w:rPr>
        <w:t>”</w:t>
      </w:r>
      <w:r>
        <w:rPr>
          <w:rFonts w:ascii="Times New Roman;Times;serif" w:hAnsi="Times New Roman;Times;serif"/>
          <w:sz w:val="22"/>
        </w:rPr>
        <w:t>), of the United States or another applicable jurisdiction;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(viii)</w:t>
      </w:r>
      <w:r>
        <w:rPr>
          <w:rFonts w:ascii="Times New Roman;Times;serif" w:hAnsi="Times New Roman;Times;serif"/>
          <w:sz w:val="22"/>
        </w:rPr>
        <w:t>any Credit Party or any Material Subsidiary petitions or applies to any tribunal for, or consents to, the appointment of, or taking possession by, a trustee, receiver, custodian, liquidator or similar official of any such Credit Party or any such Material Subsidiary, or of any substantial part of the assets of any such Credit Party or any such Material Subsidiary, or commences a voluntary case under the Bankruptcy Law of the United States or any proceedings (other than proceedings for the voluntary liquidation and dissolution of a Material Subsidiary) relating to any Credit Party or any Material Subsidiary under the Bankruptcy Law of any other jurisdiction;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(ix)</w:t>
      </w:r>
      <w:r>
        <w:rPr>
          <w:rFonts w:ascii="Times New Roman;Times;serif" w:hAnsi="Times New Roman;Times;serif"/>
          <w:sz w:val="22"/>
        </w:rPr>
        <w:t>any petition or application of the type described in clause (viii) of this paragraph 7A is filed, or any such proceedings are commenced, against any Credit Party or any Material Subsidiary and such Credit Party or such Material Subsidiary by any act indicates its approval thereof, consent thereto or acquiescence therein, or an order, judgment or decree is entered appointing any such trustee, receiver, custodian, liquidator or similar official, or approving the petition in any such proceedings, and such order, judgment or decree remains unstayed and in effect for more than 30 days;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w:t>
      </w:r>
      <w:r>
        <w:rPr>
          <w:rFonts w:ascii="Times New Roman;Times;serif" w:hAnsi="Times New Roman;Times;serif"/>
          <w:sz w:val="22"/>
        </w:rPr>
        <w:t>any order, judgment or decree is entered in any proceedings against any Credit Party decreeing the dissolution of such Credit Party and such order, judgment or decree remains unstayed and in effect for more than 30 days;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(xi)</w:t>
      </w:r>
      <w:r>
        <w:rPr>
          <w:rFonts w:ascii="Times New Roman;Times;serif" w:hAnsi="Times New Roman;Times;serif"/>
          <w:sz w:val="20"/>
        </w:rPr>
        <w:t xml:space="preserve"> </w:t>
      </w:r>
      <w:r>
        <w:rPr>
          <w:rFonts w:ascii="Times New Roman;Times;serif" w:hAnsi="Times New Roman;Times;serif"/>
          <w:sz w:val="22"/>
        </w:rPr>
        <w:t>(a) any Plan shall fail to satisfy the minimum funding standards of ERISA or the Code for any plan year or part thereof or a waiver of such standards or extension of any amortization period is sought or granted under section 412 of the Code, (b) a notice of intent to terminate any Plan shall have been or is reasonably expected to be filed with the PBCG or the PBGC shall have instituted proceedings under ERISA section 4042 to terminate or appoint a trustee to administer any Plan or the PBGC shall have notified the Company or any ERISA Affiliate that a Plan may become a subject of such proceedings, (c) the aggregate amount under all Plans of the fair market value of the assets (within the meaning of section 303 of ERISA) is less than 70% of the “</w:t>
      </w:r>
      <w:r>
        <w:rPr>
          <w:rFonts w:ascii="Times New Roman;Times;serif" w:hAnsi="Times New Roman;Times;serif"/>
          <w:b/>
          <w:sz w:val="22"/>
        </w:rPr>
        <w:t>Funding Target</w:t>
      </w:r>
      <w:r>
        <w:rPr>
          <w:rFonts w:ascii="Times New Roman;Times;serif" w:hAnsi="Times New Roman;Times;serif"/>
          <w:sz w:val="20"/>
        </w:rPr>
        <w:t xml:space="preserve">” </w:t>
      </w:r>
      <w:r>
        <w:rPr>
          <w:rFonts w:ascii="Times New Roman;Times;serif" w:hAnsi="Times New Roman;Times;serif"/>
          <w:sz w:val="22"/>
        </w:rPr>
        <w:t>(within the meaning of section 303 of ERISA), (d) the Company or any ERISA Affiliate shall have incurred or is reasonably expected to incur any liability pursuant to Title I or IV or ERISA or the penalty or excise tax provisions of the Code relating to employee benefit plans, (e) the Company or any ERISA Affiliate withdraws from any Multiemployer Plan, or (f) the Company or any Subsidiary establishes or amends any employee welfare benefit plan that provides post-employment welfare benefits in a manner that would increase the liability of the Company or any Subsidiary thereunder; and any such event or events described in clauses (a) through (f) above, either individually or together with any other such event or events, could reasonably be expected to have a Material Adverse Effect;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(xii)</w:t>
      </w:r>
      <w:r>
        <w:rPr>
          <w:rFonts w:ascii="Times New Roman;Times;serif" w:hAnsi="Times New Roman;Times;serif"/>
          <w:sz w:val="22"/>
        </w:rPr>
        <w:t xml:space="preserve">any judgment(s) or decree(s) in the aggregate amount </w:t>
      </w:r>
      <w:r>
        <w:rPr>
          <w:rFonts w:ascii="Times New Roman;Times;serif" w:hAnsi="Times New Roman;Times;serif"/>
          <w:color w:val="FF0000"/>
          <w:sz w:val="22"/>
        </w:rPr>
        <w:t>of $40,000,000 or more</w:t>
      </w:r>
      <w:r>
        <w:rPr>
          <w:rFonts w:ascii="Times New Roman;Times;serif" w:hAnsi="Times New Roman;Times;serif"/>
          <w:color w:val="0000FF"/>
          <w:sz w:val="22"/>
          <w:u w:val="single"/>
        </w:rPr>
        <w:t>exceeding the greater of (x) $75,000,000 and (y) 5% of Consolidated EBITDA for the most recently completed four fiscal quarters for which financial statements have been delivered pursuant to this Agreement</w:t>
      </w:r>
      <w:r>
        <w:rPr>
          <w:rFonts w:ascii="Times New Roman;Times;serif" w:hAnsi="Times New Roman;Times;serif"/>
          <w:sz w:val="20"/>
        </w:rPr>
        <w:t xml:space="preserve"> </w:t>
      </w:r>
      <w:r>
        <w:rPr>
          <w:rFonts w:ascii="Times New Roman;Times;serif" w:hAnsi="Times New Roman;Times;serif"/>
          <w:sz w:val="22"/>
        </w:rPr>
        <w:t>shall be entered against the Company or any of its Material Subsidiaries that are not paid or fully covered (beyond any applicable deductibles) by insurance and such judgment(s) or decree(s) shall not have been vacated, discharged or stayed or bonded pending appeal within 60 days from the entry thereof;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(xiii)</w:t>
      </w:r>
      <w:r>
        <w:rPr>
          <w:rFonts w:ascii="Times New Roman;Times;serif" w:hAnsi="Times New Roman;Times;serif"/>
          <w:sz w:val="22"/>
        </w:rPr>
        <w:t xml:space="preserve">any Transaction Document, at any time after its execution and delivery and for any reason other than as expressly permitted hereunder or thereunder or satisfaction in full of all the obligations evidenced by the Notes and under the other Transaction Documents, ceases to be in full force and effect; or any Credit Party </w:t>
      </w:r>
      <w:r>
        <w:rPr>
          <w:rFonts w:ascii="Times New Roman;Times;serif" w:hAnsi="Times New Roman;Times;serif"/>
          <w:color w:val="FF0000"/>
          <w:sz w:val="22"/>
        </w:rPr>
        <w:t>or any other Person</w:t>
      </w:r>
      <w:r>
        <w:rPr>
          <w:rFonts w:ascii="Times New Roman;Times;serif" w:hAnsi="Times New Roman;Times;serif"/>
          <w:sz w:val="20"/>
        </w:rPr>
        <w:t xml:space="preserve"> </w:t>
      </w:r>
      <w:r>
        <w:rPr>
          <w:rFonts w:ascii="Times New Roman;Times;serif" w:hAnsi="Times New Roman;Times;serif"/>
          <w:sz w:val="22"/>
        </w:rPr>
        <w:t>contests in any manner the validity or enforceability of any Transaction Document; or any Credit Party denies that it has any or further liability or obligation under any Transaction Document, or purports to revoke, terminate or rescind any Transaction Document;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(xiv)</w:t>
      </w:r>
      <w:r>
        <w:rPr>
          <w:rFonts w:ascii="Times New Roman;Times;serif" w:hAnsi="Times New Roman;Times;serif"/>
          <w:sz w:val="22"/>
        </w:rPr>
        <w:t>there occurs any Change of Control;</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then (a) if such event is an Event of Default specified in clause (vii), (viii) or (ix) of this paragraph 7A with respect to the Company or Matson Navigation, all of the Notes at the time outstanding shall automatically become immediately due and payable together with interest accrued thereon and the Yield-Maintenance Amount with respect thereto, without presentment, demand, protest or notice of any kind, all of which are hereby waived by the Company and Matson Navigation, and (b) with respect to any event constituting an Event of Default, the Required Holder(s) of any Series of Notes may at its or their option, by notice in writing to the Company, declare all of the Notes of such Series to be, and all of the Notes of such Series shall thereupon be and become, immediately due and payable together with interest accrued thereon and together with the Yield-Maintenance Amount, if any, with respect to each Note of such Series, without presentment, demand, protest or other notice of any kind, all of which are hereby waived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7B.</w:t>
      </w:r>
      <w:r>
        <w:rPr>
          <w:rFonts w:ascii="Times New Roman;Times;serif" w:hAnsi="Times New Roman;Times;serif"/>
          <w:b/>
          <w:sz w:val="22"/>
        </w:rPr>
        <w:t>Rescission of Acceleration</w:t>
      </w:r>
      <w:r>
        <w:rPr>
          <w:rFonts w:ascii="Times New Roman;Times;serif" w:hAnsi="Times New Roman;Times;serif"/>
          <w:sz w:val="22"/>
        </w:rPr>
        <w:t>.  At any time after any or all of the Notes of a Series shall have been declared immediately due and payable pursuant to paragraph 7A, the Required Holder(s) of such Series may, by notice in writing to the Company, rescind and annul such declaration and its consequences if (i) the Company shall have paid all overdue interest on the Notes of such Series, the principal of and Yield-Maintenance Amount, if any, payable with respect to any Notes of such Series which have become due otherwise than by reason of such declaration, and interest on such overdue interest and overdue principal and Yield-Maintenance Amount at the rate specified in the Notes of such Series, (ii) the Company shall not have paid any amounts which have become due solely by reason of such declaration, (iii) all Events of Default and Defaults, other than non-payment of amounts which have become due solely by reason of such declaration, shall have been cured or waived pursuant to paragraph 11C, and (iv) no judgment or decree shall have been entered for the payment of any amounts due pursuant to the Notes of such Series or this Agreement (as this Agreement pertains to the Notes of such Series).  No such rescission or annulment shall extend to or affect any subsequent Event of Default or Default or impair any right arising therefrom.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7C.</w:t>
      </w:r>
      <w:r>
        <w:rPr>
          <w:rFonts w:ascii="Times New Roman;Times;serif" w:hAnsi="Times New Roman;Times;serif"/>
          <w:b/>
          <w:sz w:val="22"/>
        </w:rPr>
        <w:t>Notice of Acceleration or Rescission</w:t>
      </w:r>
      <w:r>
        <w:rPr>
          <w:rFonts w:ascii="Times New Roman;Times;serif" w:hAnsi="Times New Roman;Times;serif"/>
          <w:sz w:val="22"/>
        </w:rPr>
        <w:t>.  Whenever any Note shall be declared immediately due and payable pursuant to paragraph 7A or any such declaration shall be rescinded and annulled pursuant to paragraph 7B, the Company shall forthwith give written notice thereof to the holder of each Note at the time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7D.</w:t>
      </w:r>
      <w:r>
        <w:rPr>
          <w:rFonts w:ascii="Times New Roman;Times;serif" w:hAnsi="Times New Roman;Times;serif"/>
          <w:b/>
          <w:sz w:val="22"/>
        </w:rPr>
        <w:t>Other Remedies</w:t>
      </w:r>
      <w:r>
        <w:rPr>
          <w:rFonts w:ascii="Times New Roman;Times;serif" w:hAnsi="Times New Roman;Times;serif"/>
          <w:sz w:val="22"/>
        </w:rPr>
        <w:t>.  If any Event of Default or Default shall occur and be continuing, the holder of any Note may proceed to protect and enforce its rights under this Agreement, the other Transaction Documents</w:t>
      </w:r>
      <w:r>
        <w:rPr>
          <w:rFonts w:ascii="Times New Roman;Times;serif" w:hAnsi="Times New Roman;Times;serif"/>
          <w:color w:val="0000FF"/>
          <w:sz w:val="22"/>
          <w:u w:val="single"/>
        </w:rPr>
        <w:t>, the Collateral Documents (subject to the Intercreditor Agreement)</w:t>
      </w:r>
      <w:r>
        <w:rPr>
          <w:rFonts w:ascii="Times New Roman;Times;serif" w:hAnsi="Times New Roman;Times;serif"/>
          <w:sz w:val="20"/>
        </w:rPr>
        <w:t xml:space="preserve"> </w:t>
      </w:r>
      <w:r>
        <w:rPr>
          <w:rFonts w:ascii="Times New Roman;Times;serif" w:hAnsi="Times New Roman;Times;serif"/>
          <w:sz w:val="22"/>
        </w:rPr>
        <w:t xml:space="preserve">and such Note by exercising such remedies as are available to such holder in respect thereof under applicable law, either by suit in equity or by action at law, or both, whether for specific performance of any covenant or other agreement contained in this Agreement or any other Transaction Document or </w:t>
      </w:r>
      <w:r>
        <w:rPr>
          <w:rFonts w:ascii="Times New Roman;Times;serif" w:hAnsi="Times New Roman;Times;serif"/>
          <w:color w:val="0000FF"/>
          <w:sz w:val="22"/>
          <w:u w:val="single"/>
        </w:rPr>
        <w:t>any Collateral Document or</w:t>
      </w:r>
      <w:r>
        <w:rPr>
          <w:rFonts w:ascii="Times New Roman;Times;serif" w:hAnsi="Times New Roman;Times;serif"/>
          <w:sz w:val="20"/>
        </w:rPr>
        <w:t xml:space="preserve"> </w:t>
      </w:r>
      <w:r>
        <w:rPr>
          <w:rFonts w:ascii="Times New Roman;Times;serif" w:hAnsi="Times New Roman;Times;serif"/>
          <w:sz w:val="22"/>
        </w:rPr>
        <w:t>in aid of the exercise of any power granted in this Agreement or any other Transaction Document</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or any Collateral Document</w:t>
      </w:r>
      <w:r>
        <w:rPr>
          <w:rFonts w:ascii="Times New Roman;Times;serif" w:hAnsi="Times New Roman;Times;serif"/>
          <w:sz w:val="22"/>
        </w:rPr>
        <w:t xml:space="preserve">.  No remedy conferred in this Agreement or any other Transaction </w:t>
      </w:r>
      <w:r>
        <w:rPr>
          <w:rFonts w:ascii="Times New Roman;Times;serif" w:hAnsi="Times New Roman;Times;serif"/>
          <w:color w:val="0000FF"/>
          <w:sz w:val="22"/>
          <w:u w:val="single"/>
        </w:rPr>
        <w:t xml:space="preserve">Document or any Collateral </w:t>
      </w:r>
      <w:r>
        <w:rPr>
          <w:rFonts w:ascii="Times New Roman;Times;serif" w:hAnsi="Times New Roman;Times;serif"/>
          <w:sz w:val="22"/>
        </w:rPr>
        <w:t>Document upon the holder of any Note is intended to be exclusive of any other remedy, and each and every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remedy shall be cumulative and shall be in addition to every other remedy conferred herein or now or hereafter existing at law or in equity or by statute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7E.</w:t>
      </w:r>
      <w:r>
        <w:rPr>
          <w:rFonts w:ascii="Times New Roman;Times;serif" w:hAnsi="Times New Roman;Times;serif"/>
          <w:b/>
          <w:sz w:val="22"/>
        </w:rPr>
        <w:t>Savings Clause</w:t>
      </w:r>
      <w:r>
        <w:rPr>
          <w:rFonts w:ascii="Times New Roman;Times;serif" w:hAnsi="Times New Roman;Times;serif"/>
          <w:sz w:val="22"/>
        </w:rPr>
        <w:t>.  The provisions of paragraphs 7A(i) and (iv) are subject in all respects to the provisions of paragraph 6A(2)(ix) as to the matters set forth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w:t>
      </w:r>
      <w:r>
        <w:rPr>
          <w:rFonts w:ascii="Times New Roman;Times;serif" w:hAnsi="Times New Roman;Times;serif"/>
          <w:b/>
          <w:sz w:val="22"/>
        </w:rPr>
        <w:t>REPRESENTATIONS, COVENANTS AND WARRANTIES</w:t>
      </w:r>
      <w:r>
        <w:rPr>
          <w:rFonts w:ascii="Times New Roman;Times;serif" w:hAnsi="Times New Roman;Times;serif"/>
          <w:sz w:val="22"/>
        </w:rPr>
        <w:t>.  The Company represents, covenants and warrants as follows, immediately before and immediately after giving effect to the sale of Notes on each Closing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8A.</w:t>
      </w:r>
      <w:r>
        <w:rPr>
          <w:rFonts w:ascii="Times New Roman;Times;serif" w:hAnsi="Times New Roman;Times;serif"/>
          <w:b/>
          <w:sz w:val="22"/>
        </w:rPr>
        <w:t>Organization</w:t>
      </w:r>
      <w:r>
        <w:rPr>
          <w:rFonts w:ascii="Times New Roman;Times;serif" w:hAnsi="Times New Roman;Times;serif"/>
          <w:sz w:val="22"/>
        </w:rPr>
        <w:t xml:space="preserve">.  The Company and each Material Subsidiary is duly organized, validly existing and in good standing under the laws of the state of its organization.  The Company and each Material Subsidiary has the full power and authority to own its properties and to carry on its business as now being conducted.  Each Credit Party has full power, authority and right to execute and deliver, and to perform and observe, the provisions of the Transaction Documents to which it is a party and to carry out the transactions contemplated by such Transaction Documents.  The execution, delivery and performance of the Transaction Documents to which any Credit Party is a party have been duly authorized by all necessary corporate and other action, and, when duly executed and delivered, will be the legal, valid and binding obligations of such Credit Party, enforceable against it in accordance with their respective terms.  Set forth on </w:t>
      </w:r>
      <w:r>
        <w:rPr>
          <w:rFonts w:ascii="Times New Roman;Times;serif" w:hAnsi="Times New Roman;Times;serif"/>
          <w:sz w:val="22"/>
          <w:u w:val="single"/>
        </w:rPr>
        <w:t>Schedule 8A</w:t>
      </w:r>
      <w:r>
        <w:rPr>
          <w:rFonts w:ascii="Times New Roman;Times;serif" w:hAnsi="Times New Roman;Times;serif"/>
          <w:sz w:val="20"/>
        </w:rPr>
        <w:t xml:space="preserve"> </w:t>
      </w:r>
      <w:r>
        <w:rPr>
          <w:rFonts w:ascii="Times New Roman;Times;serif" w:hAnsi="Times New Roman;Times;serif"/>
          <w:sz w:val="22"/>
        </w:rPr>
        <w:t>is a list as of the date of this Agreement of each Material Subsidiary, together with information identifying each Material Domestic Subsidiary as of such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8B.</w:t>
      </w:r>
      <w:r>
        <w:rPr>
          <w:rFonts w:ascii="Times New Roman;Times;serif" w:hAnsi="Times New Roman;Times;serif"/>
          <w:b/>
          <w:sz w:val="22"/>
        </w:rPr>
        <w:t>Financial Statements</w:t>
      </w:r>
      <w:r>
        <w:rPr>
          <w:rFonts w:ascii="Times New Roman;Times;serif" w:hAnsi="Times New Roman;Times;serif"/>
          <w:sz w:val="22"/>
        </w:rPr>
        <w:t>.  The Company has furnished each Purchaser with the following financial statements, identified by a principal financial officer of the Company:  (i) consolidated balance sheets of the Company and its Subsidiaries as of the last day in each of the three fiscal years of the Company most recently completed prior to the date as of which this representation is made or repeated (other than fiscal years completed within 120 days prior to such date for which audited financial statements have not been released), and consolidated statements of income, shareholders’ equity and cash flows of the Company and its Subsidiaries for each such year, certified by Deloitte &amp; Touche (or such other accounting firm of recognized national standing); and (ii) consolidated balance sheets of the Company and its Subsidiaries as of the end of the quarterly period (if any) most recently completed prior to such date and after the end of the most recent fiscal year (other than quarterly periods completed within 60 days prior to such date for which financial statements have not been released) and the comparable quarterly period in the preceding fiscal year and consolidated statements of income, stockholders’ equity and cash flows of the Company and its Subsidiaries for the periods from the beginning of the fiscal years in which such quarterly periods are included to the end of such quarterly periods, in each case prepared by the Company.  Such financial statements (including any related schedules and/or notes) are true and correct in all material respects (subject, as to interim statements, to changes resulting from audits and year-end adjustments), have been prepared in accordance with GAAP consistently applied throughout the periods involved and show all liabilities, direct and contingent, of the Company and its Subsidiaries required to be shown in accordance with such principles.  The balance sheets fairly present the condition of the Company and its Subsidiaries as at the dates thereof, and the statements of income, shareholders’ equity and cash flows fairly present the results of the operations and cash flows of the Company and its Subsidiaries for the periods indicated.  In the case of any Closing Day, no material adverse change in the business, condition (financial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otherwise) operations or prospects of the Company and its Subsidiaries, taken as a whole, has occurred since the end of the most recent fiscal year for which such audited financial statements had been furnished at the time of the Acceptance with respect to the Notes to be issued on such Closing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8C.</w:t>
      </w:r>
      <w:r>
        <w:rPr>
          <w:rFonts w:ascii="Times New Roman;Times;serif" w:hAnsi="Times New Roman;Times;serif"/>
          <w:b/>
          <w:sz w:val="22"/>
        </w:rPr>
        <w:t>Actions Pending</w:t>
      </w:r>
      <w:r>
        <w:rPr>
          <w:rFonts w:ascii="Times New Roman;Times;serif" w:hAnsi="Times New Roman;Times;serif"/>
          <w:sz w:val="22"/>
        </w:rPr>
        <w:t>.  There is no action, suit, investigation or proceeding pending or, to the knowledge of the Company, threatened against the Company or any Subsidiary or any properties or rights of the Company or any Subsidiary, by or before any court, arbitrator or administrative or governmental body which could reasonably be expected to result in any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8D.</w:t>
      </w:r>
      <w:r>
        <w:rPr>
          <w:rFonts w:ascii="Times New Roman;Times;serif" w:hAnsi="Times New Roman;Times;serif"/>
          <w:b/>
          <w:sz w:val="22"/>
        </w:rPr>
        <w:t>Outstanding Debt</w:t>
      </w:r>
      <w:r>
        <w:rPr>
          <w:rFonts w:ascii="Times New Roman;Times;serif" w:hAnsi="Times New Roman;Times;serif"/>
          <w:sz w:val="22"/>
        </w:rPr>
        <w:t>.  Neither the Company nor any Subsidiary has any Debt outstanding that is prohibited by paragraph 6A(2) or paragraph 6A(3).  There exists no event of default under the provisions of any instrument evidencing any Debt of the Company or any Subsidiary or of any agreement relating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8E.</w:t>
      </w:r>
      <w:r>
        <w:rPr>
          <w:rFonts w:ascii="Times New Roman;Times;serif" w:hAnsi="Times New Roman;Times;serif"/>
          <w:b/>
          <w:sz w:val="22"/>
        </w:rPr>
        <w:t>Title to Properties</w:t>
      </w:r>
      <w:r>
        <w:rPr>
          <w:rFonts w:ascii="Times New Roman;Times;serif" w:hAnsi="Times New Roman;Times;serif"/>
          <w:sz w:val="22"/>
        </w:rPr>
        <w:t>.  The Company has and each Subsidiary has good and indefeasible title to its respective real properties (other than properties which it leases) and good title to all of its other properties and assets, including the properties and assets reflected in the most recent audited balance sheet delivered pursuant to paragraph 5A(ii), or if no such balance sheet has been delivered, the most recent audited balance sheet referred to in paragraph 8B (other than properties and assets disposed of in the ordinary course of business) except where the failure to have such good title would not reasonably be expected to have a Material Adverse Effect, subject to no Liens of any kind except Liens permitted by paragraph 6C(1).  There is no material default, nor any event that, with notice or lapse of time or both, would constitute such a material default under any material lease to which either the Company or any Subsidiary is a lessee, lessor, sublessee or sublessor.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8F.</w:t>
      </w:r>
      <w:r>
        <w:rPr>
          <w:rFonts w:ascii="Times New Roman;Times;serif" w:hAnsi="Times New Roman;Times;serif"/>
          <w:b/>
          <w:sz w:val="22"/>
        </w:rPr>
        <w:t>Taxes</w:t>
      </w:r>
      <w:r>
        <w:rPr>
          <w:rFonts w:ascii="Times New Roman;Times;serif" w:hAnsi="Times New Roman;Times;serif"/>
          <w:sz w:val="22"/>
        </w:rPr>
        <w:t>.  The Company has and each Material Subsidiary has filed all federal and state income tax and all other material tax and informational returns which are required to be filed by it.  The Company and each such Subsidiary has paid all taxes as shown on its returns and on all assessments received to the extent that such taxes are not yet delinquent, except such taxes as are being contested in good faith by appropriate proceedings for which adequate reserves have been established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8G.</w:t>
      </w:r>
      <w:r>
        <w:rPr>
          <w:rFonts w:ascii="Times New Roman;Times;serif" w:hAnsi="Times New Roman;Times;serif"/>
          <w:b/>
          <w:sz w:val="22"/>
        </w:rPr>
        <w:t>Conflicting Agreements and Other Matters</w:t>
      </w:r>
      <w:r>
        <w:rPr>
          <w:rFonts w:ascii="Times New Roman;Times;serif" w:hAnsi="Times New Roman;Times;serif"/>
          <w:sz w:val="22"/>
        </w:rPr>
        <w:t>.  Neither the execution and delivery of this Agreement, the Notes or any other Transaction Document, nor the offering, issuance and sale of the Notes, nor fulfillment of nor compliance with the terms and provisions of this Agreement, the Notes or any other Transaction Document will conflict with, or result in a breach of the terms, conditions or provisions of, or constitute a default under, or result in any violation of, or result in the creation of any Lien upon any of the properties or assets of the Company or any Subsidiary pursuant to, their respective articles or incorporation or bylaws (or other comparable governing documents, as applicable), any award of any arbitrator or any agreement, instrument, order, judgment, decree, statute, law, rule or regulation to which the Company or any Subsidiary is subject.  As of the date of this Agreement, neither the Company nor any Subsidiary is a party to, or otherwise subject to any provision contained in, any instrument evidencing any of their respective Debt, any agreement relating thereto or any other contract or agreement which restricts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or otherwise limits the incurring of Debt pursuant hereto, except as set forth on </w:t>
      </w:r>
      <w:r>
        <w:rPr>
          <w:rFonts w:ascii="Times New Roman;Times;serif" w:hAnsi="Times New Roman;Times;serif"/>
          <w:sz w:val="22"/>
          <w:u w:val="single"/>
        </w:rPr>
        <w:t>Schedule 8G</w:t>
      </w:r>
      <w:r>
        <w:rPr>
          <w:rFonts w:ascii="Times New Roman;Times;serif" w:hAnsi="Times New Roman;Times;serif"/>
          <w:sz w:val="20"/>
        </w:rPr>
        <w:t xml:space="preserve"> </w:t>
      </w:r>
      <w:r>
        <w:rPr>
          <w:rFonts w:ascii="Times New Roman;Times;serif" w:hAnsi="Times New Roman;Times;serif"/>
          <w:sz w:val="22"/>
        </w:rPr>
        <w: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8H.</w:t>
      </w:r>
      <w:r>
        <w:rPr>
          <w:rFonts w:ascii="Times New Roman;Times;serif" w:hAnsi="Times New Roman;Times;serif"/>
          <w:b/>
          <w:sz w:val="22"/>
        </w:rPr>
        <w:t>Offering of the Notes.</w:t>
      </w:r>
      <w:r>
        <w:rPr>
          <w:rFonts w:ascii="Times New Roman;Times;serif" w:hAnsi="Times New Roman;Times;serif"/>
          <w:sz w:val="20"/>
        </w:rPr>
        <w:t xml:space="preserve">  </w:t>
      </w:r>
      <w:r>
        <w:rPr>
          <w:rFonts w:ascii="Times New Roman;Times;serif" w:hAnsi="Times New Roman;Times;serif"/>
          <w:sz w:val="22"/>
        </w:rPr>
        <w:t>Neither the Company nor any agent acting on its behalf has, directly or indirectly, offered the Notes or any similar security of the Company for sale to, or solicited any offers to buy the Notes or any similar security of the Company from, or otherwise approached or negotiated with respect thereto with, any Person or Persons other than Prudential and the Purchasers and not more than 5 other Institutional Investors, each of which has been offered such security at a private sale for investment, and neither the Company nor any agent acting on its behalf has taken or will take any action which would subject the issuance or sale of the Notes to the provisions of Section 5 of the Securities Act or to the provisions of any securities or blue sky law of any applicable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8I.</w:t>
      </w:r>
      <w:r>
        <w:rPr>
          <w:rFonts w:ascii="Times New Roman;Times;serif" w:hAnsi="Times New Roman;Times;serif"/>
          <w:b/>
          <w:sz w:val="22"/>
        </w:rPr>
        <w:t>Use of Proceeds; Regulation U, Etc</w:t>
      </w:r>
      <w:r>
        <w:rPr>
          <w:rFonts w:ascii="Times New Roman;Times;serif" w:hAnsi="Times New Roman;Times;serif"/>
          <w:sz w:val="22"/>
        </w:rPr>
        <w:t>.  The proceeds of sale of the Series D Notes will, on the Series D Closing Day, be used for acquisitions, to repay indebtedness and for other general corporate purposes.  The Company will apply the proceeds of the sale of each Series of Shelf Notes in the manner described in the applicable Request for Purchase with respect to such Series of Shelf Notes.  None of the proceeds of the Notes have been or will be used, directly or indirectly, for the purpose, whether immediate, incidental or ultimate, of purchasing or carrying any “margin stock” (as defined in Regulation U (12 CFR Part 221) of the Board of Governors of the Federal Reserve System (herein called “</w:t>
      </w:r>
      <w:r>
        <w:rPr>
          <w:rFonts w:ascii="Times New Roman;Times;serif" w:hAnsi="Times New Roman;Times;serif"/>
          <w:b/>
          <w:sz w:val="22"/>
        </w:rPr>
        <w:t>margin stock</w:t>
      </w:r>
      <w:r>
        <w:rPr>
          <w:rFonts w:ascii="Times New Roman;Times;serif" w:hAnsi="Times New Roman;Times;serif"/>
          <w:sz w:val="20"/>
        </w:rPr>
        <w:t>”</w:t>
      </w:r>
      <w:r>
        <w:rPr>
          <w:rFonts w:ascii="Times New Roman;Times;serif" w:hAnsi="Times New Roman;Times;serif"/>
          <w:sz w:val="22"/>
        </w:rPr>
        <w:t>)) or for the purpose of maintaining, reducing or retiring any indebtedness which was originally incurred to purchase or carry any stock that is currently a margin stock or for any other purpose which might constitute this transaction a “purpose credit” within the meaning of such Regulation U.  Neither the Company nor any agent acting on its behalf has taken or will take any action which might cause this Agreement, the Notes or any other Transaction Document to violate Regulation U, Regulation T or any other regulation of the Board of Governors of the Federal Reserve System or to violate the Exchange Act, in each case as in effect now or as the same may hereafter be in effect.  After applying the proceeds of the Notes, margin stock (within the meaning of Regulation U) will not constitute more than 25% of the value of the assets (either of the Company alone or the Company and its Subsidiaries on a consolidated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8J.</w:t>
      </w:r>
      <w:r>
        <w:rPr>
          <w:rFonts w:ascii="Times New Roman;Times;serif" w:hAnsi="Times New Roman;Times;serif"/>
          <w:b/>
          <w:sz w:val="22"/>
        </w:rPr>
        <w:t>ERISA</w:t>
      </w:r>
      <w:r>
        <w:rPr>
          <w:rFonts w:ascii="Times New Roman;Times;serif" w:hAnsi="Times New Roman;Times;serif"/>
          <w:sz w:val="22"/>
        </w:rPr>
        <w:t>.  No accumulated funding deficiency (as defined in section 302 of ERISA and section 412 of the Code), whether or not waived, exists with respect to any Plan (other than a Multiemployer Plan).  No liability to the PBGC has been or is expected by the Company or any ERISA Affiliate to be incurred with respect to any Plan (other than a Multiemployer Plan) by the Company, any Subsidiary or any ERISA Affiliate which is or would be materially adverse to the business, condition (financial or otherwise) or operations of the Company and its Subsidiaries taken as a whole.  None of the Company, any of its Subsidiaries or any ERISA Affiliate has incurred or presently expects to incur any withdrawal liability under Title IV of ERISA with respect to any Multiemployer Plan which is or would reasonably be expected to have a Material Adverse Effect.  The execution and delivery of this Agreement and the other Transaction Documents and the issuance and sale of the Notes were and will be exempt from, or did not and will not involve any transaction which is subject to the prohibitions of, section 406 of ERISA and did not and will not involve any transaction in connection with which a penalty could be imposed under section 502(i) of ERISA or a tax could be imposed pursuant to section 4975 of the Code.  The representation by the Company in the next preceding sentence is made in reliance upon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subject to the accuracy of the representation in paragraph 9B of the Original Agreement (with respect to the Series B Notes) made by each Purchaser of Series B Notes under the Original Agreement, the accuracy of the representation in paragraph 9B of the Prior Agreement (with respect to the Series C Notes) made by each Purchaser of Series C Notes under the Prior Agreement, and the accuracy of the representation in paragraph 9B of this Agreement (with respect to the Series D Notes and each applicable Series of Shelf Notes) made by each Series D Note Purchaser or each Purchaser of such Series of Shelf Notes,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8K.</w:t>
      </w:r>
      <w:r>
        <w:rPr>
          <w:rFonts w:ascii="Times New Roman;Times;serif" w:hAnsi="Times New Roman;Times;serif"/>
          <w:b/>
          <w:sz w:val="22"/>
        </w:rPr>
        <w:t>Governmental Consent</w:t>
      </w:r>
      <w:r>
        <w:rPr>
          <w:rFonts w:ascii="Times New Roman;Times;serif" w:hAnsi="Times New Roman;Times;serif"/>
          <w:sz w:val="22"/>
        </w:rPr>
        <w:t>.  None of the nature of the Company or any of its Subsidiaries, or any of their respective businesses or properties, or any relationship between the Company or a Subsidiary and any other Person, or any circumstance in connection with the offering, issuance, sale or delivery of the Notes is such as to require as of the applicable Closing Day on the part of the Company or any Subsidiary any authorization, consent, approval, exemption or other action by, notice to or filing with any court, administrative or governmental body (other than routine filings after such Closing Day with the SEC and/or state blue sky authorities) in connection with (i) the execution and delivery of this Agreement or the other Transaction Documents, (ii) the offering, issuance, sale or delivery of the Notes or (iii) fulfillment of or compliance with the terms and provisions of this Agreement, the Notes or the other Transaction Documents, in each case that has not been obtained.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8L.</w:t>
      </w:r>
      <w:r>
        <w:rPr>
          <w:rFonts w:ascii="Times New Roman;Times;serif" w:hAnsi="Times New Roman;Times;serif"/>
          <w:b/>
          <w:sz w:val="22"/>
        </w:rPr>
        <w:t>Holding Company and Investment Company Status</w:t>
      </w:r>
      <w:r>
        <w:rPr>
          <w:rFonts w:ascii="Times New Roman;Times;serif" w:hAnsi="Times New Roman;Times;serif"/>
          <w:sz w:val="22"/>
        </w:rPr>
        <w:t>.  Neither the Company nor any Subsidiary is an “investment company” or a company “controlled” by an “investment company” within the meaning of the Investment Company Act of 1940, as amended, or a “public utility” within the meaning of the Federal Power Act,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8M.</w:t>
      </w:r>
      <w:r>
        <w:rPr>
          <w:rFonts w:ascii="Times New Roman;Times;serif" w:hAnsi="Times New Roman;Times;serif"/>
          <w:b/>
          <w:sz w:val="22"/>
        </w:rPr>
        <w:t>Possession of Franchises, Licenses, Etc</w:t>
      </w:r>
      <w:r>
        <w:rPr>
          <w:rFonts w:ascii="Times New Roman;Times;serif" w:hAnsi="Times New Roman;Times;serif"/>
          <w:sz w:val="22"/>
        </w:rPr>
        <w:t>.  The Company and its Subsidiaries possess all material franchises, certificates, licenses, development and other permits and other authorizations from governmental political subdivisions or regulatory authorities and all patents, trademarks, service marks, trade names, copyrights, licenses, easements, rights of way and other rights (collectively, “</w:t>
      </w:r>
      <w:r>
        <w:rPr>
          <w:rFonts w:ascii="Times New Roman;Times;serif" w:hAnsi="Times New Roman;Times;serif"/>
          <w:b/>
          <w:sz w:val="22"/>
        </w:rPr>
        <w:t>Material Rights</w:t>
      </w:r>
      <w:r>
        <w:rPr>
          <w:rFonts w:ascii="Times New Roman;Times;serif" w:hAnsi="Times New Roman;Times;serif"/>
          <w:sz w:val="20"/>
        </w:rPr>
        <w:t>”</w:t>
      </w:r>
      <w:r>
        <w:rPr>
          <w:rFonts w:ascii="Times New Roman;Times;serif" w:hAnsi="Times New Roman;Times;serif"/>
          <w:sz w:val="22"/>
        </w:rPr>
        <w:t>), free from burdensome restriction, that are necessary in the judgment of the Company in any material respect for the ownership, maintenance and operation of their business, properties and assets, and neither the Company nor any of its Subsidiaries is in violation of any Material Rights in any material respect.  No event has occurred which permits, or after notice or lapse of time or both would permit, the revocation or termination of any such Material Rights, or which materially and adversely affects the rights of the Company or its Subsidiaries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8N.</w:t>
      </w:r>
      <w:r>
        <w:rPr>
          <w:rFonts w:ascii="Times New Roman;Times;serif" w:hAnsi="Times New Roman;Times;serif"/>
          <w:b/>
          <w:sz w:val="22"/>
        </w:rPr>
        <w:t>Environmental and Safety Matters</w:t>
      </w:r>
      <w:r>
        <w:rPr>
          <w:rFonts w:ascii="Times New Roman;Times;serif" w:hAnsi="Times New Roman;Times;serif"/>
          <w:sz w:val="22"/>
        </w:rPr>
        <w:t>.  The Company and its Subsidiaries and all of their respective properties and facilities have complied at all times and in all respects with all Environmental and Safety Laws except where failure to comply would not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8O.</w:t>
      </w:r>
      <w:r>
        <w:rPr>
          <w:rFonts w:ascii="Times New Roman;Times;serif" w:hAnsi="Times New Roman;Times;serif"/>
          <w:b/>
          <w:sz w:val="22"/>
        </w:rPr>
        <w:t>Employee Relations</w:t>
      </w:r>
      <w:r>
        <w:rPr>
          <w:rFonts w:ascii="Times New Roman;Times;serif" w:hAnsi="Times New Roman;Times;serif"/>
          <w:sz w:val="22"/>
        </w:rPr>
        <w:t>.  Neither the Company nor any Subsidiary is the subject of (i) any material strike, work slowdown or stoppage, union organizing drive or other similar activity or (ii) any material action, suit, investigation or other proceeding involving alleged employment discrimination, unfair termination, employee safety or similar matters or, to the best knowledge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Company, is any such event imminent or likely to occur except those which, individually or in aggregate,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8P.</w:t>
      </w:r>
      <w:r>
        <w:rPr>
          <w:rFonts w:ascii="Times New Roman;Times;serif" w:hAnsi="Times New Roman;Times;serif"/>
          <w:b/>
          <w:sz w:val="22"/>
        </w:rPr>
        <w:t>Shipping-Related Legislation</w:t>
      </w:r>
      <w:r>
        <w:rPr>
          <w:rFonts w:ascii="Times New Roman;Times;serif" w:hAnsi="Times New Roman;Times;serif"/>
          <w:sz w:val="22"/>
        </w:rPr>
        <w:t>.  To the best knowledge of the Company, no legislation has been introduced or enacted to either repeal or substantially modify Section 27 of the Merchant Marine Act, 1920, as amended to the date of this Agreement, commonly referred to as the Jones Act in a manner that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8Q.</w:t>
      </w:r>
      <w:r>
        <w:rPr>
          <w:rFonts w:ascii="Times New Roman;Times;serif" w:hAnsi="Times New Roman;Times;serif"/>
          <w:b/>
          <w:sz w:val="22"/>
        </w:rPr>
        <w:t>Disclosure</w:t>
      </w:r>
      <w:r>
        <w:rPr>
          <w:rFonts w:ascii="Times New Roman;Times;serif" w:hAnsi="Times New Roman;Times;serif"/>
          <w:sz w:val="22"/>
        </w:rPr>
        <w:t xml:space="preserve">.  Neither this Agreement, any other Transaction Document nor any other document, certificate or statement furnished to any Purchaser by or on behalf of the Company or Matson Navigation in connection herewith or with the Prior Agreement contains any untrue statement of a material fact or omits to state a material fact necessary in order to make the statements contained herein and therein, taken as a whole, not misleading in light of the circumstances under which they were made; </w:t>
      </w:r>
      <w:r>
        <w:rPr>
          <w:rFonts w:ascii="Times New Roman;Times;serif" w:hAnsi="Times New Roman;Times;serif"/>
          <w:sz w:val="22"/>
          <w:u w:val="single"/>
        </w:rPr>
        <w:t>provided</w:t>
      </w:r>
      <w:r>
        <w:rPr>
          <w:rFonts w:ascii="Times New Roman;Times;serif" w:hAnsi="Times New Roman;Times;serif"/>
          <w:sz w:val="22"/>
        </w:rPr>
        <w:t>, that with respect to projections and other pro forma financial information included in such information, the Company only represents that such information was prepared in good faith based upon estimates and assumptions believed by the preparer thereof to be reasonable at the time made, it being recognized by the Purchasers that such financial information as it relates to future events is not to be viewed as a fact and that actual results during the period or periods covered by such financial information may differ from the projected results set forth therein by a material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8R.</w:t>
      </w:r>
      <w:r>
        <w:rPr>
          <w:rFonts w:ascii="Times New Roman;Times;serif" w:hAnsi="Times New Roman;Times;serif"/>
          <w:b/>
          <w:sz w:val="22"/>
        </w:rPr>
        <w:t>Foreign Assets Control Regulations, Etc.</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Neither the Company nor any Controlled Entity (i) is a Blocked Person, (ii) has been notified that its name appears or may in the future appear on a State Sanctions List or (iii) is a target of sanctions that have been imposed by the United Nations or the European Union.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Neither the Company nor any Controlled Entity (i) has violated, been found in violation of, or been charged or convicted under, any applicable U.S. Economic Sanctions Laws, Anti-Money Laundering Laws or Anti-Corruption Laws or (ii) to the Company’s knowledge, is under investigation by any Governmental Authority for possible violation of any applicable U.S. Economic Sanctions Laws, Anti-Money Laundering Laws or Anti-Corruption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No part of the proceeds from the sale of the Notes hereunder:</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(i)assuming, to the extent relevant, compliance by each of the Purchasers with U.S. Economic Sanctions laws, constitutes or will constitute funds obtained on behalf of any Blocked Person or will otherwise be used by the Company or any Controlled Entity, directly or indirectly, (A) in connection with any investment in, or any transactions or dealings with, any Blocked Person, (B) for any purpose that would cause any Purchaser to be in violation of any U.S. Economic Sanctions Laws or (C) otherwise in violation of any U.S. Economic Sanctions Laws;</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(ii)will be used, directly or indirectly, in violation of, or cause any Purchaser to be in violation of, any applicable Anti-Money Laundering Laws;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(iii)will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Anti-Corruption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000FF"/>
          <w:sz w:val="22"/>
        </w:rPr>
        <w:t>8S.</w:t>
      </w:r>
      <w:r>
        <w:rPr>
          <w:rFonts w:ascii="Times New Roman;Times;serif" w:hAnsi="Times New Roman;Times;serif"/>
          <w:b/>
          <w:color w:val="0000FF"/>
          <w:sz w:val="22"/>
        </w:rPr>
        <w:t>Outbound Investment Rules</w:t>
      </w:r>
      <w:r>
        <w:rPr>
          <w:rFonts w:ascii="Times New Roman;Times;serif" w:hAnsi="Times New Roman;Times;serif"/>
          <w:color w:val="0000FF"/>
          <w:sz w:val="22"/>
          <w:u w:val="single"/>
        </w:rPr>
        <w:t>. Neither the Company nor any Subsidiary is a “covered foreign person” as that term is used in the Outbound Investment Rules. Neither the Company nor any Subsidiary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the Company or such Subsidiary were a United States Person, or (c) any other activity that would cause the Collateral Agent or any holder of the Notes to be in violation of the Outbound Investment Rules or cause the Collateral Agent or any holder of the Notes to be legally prohibited by the Outbound Investment Rules from performing under this Agreement or any other Transaction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w:t>
      </w:r>
      <w:r>
        <w:rPr>
          <w:rFonts w:ascii="Times New Roman;Times;serif" w:hAnsi="Times New Roman;Times;serif"/>
          <w:b/>
          <w:sz w:val="22"/>
        </w:rPr>
        <w:t>REPRESENTATIONS OF THE PURCHASERS</w:t>
      </w:r>
      <w:r>
        <w:rPr>
          <w:rFonts w:ascii="Times New Roman;Times;serif" w:hAnsi="Times New Roman;Times;serif"/>
          <w:sz w:val="22"/>
        </w:rPr>
        <w:t>.  Each Series D Note Purchaser and each Purchaser of any Series of Shelf Notes represents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9A.</w:t>
      </w:r>
      <w:r>
        <w:rPr>
          <w:rFonts w:ascii="Times New Roman;Times;serif" w:hAnsi="Times New Roman;Times;serif"/>
          <w:b/>
          <w:sz w:val="22"/>
        </w:rPr>
        <w:t>Nature of Purchase.</w:t>
      </w:r>
      <w:r>
        <w:rPr>
          <w:rFonts w:ascii="Times New Roman;Times;serif" w:hAnsi="Times New Roman;Times;serif"/>
          <w:sz w:val="20"/>
        </w:rPr>
        <w:t xml:space="preserve">  </w:t>
      </w:r>
      <w:r>
        <w:rPr>
          <w:rFonts w:ascii="Times New Roman;Times;serif" w:hAnsi="Times New Roman;Times;serif"/>
          <w:sz w:val="22"/>
        </w:rPr>
        <w:t xml:space="preserve">Such Purchaser is acquiring the Series D Notes or such Series of Shelf Notes purchased by it hereunder for the purpose of investment for its own account or for the account of funds that it manages for investment purposes and not with a view to or for sale in connection with any distribution thereof within the meaning of the Securities Act,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disposition of such Purchaser’s property shall at all times be and remain within its control.  Such Purchaser has no present intention of selling, granting participation in, or otherwise distributing any of the Series D Notes or such Series of Shelf Notes to be issued to it in any transaction which would be in violation of the securities laws of the United States of America or any state or other jurisdiction thereof, without prejudice, however, to Purchaser’s rights at all times to sell or otherwise dispose of all or any part of such securities under a registration under Securities Act or under an exemption from such registration available under the Securities Act and subject, nevertheless, to the disposition of such Purchaser’s property being at all times within its control.  Such Purchaser acknowledges that the Series D Notes or such Series of Shelf Notes, as applicable, will not, on the applicable Closing Day, be registered under the Securities Act, on the grounds that the sale provided for in this Agreement and the issuance of securities hereunder is exempt from registration under the Securities Act, and that the Company’s reliance on such exemption is predicated on the representations set forth in this Article 9.</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9B.</w:t>
      </w:r>
      <w:r>
        <w:rPr>
          <w:rFonts w:ascii="Times New Roman;Times;serif" w:hAnsi="Times New Roman;Times;serif"/>
          <w:b/>
          <w:sz w:val="22"/>
        </w:rPr>
        <w:t>Source of Funds.</w:t>
      </w:r>
      <w:r>
        <w:rPr>
          <w:rFonts w:ascii="Times New Roman;Times;serif" w:hAnsi="Times New Roman;Times;serif"/>
          <w:sz w:val="20"/>
        </w:rPr>
        <w:t xml:space="preserve">  </w:t>
      </w:r>
      <w:r>
        <w:rPr>
          <w:rFonts w:ascii="Times New Roman;Times;serif" w:hAnsi="Times New Roman;Times;serif"/>
          <w:sz w:val="22"/>
        </w:rPr>
        <w:t>At least one of the following statements is an accurate representation as to each source of funds (a “</w:t>
      </w:r>
      <w:r>
        <w:rPr>
          <w:rFonts w:ascii="Times New Roman;Times;serif" w:hAnsi="Times New Roman;Times;serif"/>
          <w:b/>
          <w:sz w:val="22"/>
        </w:rPr>
        <w:t>Source</w:t>
      </w:r>
      <w:r>
        <w:rPr>
          <w:rFonts w:ascii="Times New Roman;Times;serif" w:hAnsi="Times New Roman;Times;serif"/>
          <w:sz w:val="20"/>
        </w:rPr>
        <w:t>”</w:t>
      </w:r>
      <w:r>
        <w:rPr>
          <w:rFonts w:ascii="Times New Roman;Times;serif" w:hAnsi="Times New Roman;Times;serif"/>
          <w:sz w:val="22"/>
        </w:rPr>
        <w:t>) to be used by such Purchaser to pay the purchase price of the Series D Notes or the applicable Series of Shelf Notes to be purchased by such Purchaser 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the Source is an “insurance company general account” (as that term is defined in the United States Department of Labor’s Prohibited Transaction Exemption (“</w:t>
      </w:r>
      <w:r>
        <w:rPr>
          <w:rFonts w:ascii="Times New Roman;Times;serif" w:hAnsi="Times New Roman;Times;serif"/>
          <w:b/>
          <w:sz w:val="22"/>
        </w:rPr>
        <w:t>PTE</w:t>
      </w:r>
      <w:r>
        <w:rPr>
          <w:rFonts w:ascii="Times New Roman;Times;serif" w:hAnsi="Times New Roman;Times;serif"/>
          <w:sz w:val="20"/>
        </w:rPr>
        <w:t>”</w:t>
      </w:r>
      <w:r>
        <w:rPr>
          <w:rFonts w:ascii="Times New Roman;Times;serif" w:hAnsi="Times New Roman;Times;serif"/>
          <w:sz w:val="22"/>
        </w:rPr>
        <w:t>) 95-60) in respect of which the reserves and liabilities (as defined by the annual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statement for life insurance companies approved by the National Association of Insurance Commissioners (the “</w:t>
      </w:r>
      <w:r>
        <w:rPr>
          <w:rFonts w:ascii="Times New Roman;Times;serif" w:hAnsi="Times New Roman;Times;serif"/>
          <w:b/>
          <w:sz w:val="22"/>
        </w:rPr>
        <w:t>NAIC Annual Statement</w:t>
      </w:r>
      <w:r>
        <w:rPr>
          <w:rFonts w:ascii="Times New Roman;Times;serif" w:hAnsi="Times New Roman;Times;serif"/>
          <w:sz w:val="20"/>
        </w:rPr>
        <w:t>”</w:t>
      </w:r>
      <w:r>
        <w:rPr>
          <w:rFonts w:ascii="Times New Roman;Times;serif" w:hAnsi="Times New Roman;Times;serif"/>
          <w:sz w:val="22"/>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the Source is either (a) an insurance company pooled separate account, within the meaning of PTE 90-1, or (b) a bank collective investment fund, within the meaning of the PTE 91-38 and, except as disclosed by such Purchaser to the Company in writing pursuant to this clause (iii), no employee benefit plan or group of plans maintained by the same employer or employee organization beneficially owns more than 10% of all assets allocated to such pooled separate account or collective investment fund;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the Source constitutes assets of an “investment fund” (within the meaning of Part VI of PTE 84-14 (the “</w:t>
      </w:r>
      <w:r>
        <w:rPr>
          <w:rFonts w:ascii="Times New Roman;Times;serif" w:hAnsi="Times New Roman;Times;serif"/>
          <w:b/>
          <w:sz w:val="22"/>
        </w:rPr>
        <w:t>QPAM Exemption</w:t>
      </w:r>
      <w:r>
        <w:rPr>
          <w:rFonts w:ascii="Times New Roman;Times;serif" w:hAnsi="Times New Roman;Times;serif"/>
          <w:sz w:val="20"/>
        </w:rPr>
        <w:t>”</w:t>
      </w:r>
      <w:r>
        <w:rPr>
          <w:rFonts w:ascii="Times New Roman;Times;serif" w:hAnsi="Times New Roman;Times;serif"/>
          <w:sz w:val="22"/>
        </w:rPr>
        <w:t>))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(a) the identity of such QPAM and (b)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(iv);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the Source constitutes assets of a “plan(s)” (within the meaning of Part IV(h) of PTE 96-23 (the “</w:t>
      </w:r>
      <w:r>
        <w:rPr>
          <w:rFonts w:ascii="Times New Roman;Times;serif" w:hAnsi="Times New Roman;Times;serif"/>
          <w:b/>
          <w:sz w:val="22"/>
        </w:rPr>
        <w:t>INHAM Exemption</w:t>
      </w:r>
      <w:r>
        <w:rPr>
          <w:rFonts w:ascii="Times New Roman;Times;serif" w:hAnsi="Times New Roman;Times;serif"/>
          <w:sz w:val="20"/>
        </w:rPr>
        <w:t>”</w:t>
      </w:r>
      <w:r>
        <w:rPr>
          <w:rFonts w:ascii="Times New Roman;Times;serif" w:hAnsi="Times New Roman;Times;serif"/>
          <w:sz w:val="22"/>
        </w:rPr>
        <w:t>)) managed by an “in-house asset manager” or “INHAM” (within the meaning of Part IV(a) of the INHAM Exemption), the conditions of Part I(a), (g) and (h) of the INHAM Exemption are satisfied, neither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INHAM nor a person controlling or controlled by the INHAM (applying the definition of “control” in Part IV(d)(3) of the INHAM Exemption) owns a 10% or more interest in the Company and (a) the identity of such INHAM and (b) the name(s) of the employee benefit plan(s) whose assets constitute the Source have been disclosed to the Company in writing pursuant to this clause (v);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the Source is a governmental plan;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w:t>
      </w:r>
      <w:r>
        <w:rPr>
          <w:rFonts w:ascii="Times New Roman;Times;serif" w:hAnsi="Times New Roman;Times;serif"/>
          <w:sz w:val="22"/>
        </w:rPr>
        <w:t>the Source is one or more employee benefit plans, or a separate account or trust fund comprised of one or more employee benefit plans, each of which has been identified to the Company in writing pursuant to this clause (vii);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(viii)</w:t>
      </w:r>
      <w:r>
        <w:rPr>
          <w:rFonts w:ascii="Times New Roman;Times;serif" w:hAnsi="Times New Roman;Times;serif"/>
          <w:sz w:val="22"/>
        </w:rPr>
        <w:t>the Source does not include assets of any employee benefit plan, other than a plan exempt from the coverage of ERISA.</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As used in this paragraph 9B, the terms “employee benefit plan”, “governmental plan”, and “separate account” shall have the respective meanings assigned to such terms in Section 3 of ERISA.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9C.</w:t>
      </w:r>
      <w:r>
        <w:rPr>
          <w:rFonts w:ascii="Times New Roman;Times;serif" w:hAnsi="Times New Roman;Times;serif"/>
          <w:b/>
          <w:sz w:val="22"/>
        </w:rPr>
        <w:t>Experience and Information.</w:t>
      </w:r>
      <w:r>
        <w:rPr>
          <w:rFonts w:ascii="Times New Roman;Times;serif" w:hAnsi="Times New Roman;Times;serif"/>
          <w:sz w:val="20"/>
        </w:rPr>
        <w:t xml:space="preserve">  </w:t>
      </w:r>
      <w:r>
        <w:rPr>
          <w:rFonts w:ascii="Times New Roman;Times;serif" w:hAnsi="Times New Roman;Times;serif"/>
          <w:sz w:val="22"/>
        </w:rPr>
        <w:t xml:space="preserve">Such Purchaser:  (a) is an “accredited investor” as defined in Rule 501 of Regulation D promulgated under the Securities Act; (b) understands that the Series D Notes or the applicable Series of Shelf Notes have not been registered under the Securities Act, or under any state securities laws, and are being offered and sold in reliance upon federal and state exemptions for transactions not involving any public offering; (c) by and through its officers or investment advisor (each of whom has such knowledge and experience in financial and business matters as to be capable of evaluating such Purchaser’s investment), has such knowledge and experience in financial and business matters as to be capable of evaluating its investment, and such Purchaser has the ability to bear the economic risks of its investment; (d) by and through its officers or investment advisor, has reviewed this Agreement, including all exhibits and schedules hereto, and has received the financial statements referred to in paragraph 8B; and (e) by and through its officers or investment advisor, has had, during the course of the transactions contemplated hereby and prior to its receipt of the Series D Notes or the applicable Series of Shelf Notes to be purchased by it, the opportunity to ask questions of, and has received answers from, the Company concerning the transactions contemplated hereby and to obtain any additional information which the Company possesses or could acquire without unreasonable effort or expense;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nothing in this representation nor any such investigation by such Purchaser or by its officers or investment advisor shall limit, diminish, or constitute a waiver of any representation or warranty made under this Agreement or any Transaction Document by the Company and or impair any rights which such Purchaser may have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9D.</w:t>
      </w:r>
      <w:r>
        <w:rPr>
          <w:rFonts w:ascii="Times New Roman;Times;serif" w:hAnsi="Times New Roman;Times;serif"/>
          <w:b/>
          <w:sz w:val="22"/>
        </w:rPr>
        <w:t>Rule 144.</w:t>
      </w:r>
      <w:r>
        <w:rPr>
          <w:rFonts w:ascii="Times New Roman;Times;serif" w:hAnsi="Times New Roman;Times;serif"/>
          <w:sz w:val="20"/>
        </w:rPr>
        <w:t xml:space="preserve">  </w:t>
      </w:r>
      <w:r>
        <w:rPr>
          <w:rFonts w:ascii="Times New Roman;Times;serif" w:hAnsi="Times New Roman;Times;serif"/>
          <w:sz w:val="22"/>
        </w:rPr>
        <w:t>Such Purchaser understands that the Series D Notes or the applicable Series of Shelf Notes may not be sold, transferred, or otherwise disposed of without registration under the Securities Act or the availability of an exemption therefrom and that in the absence of such registration or exemption, the Series D Notes or the applicable Series of Shelf Notes must be held indefinitely.  In particular, such Purchaser is aware that the Series D Notes or the applicable Series of Shelf Notes may not be sold pursuant to Rule 144 promulgated under the Securities Act unless all of the applicable conditions of such rule are met, and that the Company is making no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representation that such conditions will be met in the future.  Such Purchaser represents that, in the absence of an effective registration statement covering the Series D Notes or the applicable Series of Shelf Notes, it will sell, transfer, or otherwise dispose of the Series D Notes or such Series of Shelf Notes only in a manner consistent with its representations set forth in paragraph 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9E.</w:t>
      </w:r>
      <w:r>
        <w:rPr>
          <w:rFonts w:ascii="Times New Roman;Times;serif" w:hAnsi="Times New Roman;Times;serif"/>
          <w:b/>
          <w:sz w:val="22"/>
        </w:rPr>
        <w:t>Legends.</w:t>
      </w:r>
      <w:r>
        <w:rPr>
          <w:rFonts w:ascii="Times New Roman;Times;serif" w:hAnsi="Times New Roman;Times;serif"/>
          <w:sz w:val="20"/>
        </w:rPr>
        <w:t xml:space="preserve">  </w:t>
      </w:r>
      <w:r>
        <w:rPr>
          <w:rFonts w:ascii="Times New Roman;Times;serif" w:hAnsi="Times New Roman;Times;serif"/>
          <w:sz w:val="22"/>
        </w:rPr>
        <w:t>Such Purchaser understands that the certificates evidencing the Series D Notes or the applicable Series of Shelf Notes will bear the following legends, in addition to any legend required by applicable state securities laws:</w:t>
      </w:r>
    </w:p>
    <w:p>
      <w:pPr>
        <w:pStyle w:val="TextBody"/>
        <w:bidi w:val="0"/>
        <w:spacing w:before="0" w:after="240"/>
        <w:ind w:left="0" w:right="0" w:firstLine="720"/>
        <w:jc w:val="both"/>
        <w:rPr/>
      </w:pPr>
      <w:r>
        <w:rPr/>
        <w:t>“</w:t>
      </w:r>
      <w:r>
        <w:rPr>
          <w:rFonts w:ascii="Times New Roman;Times;serif" w:hAnsi="Times New Roman;Times;serif"/>
          <w:sz w:val="22"/>
        </w:rPr>
        <w:t>THE SECURITIES REPRESENTED BY THIS NOTE HAVE NOT BEEN REGISTERED UNDER THE SECURITIES ACT OF 1933, AS AMENDED (THE “ACT”).  THEY MAY NOT BE SOLD, OFFERED FOR SALE, TRANSFERRED OR OTHERWISE DISPOSED OF IN THE ABSENCE OF AN EFFECTIVE REGISTRATION STATEMENT UNDER SAID ACT OR PURSUANT TO AN EXEMPTION FROM THE REQUIREMENT FOR SUCH A REGISTRATION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w:t>
      </w:r>
      <w:r>
        <w:rPr>
          <w:rFonts w:ascii="Times New Roman;Times;serif" w:hAnsi="Times New Roman;Times;serif"/>
          <w:b/>
          <w:sz w:val="22"/>
        </w:rPr>
        <w:t>DEFINITIONS; ACCOUNTING MATTERS</w:t>
      </w:r>
      <w:r>
        <w:rPr>
          <w:rFonts w:ascii="Times New Roman;Times;serif" w:hAnsi="Times New Roman;Times;serif"/>
          <w:sz w:val="22"/>
        </w:rPr>
        <w:t>.  For the purpose of this Agreement, the terms defined in paragraphs 10A and 10B (or within the text of any other paragraph) shall have the respective meanings specified therein and all accounting matters shall be subject to determination as provided in paragraph 10C.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10A.</w:t>
      </w:r>
      <w:r>
        <w:rPr>
          <w:rFonts w:ascii="Times New Roman;Times;serif" w:hAnsi="Times New Roman;Times;serif"/>
          <w:b/>
          <w:sz w:val="22"/>
        </w:rPr>
        <w:t>Yield-Maintenance Terms.</w:t>
      </w:r>
    </w:p>
    <w:p>
      <w:pPr>
        <w:pStyle w:val="TextBody"/>
        <w:bidi w:val="0"/>
        <w:spacing w:before="0" w:after="240"/>
        <w:ind w:left="0" w:right="0" w:firstLine="720"/>
        <w:jc w:val="both"/>
        <w:rPr/>
      </w:pPr>
      <w:r>
        <w:rPr/>
        <w:t>“</w:t>
      </w:r>
      <w:r>
        <w:rPr>
          <w:rFonts w:ascii="Times New Roman;Times;serif" w:hAnsi="Times New Roman;Times;serif"/>
          <w:b/>
          <w:sz w:val="22"/>
        </w:rPr>
        <w:t>Business Day</w:t>
      </w:r>
      <w:r>
        <w:rPr>
          <w:rFonts w:ascii="Times New Roman;Times;serif" w:hAnsi="Times New Roman;Times;serif"/>
          <w:sz w:val="20"/>
        </w:rPr>
        <w:t xml:space="preserve">” </w:t>
      </w:r>
      <w:r>
        <w:rPr>
          <w:rFonts w:ascii="Times New Roman;Times;serif" w:hAnsi="Times New Roman;Times;serif"/>
          <w:sz w:val="22"/>
        </w:rPr>
        <w:t>means any day other than a Saturday, a Sunday or a day on which commercial banks in New York City or San Francisco, California are required or authorized to be closed.</w:t>
      </w:r>
    </w:p>
    <w:p>
      <w:pPr>
        <w:pStyle w:val="TextBody"/>
        <w:bidi w:val="0"/>
        <w:spacing w:before="0" w:after="240"/>
        <w:ind w:left="0" w:right="0" w:firstLine="720"/>
        <w:jc w:val="both"/>
        <w:rPr/>
      </w:pPr>
      <w:r>
        <w:rPr/>
        <w:t>“</w:t>
      </w:r>
      <w:r>
        <w:rPr>
          <w:rFonts w:ascii="Times New Roman;Times;serif" w:hAnsi="Times New Roman;Times;serif"/>
          <w:b/>
          <w:sz w:val="22"/>
        </w:rPr>
        <w:t>Called Principal</w:t>
      </w:r>
      <w:r>
        <w:rPr>
          <w:rFonts w:ascii="Times New Roman;Times;serif" w:hAnsi="Times New Roman;Times;serif"/>
          <w:sz w:val="20"/>
        </w:rPr>
        <w:t xml:space="preserve">” </w:t>
      </w:r>
      <w:r>
        <w:rPr>
          <w:rFonts w:ascii="Times New Roman;Times;serif" w:hAnsi="Times New Roman;Times;serif"/>
          <w:sz w:val="22"/>
        </w:rPr>
        <w:t>means, with respect to any Note, the principal of such Note that (i) is to be prepaid pursuant to paragraph 4B or (ii) has become or is declared to be immediately due and payable pursuant to paragraph 7A, as the context requires.</w:t>
      </w:r>
    </w:p>
    <w:p>
      <w:pPr>
        <w:pStyle w:val="TextBody"/>
        <w:bidi w:val="0"/>
        <w:spacing w:before="0" w:after="240"/>
        <w:ind w:left="0" w:right="0" w:firstLine="720"/>
        <w:jc w:val="both"/>
        <w:rPr/>
      </w:pPr>
      <w:r>
        <w:rPr/>
        <w:t>“</w:t>
      </w:r>
      <w:r>
        <w:rPr>
          <w:rFonts w:ascii="Times New Roman;Times;serif" w:hAnsi="Times New Roman;Times;serif"/>
          <w:b/>
          <w:sz w:val="22"/>
        </w:rPr>
        <w:t>Designated Spread</w:t>
      </w:r>
      <w:r>
        <w:rPr>
          <w:rFonts w:ascii="Times New Roman;Times;serif" w:hAnsi="Times New Roman;Times;serif"/>
          <w:sz w:val="20"/>
        </w:rPr>
        <w:t xml:space="preserve">” </w:t>
      </w:r>
      <w:r>
        <w:rPr>
          <w:rFonts w:ascii="Times New Roman;Times;serif" w:hAnsi="Times New Roman;Times;serif"/>
          <w:sz w:val="22"/>
        </w:rPr>
        <w:t>means 50 basis points.</w:t>
      </w:r>
    </w:p>
    <w:p>
      <w:pPr>
        <w:pStyle w:val="TextBody"/>
        <w:bidi w:val="0"/>
        <w:spacing w:before="0" w:after="240"/>
        <w:ind w:left="0" w:right="0" w:firstLine="720"/>
        <w:jc w:val="both"/>
        <w:rPr/>
      </w:pPr>
      <w:r>
        <w:rPr/>
        <w:t>“</w:t>
      </w:r>
      <w:r>
        <w:rPr>
          <w:rFonts w:ascii="Times New Roman;Times;serif" w:hAnsi="Times New Roman;Times;serif"/>
          <w:b/>
          <w:sz w:val="22"/>
        </w:rPr>
        <w:t>Discounted Value</w:t>
      </w:r>
      <w:r>
        <w:rPr>
          <w:rFonts w:ascii="Times New Roman;Times;serif" w:hAnsi="Times New Roman;Times;serif"/>
          <w:sz w:val="20"/>
        </w:rPr>
        <w:t xml:space="preserve">” </w:t>
      </w:r>
      <w:r>
        <w:rPr>
          <w:rFonts w:ascii="Times New Roman;Times;serif" w:hAnsi="Times New Roman;Times;serif"/>
          <w:sz w:val="22"/>
        </w:rPr>
        <w:t>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(converted to reflect the periodic basis on which interest on such Note is payable, if payable other than on a semiannual basis) equal to the Reinvestment Yield with respect to such Called Principal.</w:t>
      </w:r>
    </w:p>
    <w:p>
      <w:pPr>
        <w:pStyle w:val="TextBody"/>
        <w:bidi w:val="0"/>
        <w:spacing w:before="0" w:after="240"/>
        <w:ind w:left="0" w:right="0" w:firstLine="720"/>
        <w:jc w:val="both"/>
        <w:rPr/>
      </w:pPr>
      <w:r>
        <w:rPr/>
        <w:t>“</w:t>
      </w:r>
      <w:r>
        <w:rPr>
          <w:rFonts w:ascii="Times New Roman;Times;serif" w:hAnsi="Times New Roman;Times;serif"/>
          <w:b/>
          <w:sz w:val="22"/>
        </w:rPr>
        <w:t>Reinvestment Yield</w:t>
      </w:r>
      <w:r>
        <w:rPr>
          <w:rFonts w:ascii="Times New Roman;Times;serif" w:hAnsi="Times New Roman;Times;serif"/>
          <w:sz w:val="20"/>
        </w:rPr>
        <w:t xml:space="preserve">” </w:t>
      </w:r>
      <w:r>
        <w:rPr>
          <w:rFonts w:ascii="Times New Roman;Times;serif" w:hAnsi="Times New Roman;Times;serif"/>
          <w:sz w:val="22"/>
        </w:rPr>
        <w:t>means, with respect to the Called Principal of any Note, the Designated Spread over the yield to maturity implied by (i) the ask-side yields reported, as of 10:00 a.m. (New York City time) on the Business Day next preceding the Settlement Date with respect to such Called Principal, on the display designated as “</w:t>
      </w:r>
      <w:r>
        <w:rPr>
          <w:rFonts w:ascii="Times New Roman;Times;serif" w:hAnsi="Times New Roman;Times;serif"/>
          <w:b/>
          <w:sz w:val="22"/>
        </w:rPr>
        <w:t>Page PX1</w:t>
      </w:r>
      <w:r>
        <w:rPr>
          <w:rFonts w:ascii="Times New Roman;Times;serif" w:hAnsi="Times New Roman;Times;serif"/>
          <w:sz w:val="20"/>
        </w:rPr>
        <w:t xml:space="preserve">” </w:t>
      </w:r>
      <w:r>
        <w:rPr>
          <w:rFonts w:ascii="Times New Roman;Times;serif" w:hAnsi="Times New Roman;Times;serif"/>
          <w:sz w:val="22"/>
        </w:rPr>
        <w:t>on the Bloomberg Financial Services Screen (or such other display as may replace Page PX1 on the Bloomberg Financial Services Screen or, if Bloomberg Financial Services shall cease to report such yields or shall cease to be Prudential Capital Group’s customary source of information for calculating yield-maintenance amounts on privately placed notes, then such source as is then Prudential Capital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Group’s customary source of such information), for actively traded U.S. Treasury securities having a maturity equal to the Remaining Average Life of such Called Principal as of such Settlement Date, or if such yields shall not be reported as of such time or the yields reported as of such time shall not be ascertainable, (ii) the Treasury Constant Maturity Series yields reported, for the latest day for which such yields shall have been so reported as of the Business Day next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shall be determined, if necessary, by (a) converting U.S. Treasury bill quotations to bond-equivalent yields in accordance with accepted financial practice and (b) interpolating linearly between yields reported for various maturities.  The Reinvestment Yield shall be rounded to the same number of decimal places as appears in the coupon of the applicable Note.</w:t>
      </w:r>
    </w:p>
    <w:p>
      <w:pPr>
        <w:pStyle w:val="TextBody"/>
        <w:bidi w:val="0"/>
        <w:spacing w:before="0" w:after="240"/>
        <w:ind w:left="0" w:right="0" w:firstLine="720"/>
        <w:jc w:val="both"/>
        <w:rPr/>
      </w:pPr>
      <w:r>
        <w:rPr/>
        <w:t>“</w:t>
      </w:r>
      <w:r>
        <w:rPr>
          <w:rFonts w:ascii="Times New Roman;Times;serif" w:hAnsi="Times New Roman;Times;serif"/>
          <w:b/>
          <w:sz w:val="22"/>
        </w:rPr>
        <w:t>Remaining Average Life</w:t>
      </w:r>
      <w:r>
        <w:rPr>
          <w:rFonts w:ascii="Times New Roman;Times;serif" w:hAnsi="Times New Roman;Times;serif"/>
          <w:sz w:val="20"/>
        </w:rPr>
        <w:t xml:space="preserve">” </w:t>
      </w:r>
      <w:r>
        <w:rPr>
          <w:rFonts w:ascii="Times New Roman;Times;serif" w:hAnsi="Times New Roman;Times;serif"/>
          <w:sz w:val="22"/>
        </w:rPr>
        <w:t>means, with respect to the Called Principal of any Note, the number of years (calculated to the nearest one-twelfth year) obtained by dividing (i) such Called Principal into (ii) the sum of the products obtained by multiplying (a) each Remaining Scheduled Payment of such Called Principal (but not of interest thereon) by (b) the number of years (calculated to the nearest one-twelfth year) which will elapse between the Settlement Date with respect to such Called Principal and the scheduled due date of such Remaining Scheduled Payment.</w:t>
      </w:r>
    </w:p>
    <w:p>
      <w:pPr>
        <w:pStyle w:val="TextBody"/>
        <w:bidi w:val="0"/>
        <w:spacing w:before="0" w:after="240"/>
        <w:ind w:left="0" w:right="0" w:firstLine="720"/>
        <w:jc w:val="both"/>
        <w:rPr/>
      </w:pPr>
      <w:r>
        <w:rPr/>
        <w:t>“</w:t>
      </w:r>
      <w:r>
        <w:rPr>
          <w:rFonts w:ascii="Times New Roman;Times;serif" w:hAnsi="Times New Roman;Times;serif"/>
          <w:b/>
          <w:sz w:val="22"/>
        </w:rPr>
        <w:t>Remaining Scheduled Payments</w:t>
      </w:r>
      <w:r>
        <w:rPr>
          <w:rFonts w:ascii="Times New Roman;Times;serif" w:hAnsi="Times New Roman;Times;serif"/>
          <w:sz w:val="20"/>
        </w:rPr>
        <w:t xml:space="preserve">” </w:t>
      </w:r>
      <w:r>
        <w:rPr>
          <w:rFonts w:ascii="Times New Roman;Times;serif" w:hAnsi="Times New Roman;Times;serif"/>
          <w:sz w:val="22"/>
        </w:rPr>
        <w:t>means, with respect to the Called Principal of any Note, all payments of such Called Principal and interest thereon that would be due on or after the Settlement Date with respect to such Called Principal if no payment of such Called Principal were made prior to its scheduled due date.</w:t>
      </w:r>
    </w:p>
    <w:p>
      <w:pPr>
        <w:pStyle w:val="TextBody"/>
        <w:bidi w:val="0"/>
        <w:spacing w:before="0" w:after="240"/>
        <w:ind w:left="0" w:right="0" w:firstLine="720"/>
        <w:jc w:val="both"/>
        <w:rPr/>
      </w:pPr>
      <w:r>
        <w:rPr/>
        <w:t>“</w:t>
      </w:r>
      <w:r>
        <w:rPr>
          <w:rFonts w:ascii="Times New Roman;Times;serif" w:hAnsi="Times New Roman;Times;serif"/>
          <w:b/>
          <w:sz w:val="22"/>
        </w:rPr>
        <w:t>Settlement Date</w:t>
      </w:r>
      <w:r>
        <w:rPr>
          <w:rFonts w:ascii="Times New Roman;Times;serif" w:hAnsi="Times New Roman;Times;serif"/>
          <w:sz w:val="20"/>
        </w:rPr>
        <w:t xml:space="preserve">” </w:t>
      </w:r>
      <w:r>
        <w:rPr>
          <w:rFonts w:ascii="Times New Roman;Times;serif" w:hAnsi="Times New Roman;Times;serif"/>
          <w:sz w:val="22"/>
        </w:rPr>
        <w:t>means, with respect to the Called Principal of any Note, the date on which such Called Principal (i) is to be prepaid pursuant to paragraph 4B or (ii) has become or is declared to be immediately due and payable pursuant to paragraph 7A, as the context requires.</w:t>
      </w:r>
    </w:p>
    <w:p>
      <w:pPr>
        <w:pStyle w:val="TextBody"/>
        <w:bidi w:val="0"/>
        <w:spacing w:before="0" w:after="240"/>
        <w:ind w:left="0" w:right="0" w:firstLine="720"/>
        <w:jc w:val="both"/>
        <w:rPr/>
      </w:pPr>
      <w:r>
        <w:rPr/>
        <w:t>“</w:t>
      </w:r>
      <w:r>
        <w:rPr>
          <w:rFonts w:ascii="Times New Roman;Times;serif" w:hAnsi="Times New Roman;Times;serif"/>
          <w:b/>
          <w:sz w:val="22"/>
        </w:rPr>
        <w:t>Yield-Maintenance Amount</w:t>
      </w:r>
      <w:r>
        <w:rPr>
          <w:rFonts w:ascii="Times New Roman;Times;serif" w:hAnsi="Times New Roman;Times;serif"/>
          <w:sz w:val="20"/>
        </w:rPr>
        <w:t xml:space="preserve">” </w:t>
      </w:r>
      <w:r>
        <w:rPr>
          <w:rFonts w:ascii="Times New Roman;Times;serif" w:hAnsi="Times New Roman;Times;serif"/>
          <w:sz w:val="22"/>
        </w:rPr>
        <w:t>means, with respect to any Note, an amount equal to the excess, if any, of the Discounted Value of the Called Principal of such Note over the sum of (i) such Called Principal plus (ii) interest accrued thereon as of (including interest due on) the Settlement Date with respect to such Called Principal.  The Yield-Maintenance Amount shall in no event be less than zero.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10B.</w:t>
      </w:r>
      <w:r>
        <w:rPr>
          <w:rFonts w:ascii="Times New Roman;Times;serif" w:hAnsi="Times New Roman;Times;serif"/>
          <w:b/>
          <w:sz w:val="22"/>
        </w:rPr>
        <w:t>Other Terms</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Acceptance</w:t>
      </w:r>
      <w:r>
        <w:rPr>
          <w:rFonts w:ascii="Times New Roman;Times;serif" w:hAnsi="Times New Roman;Times;serif"/>
          <w:sz w:val="20"/>
        </w:rPr>
        <w:t xml:space="preserve">” </w:t>
      </w:r>
      <w:r>
        <w:rPr>
          <w:rFonts w:ascii="Times New Roman;Times;serif" w:hAnsi="Times New Roman;Times;serif"/>
          <w:sz w:val="22"/>
        </w:rPr>
        <w:t>is defined in paragraph 2B(5).</w:t>
      </w:r>
    </w:p>
    <w:p>
      <w:pPr>
        <w:pStyle w:val="TextBody"/>
        <w:bidi w:val="0"/>
        <w:spacing w:before="0" w:after="240"/>
        <w:ind w:left="0" w:right="0" w:firstLine="720"/>
        <w:jc w:val="both"/>
        <w:rPr/>
      </w:pPr>
      <w:r>
        <w:rPr/>
        <w:t>“</w:t>
      </w:r>
      <w:r>
        <w:rPr>
          <w:rFonts w:ascii="Times New Roman;Times;serif" w:hAnsi="Times New Roman;Times;serif"/>
          <w:b/>
          <w:sz w:val="22"/>
        </w:rPr>
        <w:t>Acceptance Day</w:t>
      </w:r>
      <w:r>
        <w:rPr>
          <w:rFonts w:ascii="Times New Roman;Times;serif" w:hAnsi="Times New Roman;Times;serif"/>
          <w:sz w:val="20"/>
        </w:rPr>
        <w:t xml:space="preserve">” </w:t>
      </w:r>
      <w:r>
        <w:rPr>
          <w:rFonts w:ascii="Times New Roman;Times;serif" w:hAnsi="Times New Roman;Times;serif"/>
          <w:sz w:val="22"/>
        </w:rPr>
        <w:t>is defined in paragraph 2B(5).</w:t>
      </w:r>
    </w:p>
    <w:p>
      <w:pPr>
        <w:pStyle w:val="TextBody"/>
        <w:bidi w:val="0"/>
        <w:spacing w:before="0" w:after="240"/>
        <w:ind w:left="0" w:right="0" w:firstLine="720"/>
        <w:jc w:val="both"/>
        <w:rPr/>
      </w:pPr>
      <w:r>
        <w:rPr/>
        <w:t>“</w:t>
      </w:r>
      <w:r>
        <w:rPr>
          <w:rFonts w:ascii="Times New Roman;Times;serif" w:hAnsi="Times New Roman;Times;serif"/>
          <w:b/>
          <w:sz w:val="22"/>
        </w:rPr>
        <w:t>Acceptance Window</w:t>
      </w:r>
      <w:r>
        <w:rPr>
          <w:rFonts w:ascii="Times New Roman;Times;serif" w:hAnsi="Times New Roman;Times;serif"/>
          <w:sz w:val="20"/>
        </w:rPr>
        <w:t xml:space="preserve">” </w:t>
      </w:r>
      <w:r>
        <w:rPr>
          <w:rFonts w:ascii="Times New Roman;Times;serif" w:hAnsi="Times New Roman;Times;serif"/>
          <w:sz w:val="22"/>
        </w:rPr>
        <w:t>is defined in paragraph 2B(5).</w:t>
      </w:r>
    </w:p>
    <w:p>
      <w:pPr>
        <w:pStyle w:val="TextBody"/>
        <w:bidi w:val="0"/>
        <w:spacing w:before="0" w:after="240"/>
        <w:ind w:left="0" w:right="0" w:firstLine="720"/>
        <w:jc w:val="both"/>
        <w:rPr/>
      </w:pPr>
      <w:r>
        <w:rPr/>
        <w:t>“</w:t>
      </w:r>
      <w:r>
        <w:rPr>
          <w:rFonts w:ascii="Times New Roman;Times;serif" w:hAnsi="Times New Roman;Times;serif"/>
          <w:b/>
          <w:sz w:val="22"/>
        </w:rPr>
        <w:t>Accepted Note</w:t>
      </w:r>
      <w:r>
        <w:rPr>
          <w:rFonts w:ascii="Times New Roman;Times;serif" w:hAnsi="Times New Roman;Times;serif"/>
          <w:sz w:val="20"/>
        </w:rPr>
        <w:t xml:space="preserve">” </w:t>
      </w:r>
      <w:r>
        <w:rPr>
          <w:rFonts w:ascii="Times New Roman;Times;serif" w:hAnsi="Times New Roman;Times;serif"/>
          <w:sz w:val="22"/>
        </w:rPr>
        <w:t>is defined in paragraph 2B(5).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Acquisition</w:t>
      </w:r>
      <w:r>
        <w:rPr>
          <w:rFonts w:ascii="Times New Roman;Times;serif" w:hAnsi="Times New Roman;Times;serif"/>
          <w:sz w:val="20"/>
        </w:rPr>
        <w:t>”</w:t>
      </w:r>
      <w:r>
        <w:rPr>
          <w:rFonts w:ascii="Times New Roman;Times;serif" w:hAnsi="Times New Roman;Times;serif"/>
          <w:sz w:val="22"/>
        </w:rPr>
        <w:t>, by any Person, means the acquisition by such Person, in a single transaction or in a series of related transactions, of either (a) all or substantially all of the property of, or a line of business or division of, another Person or (b) at least a majority of the voting capital stock or other equity interests of another Person, in each case whether or not involving a merger or consolidation with such other Person.</w:t>
      </w:r>
    </w:p>
    <w:p>
      <w:pPr>
        <w:pStyle w:val="TextBody"/>
        <w:bidi w:val="0"/>
        <w:spacing w:before="0" w:after="240"/>
        <w:ind w:left="0" w:right="0" w:firstLine="720"/>
        <w:jc w:val="both"/>
        <w:rPr/>
      </w:pPr>
      <w:r>
        <w:rPr/>
        <w:t>“</w:t>
      </w:r>
      <w:r>
        <w:rPr>
          <w:rFonts w:ascii="Times New Roman;Times;serif" w:hAnsi="Times New Roman;Times;serif"/>
          <w:b/>
          <w:sz w:val="22"/>
        </w:rPr>
        <w:t>Affiliate</w:t>
      </w:r>
      <w:r>
        <w:rPr>
          <w:rFonts w:ascii="Times New Roman;Times;serif" w:hAnsi="Times New Roman;Times;serif"/>
          <w:sz w:val="20"/>
        </w:rPr>
        <w:t xml:space="preserve">” </w:t>
      </w:r>
      <w:r>
        <w:rPr>
          <w:rFonts w:ascii="Times New Roman;Times;serif" w:hAnsi="Times New Roman;Times;serif"/>
          <w:sz w:val="22"/>
        </w:rPr>
        <w:t>means any Person directly or indirectly controlling, controlled by, or under direct or indirect common control with, the Company.  A Person shall be deemed to control another Person if such first Person possesses, directly or indirectly, the power to direct or cause the direction of the management and policies of such other Person, whether through the ownership of voting securities, by contract or otherwise.</w:t>
      </w:r>
    </w:p>
    <w:p>
      <w:pPr>
        <w:pStyle w:val="TextBody"/>
        <w:bidi w:val="0"/>
        <w:spacing w:before="0" w:after="240"/>
        <w:ind w:left="0" w:right="0" w:firstLine="720"/>
        <w:jc w:val="both"/>
        <w:rPr/>
      </w:pPr>
      <w:r>
        <w:rPr/>
        <w:t>“</w:t>
      </w:r>
      <w:r>
        <w:rPr>
          <w:rFonts w:ascii="Times New Roman;Times;serif" w:hAnsi="Times New Roman;Times;serif"/>
          <w:b/>
          <w:sz w:val="22"/>
        </w:rPr>
        <w:t>Agreement</w:t>
      </w:r>
      <w:r>
        <w:rPr>
          <w:rFonts w:ascii="Times New Roman;Times;serif" w:hAnsi="Times New Roman;Times;serif"/>
          <w:sz w:val="20"/>
        </w:rPr>
        <w:t xml:space="preserve">” </w:t>
      </w:r>
      <w:r>
        <w:rPr>
          <w:rFonts w:ascii="Times New Roman;Times;serif" w:hAnsi="Times New Roman;Times;serif"/>
          <w:sz w:val="22"/>
        </w:rPr>
        <w:t>is defined in paragraph 11C.</w:t>
      </w:r>
    </w:p>
    <w:p>
      <w:pPr>
        <w:pStyle w:val="TextBody"/>
        <w:bidi w:val="0"/>
        <w:spacing w:before="0" w:after="240"/>
        <w:ind w:left="0" w:right="0" w:firstLine="720"/>
        <w:jc w:val="both"/>
        <w:rPr/>
      </w:pPr>
      <w:r>
        <w:rPr/>
        <w:t>“</w:t>
      </w:r>
      <w:r>
        <w:rPr>
          <w:rFonts w:ascii="Times New Roman;Times;serif" w:hAnsi="Times New Roman;Times;serif"/>
          <w:b/>
          <w:sz w:val="22"/>
        </w:rPr>
        <w:t>Anti-Corruption Laws</w:t>
      </w:r>
      <w:r>
        <w:rPr>
          <w:rFonts w:ascii="Times New Roman;Times;serif" w:hAnsi="Times New Roman;Times;serif"/>
          <w:sz w:val="20"/>
        </w:rPr>
        <w:t xml:space="preserve">” </w:t>
      </w:r>
      <w:r>
        <w:rPr>
          <w:rFonts w:ascii="Times New Roman;Times;serif" w:hAnsi="Times New Roman;Times;serif"/>
          <w:sz w:val="22"/>
        </w:rPr>
        <w:t>means any law or regulation in a U.S. or any non-U.S. jurisdiction regarding bribery or any other corrupt activity, including the U.S. Foreign Corrupt Practices Act.</w:t>
      </w:r>
    </w:p>
    <w:p>
      <w:pPr>
        <w:pStyle w:val="TextBody"/>
        <w:bidi w:val="0"/>
        <w:spacing w:before="0" w:after="240"/>
        <w:ind w:left="0" w:right="0" w:firstLine="720"/>
        <w:jc w:val="both"/>
        <w:rPr/>
      </w:pPr>
      <w:r>
        <w:rPr/>
        <w:t>“</w:t>
      </w:r>
      <w:r>
        <w:rPr>
          <w:rFonts w:ascii="Times New Roman;Times;serif" w:hAnsi="Times New Roman;Times;serif"/>
          <w:b/>
          <w:sz w:val="22"/>
        </w:rPr>
        <w:t>Anti-Money Laundering Laws</w:t>
      </w:r>
      <w:r>
        <w:rPr>
          <w:rFonts w:ascii="Times New Roman;Times;serif" w:hAnsi="Times New Roman;Times;serif"/>
          <w:sz w:val="20"/>
        </w:rPr>
        <w:t xml:space="preserve">” </w:t>
      </w:r>
      <w:r>
        <w:rPr>
          <w:rFonts w:ascii="Times New Roman;Times;serif" w:hAnsi="Times New Roman;Times;serif"/>
          <w:sz w:val="22"/>
        </w:rPr>
        <w:t>means any law or regulation in a U.S. or any non-U.S. jurisdiction regarding money laundering, drug trafficking, terrorist-related activities or other money laundering predicate crimes, including the Currency and Foreign Transactions Reporting Act of 1970 (otherwise known as the Bank Secrecy Act) and the USA PATRIOT Act.</w:t>
      </w:r>
    </w:p>
    <w:p>
      <w:pPr>
        <w:pStyle w:val="TextBody"/>
        <w:bidi w:val="0"/>
        <w:spacing w:before="0" w:after="240"/>
        <w:ind w:left="0" w:right="0" w:firstLine="720"/>
        <w:jc w:val="both"/>
        <w:rPr/>
      </w:pPr>
      <w:r>
        <w:rPr/>
        <w:t>“</w:t>
      </w:r>
      <w:r>
        <w:rPr>
          <w:rFonts w:ascii="Times New Roman;Times;serif" w:hAnsi="Times New Roman;Times;serif"/>
          <w:b/>
          <w:sz w:val="22"/>
        </w:rPr>
        <w:t>Authorized Officer</w:t>
      </w:r>
      <w:r>
        <w:rPr>
          <w:rFonts w:ascii="Times New Roman;Times;serif" w:hAnsi="Times New Roman;Times;serif"/>
          <w:sz w:val="20"/>
        </w:rPr>
        <w:t xml:space="preserve">” </w:t>
      </w:r>
      <w:r>
        <w:rPr>
          <w:rFonts w:ascii="Times New Roman;Times;serif" w:hAnsi="Times New Roman;Times;serif"/>
          <w:sz w:val="22"/>
        </w:rPr>
        <w:t>means (i) in the case of the Company, any officer of the Company designated as an “Authorized Officer” in the Information Schedule or any officer of the Company designated as an “Authorized Officer” for the purpose of this Agreement in a certificate executed by one of the Company’s then existing Authorized Officers and (ii) in the case of Prudential, any officer of Prudential designated as its “Authorized Officer” in the Information Schedule or any officer of Prudential designated as its “Authorized Officer” for the purpose of this Agreement in a certificate executed by one of its then existing Authorized Officers.  Any action taken under this Agreement on behalf of the Company by any individual who on or after the date of this Agreement shall have been an Authorized Officer of the Company and whom Prudential in good faith believes to be an Authorized Officer of the Company at the time of such action shall be binding on the Company even though such individual shall have ceased to be an Authorized Officer of the Company, and any action taken under this Agreement on behalf of Prudential by any individual who on or after the date of this Agreement shall have been an Authorized Officer of Prudential, and whom the Company in good faith believe to be an Authorized Officer of Prudential at the time of such action shall be binding on Prudential even though such individual shall have ceased to be an Authorized Officer of Prudential.</w:t>
      </w:r>
    </w:p>
    <w:p>
      <w:pPr>
        <w:pStyle w:val="TextBody"/>
        <w:bidi w:val="0"/>
        <w:spacing w:before="0" w:after="240"/>
        <w:ind w:left="0" w:right="0" w:firstLine="720"/>
        <w:jc w:val="both"/>
        <w:rPr/>
      </w:pPr>
      <w:r>
        <w:rPr/>
        <w:t>“</w:t>
      </w:r>
      <w:r>
        <w:rPr>
          <w:rFonts w:ascii="Times New Roman;Times;serif" w:hAnsi="Times New Roman;Times;serif"/>
          <w:b/>
          <w:sz w:val="22"/>
        </w:rPr>
        <w:t>Available Facility Amount</w:t>
      </w:r>
      <w:r>
        <w:rPr>
          <w:rFonts w:ascii="Times New Roman;Times;serif" w:hAnsi="Times New Roman;Times;serif"/>
          <w:sz w:val="20"/>
        </w:rPr>
        <w:t xml:space="preserve">” </w:t>
      </w:r>
      <w:r>
        <w:rPr>
          <w:rFonts w:ascii="Times New Roman;Times;serif" w:hAnsi="Times New Roman;Times;serif"/>
          <w:sz w:val="22"/>
        </w:rPr>
        <w:t>is defined in paragraph 2B(1).</w:t>
      </w:r>
    </w:p>
    <w:p>
      <w:pPr>
        <w:pStyle w:val="TextBody"/>
        <w:bidi w:val="0"/>
        <w:spacing w:before="0" w:after="240"/>
        <w:ind w:left="0" w:right="0" w:firstLine="720"/>
        <w:jc w:val="both"/>
        <w:rPr/>
      </w:pPr>
      <w:r>
        <w:rPr/>
        <w:t>“</w:t>
      </w:r>
      <w:r>
        <w:rPr>
          <w:rFonts w:ascii="Times New Roman;Times;serif" w:hAnsi="Times New Roman;Times;serif"/>
          <w:b/>
          <w:sz w:val="22"/>
        </w:rPr>
        <w:t>Bank Credit Agreement</w:t>
      </w:r>
      <w:r>
        <w:rPr>
          <w:rFonts w:ascii="Times New Roman;Times;serif" w:hAnsi="Times New Roman;Times;serif"/>
          <w:sz w:val="20"/>
        </w:rPr>
        <w:t xml:space="preserve">” </w:t>
      </w:r>
      <w:r>
        <w:rPr>
          <w:rFonts w:ascii="Times New Roman;Times;serif" w:hAnsi="Times New Roman;Times;serif"/>
          <w:sz w:val="22"/>
        </w:rPr>
        <w:t xml:space="preserve">means that certain </w:t>
      </w:r>
      <w:r>
        <w:rPr>
          <w:rFonts w:ascii="Times New Roman;Times;serif" w:hAnsi="Times New Roman;Times;serif"/>
          <w:color w:val="0000FF"/>
          <w:sz w:val="22"/>
          <w:u w:val="single"/>
        </w:rPr>
        <w:t xml:space="preserve">Third Amended and Restated </w:t>
      </w:r>
      <w:r>
        <w:rPr>
          <w:rFonts w:ascii="Times New Roman;Times;serif" w:hAnsi="Times New Roman;Times;serif"/>
          <w:sz w:val="22"/>
        </w:rPr>
        <w:t xml:space="preserve">Credit Agreement, dated as of </w:t>
      </w:r>
      <w:r>
        <w:rPr>
          <w:rFonts w:ascii="Times New Roman;Times;serif" w:hAnsi="Times New Roman;Times;serif"/>
          <w:color w:val="FF0000"/>
          <w:sz w:val="22"/>
        </w:rPr>
        <w:t>June 4 2012</w:t>
      </w:r>
      <w:r>
        <w:rPr>
          <w:rFonts w:ascii="Times New Roman;Times;serif" w:hAnsi="Times New Roman;Times;serif"/>
          <w:color w:val="0000FF"/>
          <w:sz w:val="22"/>
          <w:u w:val="single"/>
        </w:rPr>
        <w:t>July 23, 2025</w:t>
      </w:r>
      <w:r>
        <w:rPr>
          <w:rFonts w:ascii="Times New Roman;Times;serif" w:hAnsi="Times New Roman;Times;serif"/>
          <w:sz w:val="22"/>
        </w:rPr>
        <w:t>, by and among the Company, Bank of America, N.A.</w:t>
      </w:r>
      <w:r>
        <w:rPr>
          <w:rFonts w:ascii="Times New Roman;Times;serif" w:hAnsi="Times New Roman;Times;serif"/>
          <w:color w:val="FF0000"/>
          <w:sz w:val="22"/>
        </w:rPr>
        <w:t>, First Hawaiian Bank  </w:t>
      </w:r>
      <w:r>
        <w:rPr>
          <w:rFonts w:ascii="Times New Roman;Times;serif" w:hAnsi="Times New Roman;Times;serif"/>
          <w:color w:val="0000FF"/>
          <w:sz w:val="22"/>
          <w:u w:val="single"/>
        </w:rPr>
        <w:t>as agent,</w:t>
      </w:r>
      <w:r>
        <w:rPr>
          <w:rFonts w:ascii="Times New Roman;Times;serif" w:hAnsi="Times New Roman;Times;serif"/>
          <w:sz w:val="20"/>
        </w:rPr>
        <w:t xml:space="preserve"> </w:t>
      </w:r>
      <w:r>
        <w:rPr>
          <w:rFonts w:ascii="Times New Roman;Times;serif" w:hAnsi="Times New Roman;Times;serif"/>
          <w:sz w:val="22"/>
        </w:rPr>
        <w:t xml:space="preserve">and the other lenders and financial institutions party thereto, as </w:t>
      </w:r>
      <w:r>
        <w:rPr>
          <w:rFonts w:ascii="Times New Roman;Times;serif" w:hAnsi="Times New Roman;Times;serif"/>
          <w:color w:val="FF0000"/>
          <w:sz w:val="22"/>
        </w:rPr>
        <w:t>amended by that certain First Amendment to Credit Agreement dated as of July 30, 2015,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color w:val="FF0000"/>
          <w:sz w:val="22"/>
        </w:rPr>
        <w:t>as the same may be further</w:t>
      </w:r>
      <w:r>
        <w:rPr>
          <w:rFonts w:ascii="Times New Roman;Times;serif" w:hAnsi="Times New Roman;Times;serif"/>
          <w:color w:val="0000FF"/>
          <w:sz w:val="22"/>
          <w:u w:val="single"/>
        </w:rPr>
        <w:t>may be</w:t>
      </w:r>
      <w:r>
        <w:rPr>
          <w:rFonts w:ascii="Times New Roman;Times;serif" w:hAnsi="Times New Roman;Times;serif"/>
          <w:sz w:val="20"/>
        </w:rPr>
        <w:t xml:space="preserve"> </w:t>
      </w:r>
      <w:r>
        <w:rPr>
          <w:rFonts w:ascii="Times New Roman;Times;serif" w:hAnsi="Times New Roman;Times;serif"/>
          <w:sz w:val="22"/>
        </w:rPr>
        <w:t>amended, amended and restated, supplemented, refinanced, replaced or otherwise modified from time to time.</w:t>
      </w:r>
    </w:p>
    <w:p>
      <w:pPr>
        <w:pStyle w:val="TextBody"/>
        <w:bidi w:val="0"/>
        <w:spacing w:before="0" w:after="240"/>
        <w:ind w:left="0" w:right="0" w:firstLine="720"/>
        <w:jc w:val="both"/>
        <w:rPr/>
      </w:pPr>
      <w:r>
        <w:rPr/>
        <w:t>“</w:t>
      </w:r>
      <w:r>
        <w:rPr>
          <w:rFonts w:ascii="Times New Roman;Times;serif" w:hAnsi="Times New Roman;Times;serif"/>
          <w:b/>
          <w:sz w:val="22"/>
        </w:rPr>
        <w:t>Bankruptcy Law</w:t>
      </w:r>
      <w:r>
        <w:rPr>
          <w:rFonts w:ascii="Times New Roman;Times;serif" w:hAnsi="Times New Roman;Times;serif"/>
          <w:sz w:val="20"/>
        </w:rPr>
        <w:t xml:space="preserve">” </w:t>
      </w:r>
      <w:r>
        <w:rPr>
          <w:rFonts w:ascii="Times New Roman;Times;serif" w:hAnsi="Times New Roman;Times;serif"/>
          <w:sz w:val="22"/>
        </w:rPr>
        <w:t>is defined in clause (vii) of paragraph 7A.</w:t>
      </w:r>
    </w:p>
    <w:p>
      <w:pPr>
        <w:pStyle w:val="TextBody"/>
        <w:bidi w:val="0"/>
        <w:spacing w:before="0" w:after="240"/>
        <w:ind w:left="0" w:right="0" w:firstLine="720"/>
        <w:jc w:val="both"/>
        <w:rPr/>
      </w:pPr>
      <w:r>
        <w:rPr/>
        <w:t>“</w:t>
      </w:r>
      <w:r>
        <w:rPr>
          <w:rFonts w:ascii="Times New Roman;Times;serif" w:hAnsi="Times New Roman;Times;serif"/>
          <w:b/>
          <w:sz w:val="22"/>
        </w:rPr>
        <w:t>Blocked Person</w:t>
      </w:r>
      <w:r>
        <w:rPr>
          <w:rFonts w:ascii="Times New Roman;Times;serif" w:hAnsi="Times New Roman;Times;serif"/>
          <w:sz w:val="20"/>
        </w:rPr>
        <w:t xml:space="preserve">” </w:t>
      </w:r>
      <w:r>
        <w:rPr>
          <w:rFonts w:ascii="Times New Roman;Times;serif" w:hAnsi="Times New Roman;Times;serif"/>
          <w:sz w:val="22"/>
        </w:rPr>
        <w:t>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pStyle w:val="TextBody"/>
        <w:bidi w:val="0"/>
        <w:spacing w:before="0" w:after="240"/>
        <w:ind w:left="0" w:right="0" w:firstLine="720"/>
        <w:jc w:val="both"/>
        <w:rPr/>
      </w:pPr>
      <w:r>
        <w:rPr/>
        <w:t>“</w:t>
      </w:r>
      <w:r>
        <w:rPr>
          <w:rFonts w:ascii="Times New Roman;Times;serif" w:hAnsi="Times New Roman;Times;serif"/>
          <w:b/>
          <w:sz w:val="22"/>
        </w:rPr>
        <w:t>Business Day</w:t>
      </w:r>
      <w:r>
        <w:rPr>
          <w:rFonts w:ascii="Times New Roman;Times;serif" w:hAnsi="Times New Roman;Times;serif"/>
          <w:sz w:val="20"/>
        </w:rPr>
        <w:t xml:space="preserve">” </w:t>
      </w:r>
      <w:r>
        <w:rPr>
          <w:rFonts w:ascii="Times New Roman;Times;serif" w:hAnsi="Times New Roman;Times;serif"/>
          <w:sz w:val="22"/>
        </w:rPr>
        <w:t>is defined in paragraph 10A.</w:t>
      </w:r>
    </w:p>
    <w:p>
      <w:pPr>
        <w:pStyle w:val="TextBody"/>
        <w:bidi w:val="0"/>
        <w:spacing w:before="0" w:after="240"/>
        <w:ind w:left="0" w:right="0" w:firstLine="720"/>
        <w:jc w:val="both"/>
        <w:rPr/>
      </w:pPr>
      <w:r>
        <w:rPr/>
        <w:t>“</w:t>
      </w:r>
      <w:r>
        <w:rPr>
          <w:rFonts w:ascii="Times New Roman;Times;serif" w:hAnsi="Times New Roman;Times;serif"/>
          <w:b/>
          <w:sz w:val="22"/>
        </w:rPr>
        <w:t>Cancellation Date</w:t>
      </w:r>
      <w:r>
        <w:rPr>
          <w:rFonts w:ascii="Times New Roman;Times;serif" w:hAnsi="Times New Roman;Times;serif"/>
          <w:sz w:val="20"/>
        </w:rPr>
        <w:t xml:space="preserve">” </w:t>
      </w:r>
      <w:r>
        <w:rPr>
          <w:rFonts w:ascii="Times New Roman;Times;serif" w:hAnsi="Times New Roman;Times;serif"/>
          <w:sz w:val="22"/>
        </w:rPr>
        <w:t>is defined in paragraph 2B(8)(iv).</w:t>
      </w:r>
    </w:p>
    <w:p>
      <w:pPr>
        <w:pStyle w:val="TextBody"/>
        <w:bidi w:val="0"/>
        <w:spacing w:before="0" w:after="240"/>
        <w:ind w:left="0" w:right="0" w:firstLine="720"/>
        <w:jc w:val="both"/>
        <w:rPr/>
      </w:pPr>
      <w:r>
        <w:rPr/>
        <w:t>“</w:t>
      </w:r>
      <w:r>
        <w:rPr>
          <w:rFonts w:ascii="Times New Roman;Times;serif" w:hAnsi="Times New Roman;Times;serif"/>
          <w:b/>
          <w:sz w:val="22"/>
        </w:rPr>
        <w:t>Cancellation Fee</w:t>
      </w:r>
      <w:r>
        <w:rPr>
          <w:rFonts w:ascii="Times New Roman;Times;serif" w:hAnsi="Times New Roman;Times;serif"/>
          <w:sz w:val="20"/>
        </w:rPr>
        <w:t xml:space="preserve">” </w:t>
      </w:r>
      <w:r>
        <w:rPr>
          <w:rFonts w:ascii="Times New Roman;Times;serif" w:hAnsi="Times New Roman;Times;serif"/>
          <w:sz w:val="22"/>
        </w:rPr>
        <w:t>is defined in paragraph 2B(8)(iv).</w:t>
      </w:r>
    </w:p>
    <w:p>
      <w:pPr>
        <w:pStyle w:val="TextBody"/>
        <w:bidi w:val="0"/>
        <w:spacing w:before="0" w:after="240"/>
        <w:ind w:left="0" w:right="0" w:firstLine="720"/>
        <w:jc w:val="both"/>
        <w:rPr/>
      </w:pPr>
      <w:r>
        <w:rPr/>
        <w:t>“</w:t>
      </w:r>
      <w:r>
        <w:rPr>
          <w:rFonts w:ascii="Times New Roman;Times;serif" w:hAnsi="Times New Roman;Times;serif"/>
          <w:b/>
          <w:sz w:val="22"/>
        </w:rPr>
        <w:t>Capital Assets</w:t>
      </w:r>
      <w:r>
        <w:rPr>
          <w:rFonts w:ascii="Times New Roman;Times;serif" w:hAnsi="Times New Roman;Times;serif"/>
          <w:sz w:val="20"/>
        </w:rPr>
        <w:t xml:space="preserve">” </w:t>
      </w:r>
      <w:r>
        <w:rPr>
          <w:rFonts w:ascii="Times New Roman;Times;serif" w:hAnsi="Times New Roman;Times;serif"/>
          <w:sz w:val="22"/>
        </w:rPr>
        <w:t>means all assets other than current assets, and shall not include any amounts in the Capital Construction Fund.</w:t>
      </w:r>
    </w:p>
    <w:p>
      <w:pPr>
        <w:pStyle w:val="TextBody"/>
        <w:bidi w:val="0"/>
        <w:spacing w:before="0" w:after="240"/>
        <w:ind w:left="0" w:right="0" w:firstLine="720"/>
        <w:jc w:val="both"/>
        <w:rPr/>
      </w:pPr>
      <w:r>
        <w:rPr/>
        <w:t>“</w:t>
      </w:r>
      <w:r>
        <w:rPr>
          <w:rFonts w:ascii="Times New Roman;Times;serif" w:hAnsi="Times New Roman;Times;serif"/>
          <w:b/>
          <w:sz w:val="22"/>
        </w:rPr>
        <w:t>Capital Construction Fund</w:t>
      </w:r>
      <w:r>
        <w:rPr>
          <w:rFonts w:ascii="Times New Roman;Times;serif" w:hAnsi="Times New Roman;Times;serif"/>
          <w:sz w:val="20"/>
        </w:rPr>
        <w:t xml:space="preserve">” </w:t>
      </w:r>
      <w:r>
        <w:rPr>
          <w:rFonts w:ascii="Times New Roman;Times;serif" w:hAnsi="Times New Roman;Times;serif"/>
          <w:sz w:val="22"/>
        </w:rPr>
        <w:t>means the fund established and maintained by Company in accordance with Section 607 of the Merchant Marine Act, 1936, as amended.</w:t>
      </w:r>
    </w:p>
    <w:p>
      <w:pPr>
        <w:pStyle w:val="TextBody"/>
        <w:bidi w:val="0"/>
        <w:spacing w:before="0" w:after="240"/>
        <w:ind w:left="0" w:right="0" w:firstLine="720"/>
        <w:jc w:val="both"/>
        <w:rPr/>
      </w:pPr>
      <w:r>
        <w:rPr/>
        <w:t>“</w:t>
      </w:r>
      <w:r>
        <w:rPr>
          <w:rFonts w:ascii="Times New Roman;Times;serif" w:hAnsi="Times New Roman;Times;serif"/>
          <w:b/>
          <w:sz w:val="22"/>
        </w:rPr>
        <w:t>Capitalized Lease Obligations</w:t>
      </w:r>
      <w:r>
        <w:rPr>
          <w:rFonts w:ascii="Times New Roman;Times;serif" w:hAnsi="Times New Roman;Times;serif"/>
          <w:sz w:val="20"/>
        </w:rPr>
        <w:t xml:space="preserve">” </w:t>
      </w:r>
      <w:r>
        <w:rPr>
          <w:rFonts w:ascii="Times New Roman;Times;serif" w:hAnsi="Times New Roman;Times;serif"/>
          <w:sz w:val="22"/>
        </w:rPr>
        <w:t>means, with respect to any Person, any rental obligation of such Person which, under GAAP in effect as of September 14, 2016, is or will be required to be capitalized on the books of such Person, taken at the amount thereof accounted for as indebtedness (net of interest expense) in accordance with such principles.</w:t>
      </w:r>
    </w:p>
    <w:p>
      <w:pPr>
        <w:pStyle w:val="TextBody"/>
        <w:bidi w:val="0"/>
        <w:spacing w:before="0" w:after="240"/>
        <w:ind w:left="0" w:right="0" w:firstLine="720"/>
        <w:jc w:val="both"/>
        <w:rPr/>
      </w:pPr>
      <w:r>
        <w:rPr/>
        <w:t>“</w:t>
      </w:r>
      <w:r>
        <w:rPr>
          <w:rFonts w:ascii="Times New Roman;Times;serif" w:hAnsi="Times New Roman;Times;serif"/>
          <w:b/>
          <w:sz w:val="22"/>
        </w:rPr>
        <w:t>CCF</w:t>
      </w:r>
      <w:r>
        <w:rPr>
          <w:rFonts w:ascii="Times New Roman;Times;serif" w:hAnsi="Times New Roman;Times;serif"/>
          <w:sz w:val="20"/>
        </w:rPr>
        <w:t xml:space="preserve">” </w:t>
      </w:r>
      <w:r>
        <w:rPr>
          <w:rFonts w:ascii="Times New Roman;Times;serif" w:hAnsi="Times New Roman;Times;serif"/>
          <w:sz w:val="22"/>
        </w:rPr>
        <w:t>means the capital construction fund created under Matson Navigation’s Capital Construction Fund Agreement with the United States of America through the Maritime Administrator.</w:t>
      </w:r>
    </w:p>
    <w:p>
      <w:pPr>
        <w:pStyle w:val="TextBody"/>
        <w:bidi w:val="0"/>
        <w:spacing w:before="0" w:after="240"/>
        <w:ind w:left="0" w:right="0" w:firstLine="720"/>
        <w:jc w:val="both"/>
        <w:rPr/>
      </w:pPr>
      <w:r>
        <w:rPr/>
        <w:t>“</w:t>
      </w:r>
      <w:r>
        <w:rPr>
          <w:rFonts w:ascii="Times New Roman;Times;serif" w:hAnsi="Times New Roman;Times;serif"/>
          <w:b/>
          <w:sz w:val="22"/>
        </w:rPr>
        <w:t>CERCLA</w:t>
      </w:r>
      <w:r>
        <w:rPr>
          <w:rFonts w:ascii="Times New Roman;Times;serif" w:hAnsi="Times New Roman;Times;serif"/>
          <w:sz w:val="20"/>
        </w:rPr>
        <w:t xml:space="preserve">” </w:t>
      </w:r>
      <w:r>
        <w:rPr>
          <w:rFonts w:ascii="Times New Roman;Times;serif" w:hAnsi="Times New Roman;Times;serif"/>
          <w:sz w:val="22"/>
        </w:rPr>
        <w:t>means the Comprehensive Environmental Response, Compensation and Liability Act (42 U.S.C. Section 9601 et. seq.), as amended, and the regulations promulgated thereunder.</w:t>
      </w:r>
    </w:p>
    <w:p>
      <w:pPr>
        <w:pStyle w:val="TextBody"/>
        <w:bidi w:val="0"/>
        <w:spacing w:before="0" w:after="240"/>
        <w:ind w:left="0" w:right="0" w:firstLine="720"/>
        <w:jc w:val="both"/>
        <w:rPr/>
      </w:pPr>
      <w:r>
        <w:rPr/>
        <w:t>“</w:t>
      </w:r>
      <w:r>
        <w:rPr>
          <w:rFonts w:ascii="Times New Roman;Times;serif" w:hAnsi="Times New Roman;Times;serif"/>
          <w:b/>
          <w:sz w:val="22"/>
        </w:rPr>
        <w:t>CFC</w:t>
      </w:r>
      <w:r>
        <w:rPr>
          <w:rFonts w:ascii="Times New Roman;Times;serif" w:hAnsi="Times New Roman;Times;serif"/>
          <w:sz w:val="20"/>
        </w:rPr>
        <w:t xml:space="preserve">” </w:t>
      </w:r>
      <w:r>
        <w:rPr>
          <w:rFonts w:ascii="Times New Roman;Times;serif" w:hAnsi="Times New Roman;Times;serif"/>
          <w:sz w:val="22"/>
        </w:rPr>
        <w:t>means a controlled foreign corporation (as that term is defined in Section 957(a) of the Code).</w:t>
      </w:r>
    </w:p>
    <w:p>
      <w:pPr>
        <w:pStyle w:val="TextBody"/>
        <w:bidi w:val="0"/>
        <w:spacing w:before="0" w:after="240"/>
        <w:ind w:left="0" w:right="0" w:firstLine="720"/>
        <w:jc w:val="both"/>
        <w:rPr/>
      </w:pPr>
      <w:r>
        <w:rPr/>
        <w:t>“</w:t>
      </w:r>
      <w:r>
        <w:rPr>
          <w:rFonts w:ascii="Times New Roman;Times;serif" w:hAnsi="Times New Roman;Times;serif"/>
          <w:b/>
          <w:sz w:val="22"/>
        </w:rPr>
        <w:t>Change of Control</w:t>
      </w:r>
      <w:r>
        <w:rPr>
          <w:rFonts w:ascii="Times New Roman;Times;serif" w:hAnsi="Times New Roman;Times;serif"/>
          <w:sz w:val="20"/>
        </w:rPr>
        <w:t xml:space="preserve">” </w:t>
      </w:r>
      <w:r>
        <w:rPr>
          <w:rFonts w:ascii="Times New Roman;Times;serif" w:hAnsi="Times New Roman;Times;serif"/>
          <w:sz w:val="22"/>
        </w:rPr>
        <w:t>means (i) the acquisition by any “</w:t>
      </w:r>
      <w:r>
        <w:rPr>
          <w:rFonts w:ascii="Times New Roman;Times;serif" w:hAnsi="Times New Roman;Times;serif"/>
          <w:b/>
          <w:sz w:val="22"/>
        </w:rPr>
        <w:t>person</w:t>
      </w:r>
      <w:r>
        <w:rPr>
          <w:rFonts w:ascii="Times New Roman;Times;serif" w:hAnsi="Times New Roman;Times;serif"/>
          <w:sz w:val="20"/>
        </w:rPr>
        <w:t xml:space="preserve">” </w:t>
      </w:r>
      <w:r>
        <w:rPr>
          <w:rFonts w:ascii="Times New Roman;Times;serif" w:hAnsi="Times New Roman;Times;serif"/>
          <w:sz w:val="22"/>
        </w:rPr>
        <w:t>or “</w:t>
      </w:r>
      <w:r>
        <w:rPr>
          <w:rFonts w:ascii="Times New Roman;Times;serif" w:hAnsi="Times New Roman;Times;serif"/>
          <w:b/>
          <w:sz w:val="22"/>
        </w:rPr>
        <w:t>group</w:t>
      </w:r>
      <w:r>
        <w:rPr>
          <w:rFonts w:ascii="Times New Roman;Times;serif" w:hAnsi="Times New Roman;Times;serif"/>
          <w:sz w:val="20"/>
        </w:rPr>
        <w:t xml:space="preserve">” </w:t>
      </w:r>
      <w:r>
        <w:rPr>
          <w:rFonts w:ascii="Times New Roman;Times;serif" w:hAnsi="Times New Roman;Times;serif"/>
          <w:sz w:val="22"/>
        </w:rPr>
        <w:t>(as such terms are used in Sections 13(d)(3) and 14(d)(2) of the Securities Exchange Act of 1934) of outstanding shares of voting stock of the Company representing more than 50% of voting control of the Company, or (ii) the failure of the Company to own 100% of the equity interest of Matson Navigation at any time.</w:t>
      </w:r>
    </w:p>
    <w:p>
      <w:pPr>
        <w:pStyle w:val="TextBody"/>
        <w:bidi w:val="0"/>
        <w:spacing w:before="0" w:after="240"/>
        <w:ind w:left="0" w:right="0" w:firstLine="720"/>
        <w:jc w:val="both"/>
        <w:rPr/>
      </w:pPr>
      <w:r>
        <w:rPr/>
        <w:t>“</w:t>
      </w:r>
      <w:r>
        <w:rPr>
          <w:rFonts w:ascii="Times New Roman;Times;serif" w:hAnsi="Times New Roman;Times;serif"/>
          <w:b/>
          <w:sz w:val="22"/>
        </w:rPr>
        <w:t>Closing Day</w:t>
      </w:r>
      <w:r>
        <w:rPr>
          <w:rFonts w:ascii="Times New Roman;Times;serif" w:hAnsi="Times New Roman;Times;serif"/>
          <w:sz w:val="20"/>
        </w:rPr>
        <w:t xml:space="preserve">” </w:t>
      </w:r>
      <w:r>
        <w:rPr>
          <w:rFonts w:ascii="Times New Roman;Times;serif" w:hAnsi="Times New Roman;Times;serif"/>
          <w:sz w:val="22"/>
        </w:rPr>
        <w:t>means (a) the Series D Closing Day, and (b) with respect to any Accepted Note, the Business Day specified for the closing of the purchase and sale of such Accepted Note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the Confirmation of Acceptance for such Accepted Note, provided that (i) if the Company and the Purchasers which are obligated to purchase any Accepted Notes agree on an earlier Business Day for such closing, the “Closing Day” for such Notes shall be such earlier Business Day, and (ii) if the closing of the purchase and sale of any Accepted Notes is rescheduled pursuant to paragraph 2B(7), the Closing Day for such Notes, for all purposes of this Agreement except references to “original Closing Day” in paragraph 2B(8)(iii), means the Rescheduled Closing Day with respect to such Notes.</w:t>
      </w:r>
    </w:p>
    <w:p>
      <w:pPr>
        <w:pStyle w:val="TextBody"/>
        <w:bidi w:val="0"/>
        <w:spacing w:before="0" w:after="240"/>
        <w:ind w:left="0" w:right="0" w:firstLine="720"/>
        <w:jc w:val="both"/>
        <w:rPr/>
      </w:pPr>
      <w:r>
        <w:rPr/>
        <w:t>“</w:t>
      </w:r>
      <w:r>
        <w:rPr>
          <w:rFonts w:ascii="Times New Roman;Times;serif" w:hAnsi="Times New Roman;Times;serif"/>
          <w:b/>
          <w:sz w:val="22"/>
        </w:rPr>
        <w:t>Code</w:t>
      </w:r>
      <w:r>
        <w:rPr>
          <w:rFonts w:ascii="Times New Roman;Times;serif" w:hAnsi="Times New Roman;Times;serif"/>
          <w:sz w:val="20"/>
        </w:rPr>
        <w:t xml:space="preserve">” </w:t>
      </w:r>
      <w:r>
        <w:rPr>
          <w:rFonts w:ascii="Times New Roman;Times;serif" w:hAnsi="Times New Roman;Times;serif"/>
          <w:sz w:val="22"/>
        </w:rPr>
        <w:t>means the Internal Revenue Code of 1986, as amended.</w:t>
      </w:r>
    </w:p>
    <w:p>
      <w:pPr>
        <w:pStyle w:val="TextBody"/>
        <w:bidi w:val="0"/>
        <w:spacing w:before="0" w:after="240"/>
        <w:ind w:left="0" w:right="0" w:firstLine="720"/>
        <w:jc w:val="both"/>
        <w:rPr/>
      </w:pPr>
      <w:r>
        <w:rPr/>
        <w:t>“</w:t>
      </w:r>
      <w:r>
        <w:rPr>
          <w:rFonts w:ascii="Times New Roman;Times;serif" w:hAnsi="Times New Roman;Times;serif"/>
          <w:b/>
          <w:sz w:val="22"/>
        </w:rPr>
        <w:t>Collateral</w:t>
      </w:r>
      <w:r>
        <w:rPr>
          <w:rFonts w:ascii="Times New Roman;Times;serif" w:hAnsi="Times New Roman;Times;serif"/>
          <w:sz w:val="20"/>
        </w:rPr>
        <w:t xml:space="preserve">” </w:t>
      </w:r>
      <w:r>
        <w:rPr>
          <w:rFonts w:ascii="Times New Roman;Times;serif" w:hAnsi="Times New Roman;Times;serif"/>
          <w:sz w:val="22"/>
        </w:rPr>
        <w:t>means a collective reference to all assets with respect to which Liens in favor of the Collateral Agent are purported to be granted pursuant to and in accordance with the terms of the applicable Collateral Documents.</w:t>
      </w:r>
    </w:p>
    <w:p>
      <w:pPr>
        <w:pStyle w:val="TextBody"/>
        <w:bidi w:val="0"/>
        <w:spacing w:before="0" w:after="240"/>
        <w:ind w:left="0" w:right="0" w:firstLine="720"/>
        <w:jc w:val="both"/>
        <w:rPr/>
      </w:pPr>
      <w:r>
        <w:rPr/>
        <w:t>“</w:t>
      </w:r>
      <w:r>
        <w:rPr>
          <w:rFonts w:ascii="Times New Roman;Times;serif" w:hAnsi="Times New Roman;Times;serif"/>
          <w:b/>
          <w:sz w:val="22"/>
        </w:rPr>
        <w:t>Collateral Agent</w:t>
      </w:r>
      <w:r>
        <w:rPr>
          <w:rFonts w:ascii="Times New Roman;Times;serif" w:hAnsi="Times New Roman;Times;serif"/>
          <w:sz w:val="20"/>
        </w:rPr>
        <w:t xml:space="preserve">” </w:t>
      </w:r>
      <w:r>
        <w:rPr>
          <w:rFonts w:ascii="Times New Roman;Times;serif" w:hAnsi="Times New Roman;Times;serif"/>
          <w:sz w:val="22"/>
        </w:rPr>
        <w:t>means Bank of America in its capacity as collateral agent under any of the Collateral Documents or any successor collateral agent under any of the Collateral Documents.</w:t>
      </w:r>
    </w:p>
    <w:p>
      <w:pPr>
        <w:pStyle w:val="TextBody"/>
        <w:bidi w:val="0"/>
        <w:spacing w:before="0" w:after="240"/>
        <w:ind w:left="0" w:right="0" w:firstLine="720"/>
        <w:jc w:val="both"/>
        <w:rPr/>
      </w:pPr>
      <w:r>
        <w:rPr/>
        <w:t>“</w:t>
      </w:r>
      <w:r>
        <w:rPr>
          <w:rFonts w:ascii="Times New Roman;Times;serif" w:hAnsi="Times New Roman;Times;serif"/>
          <w:b/>
          <w:sz w:val="22"/>
        </w:rPr>
        <w:t>Collateral Documents</w:t>
      </w:r>
      <w:r>
        <w:rPr>
          <w:rFonts w:ascii="Times New Roman;Times;serif" w:hAnsi="Times New Roman;Times;serif"/>
          <w:sz w:val="20"/>
        </w:rPr>
        <w:t xml:space="preserve">” </w:t>
      </w:r>
      <w:r>
        <w:rPr>
          <w:rFonts w:ascii="Times New Roman;Times;serif" w:hAnsi="Times New Roman;Times;serif"/>
          <w:sz w:val="22"/>
        </w:rPr>
        <w:t>means a collective reference to the applicable Security Agreement or Security Agreements.</w:t>
      </w:r>
    </w:p>
    <w:p>
      <w:pPr>
        <w:pStyle w:val="TextBody"/>
        <w:bidi w:val="0"/>
        <w:spacing w:before="0" w:after="240"/>
        <w:ind w:left="0" w:right="0" w:firstLine="720"/>
        <w:jc w:val="both"/>
        <w:rPr/>
      </w:pPr>
      <w:r>
        <w:rPr/>
        <w:t>“</w:t>
      </w:r>
      <w:r>
        <w:rPr>
          <w:rFonts w:ascii="Times New Roman;Times;serif" w:hAnsi="Times New Roman;Times;serif"/>
          <w:b/>
          <w:sz w:val="22"/>
        </w:rPr>
        <w:t>Collateral Election</w:t>
      </w:r>
      <w:r>
        <w:rPr>
          <w:rFonts w:ascii="Times New Roman;Times;serif" w:hAnsi="Times New Roman;Times;serif"/>
          <w:sz w:val="20"/>
        </w:rPr>
        <w:t xml:space="preserve">” </w:t>
      </w:r>
      <w:r>
        <w:rPr>
          <w:rFonts w:ascii="Times New Roman;Times;serif" w:hAnsi="Times New Roman;Times;serif"/>
          <w:sz w:val="22"/>
        </w:rPr>
        <w:t>is defined in paragraph 5I.</w:t>
      </w:r>
    </w:p>
    <w:p>
      <w:pPr>
        <w:pStyle w:val="TextBody"/>
        <w:bidi w:val="0"/>
        <w:spacing w:before="0" w:after="240"/>
        <w:ind w:left="0" w:right="0" w:firstLine="720"/>
        <w:jc w:val="both"/>
        <w:rPr/>
      </w:pPr>
      <w:r>
        <w:rPr/>
        <w:t>“</w:t>
      </w:r>
      <w:r>
        <w:rPr>
          <w:rFonts w:ascii="Times New Roman;Times;serif" w:hAnsi="Times New Roman;Times;serif"/>
          <w:b/>
          <w:sz w:val="22"/>
        </w:rPr>
        <w:t>Company</w:t>
      </w:r>
      <w:r>
        <w:rPr>
          <w:rFonts w:ascii="Times New Roman;Times;serif" w:hAnsi="Times New Roman;Times;serif"/>
          <w:sz w:val="20"/>
        </w:rPr>
        <w:t xml:space="preserve">” </w:t>
      </w:r>
      <w:r>
        <w:rPr>
          <w:rFonts w:ascii="Times New Roman;Times;serif" w:hAnsi="Times New Roman;Times;serif"/>
          <w:sz w:val="22"/>
        </w:rPr>
        <w:t>is defined in the introductory paragraph hereto.</w:t>
      </w:r>
    </w:p>
    <w:p>
      <w:pPr>
        <w:pStyle w:val="TextBody"/>
        <w:bidi w:val="0"/>
        <w:spacing w:before="0" w:after="240"/>
        <w:ind w:left="0" w:right="0" w:firstLine="720"/>
        <w:jc w:val="both"/>
        <w:rPr/>
      </w:pPr>
      <w:r>
        <w:rPr/>
        <w:t>“</w:t>
      </w:r>
      <w:r>
        <w:rPr>
          <w:rFonts w:ascii="Times New Roman;Times;serif" w:hAnsi="Times New Roman;Times;serif"/>
          <w:b/>
          <w:sz w:val="22"/>
        </w:rPr>
        <w:t>Confidential Information</w:t>
      </w:r>
      <w:r>
        <w:rPr>
          <w:rFonts w:ascii="Times New Roman;Times;serif" w:hAnsi="Times New Roman;Times;serif"/>
          <w:sz w:val="20"/>
        </w:rPr>
        <w:t xml:space="preserve">” </w:t>
      </w:r>
      <w:r>
        <w:rPr>
          <w:rFonts w:ascii="Times New Roman;Times;serif" w:hAnsi="Times New Roman;Times;serif"/>
          <w:sz w:val="22"/>
        </w:rPr>
        <w:t>is defined in paragraph 11R.</w:t>
      </w:r>
    </w:p>
    <w:p>
      <w:pPr>
        <w:pStyle w:val="TextBody"/>
        <w:bidi w:val="0"/>
        <w:spacing w:before="0" w:after="240"/>
        <w:ind w:left="0" w:right="0" w:firstLine="720"/>
        <w:jc w:val="both"/>
        <w:rPr/>
      </w:pPr>
      <w:r>
        <w:rPr/>
        <w:t>“</w:t>
      </w:r>
      <w:r>
        <w:rPr>
          <w:rFonts w:ascii="Times New Roman;Times;serif" w:hAnsi="Times New Roman;Times;serif"/>
          <w:b/>
          <w:sz w:val="22"/>
        </w:rPr>
        <w:t>Confirmation of Acceptance</w:t>
      </w:r>
      <w:r>
        <w:rPr>
          <w:rFonts w:ascii="Times New Roman;Times;serif" w:hAnsi="Times New Roman;Times;serif"/>
          <w:sz w:val="20"/>
        </w:rPr>
        <w:t xml:space="preserve">” </w:t>
      </w:r>
      <w:r>
        <w:rPr>
          <w:rFonts w:ascii="Times New Roman;Times;serif" w:hAnsi="Times New Roman;Times;serif"/>
          <w:sz w:val="22"/>
        </w:rPr>
        <w:t>is defined in paragraph 2B(5).</w:t>
      </w:r>
    </w:p>
    <w:p>
      <w:pPr>
        <w:pStyle w:val="TextBody"/>
        <w:bidi w:val="0"/>
        <w:spacing w:before="0" w:after="240"/>
        <w:ind w:left="0" w:right="0" w:firstLine="720"/>
        <w:jc w:val="both"/>
        <w:rPr/>
      </w:pPr>
      <w:r>
        <w:rPr/>
        <w:t>“</w:t>
      </w:r>
      <w:r>
        <w:rPr>
          <w:rFonts w:ascii="Times New Roman;Times;serif" w:hAnsi="Times New Roman;Times;serif"/>
          <w:b/>
          <w:sz w:val="22"/>
        </w:rPr>
        <w:t>Consolidated EBITDA</w:t>
      </w:r>
      <w:r>
        <w:rPr>
          <w:rFonts w:ascii="Times New Roman;Times;serif" w:hAnsi="Times New Roman;Times;serif"/>
          <w:sz w:val="20"/>
        </w:rPr>
        <w:t xml:space="preserve">” </w:t>
      </w:r>
      <w:r>
        <w:rPr>
          <w:rFonts w:ascii="Times New Roman;Times;serif" w:hAnsi="Times New Roman;Times;serif"/>
          <w:sz w:val="22"/>
        </w:rPr>
        <w:t xml:space="preserve">means, for any period, for the Company and its Subsidiaries on a consolidated basis, an amount equal to Consolidated Net Income for such period </w:t>
      </w:r>
      <w:r>
        <w:rPr>
          <w:rFonts w:ascii="Times New Roman;Times;serif" w:hAnsi="Times New Roman;Times;serif"/>
          <w:sz w:val="22"/>
          <w:u w:val="single"/>
        </w:rPr>
        <w:t>plus</w:t>
      </w:r>
      <w:r>
        <w:rPr>
          <w:rFonts w:ascii="Times New Roman;Times;serif" w:hAnsi="Times New Roman;Times;serif"/>
          <w:sz w:val="20"/>
        </w:rPr>
        <w:t> </w:t>
      </w:r>
      <w:r>
        <w:rPr>
          <w:rFonts w:ascii="Times New Roman;Times;serif" w:hAnsi="Times New Roman;Times;serif"/>
          <w:sz w:val="22"/>
        </w:rPr>
        <w:t xml:space="preserve">the following to the extent deducted in calculating such Consolidated Net Income:  (i) Consolidated Interest Expense for such period, (ii) the provision for federal, state, local and foreign income taxes payable for such period, (iii) depreciation expense for such period, (iv) amortization expense for such period, (v) deferred dry-docking amortization expense for such period (to the extent not included in the preceding clause (iv)), </w:t>
      </w:r>
      <w:r>
        <w:rPr>
          <w:rFonts w:ascii="Times New Roman;Times;serif" w:hAnsi="Times New Roman;Times;serif"/>
          <w:color w:val="FF0000"/>
          <w:sz w:val="22"/>
        </w:rPr>
        <w:t xml:space="preserve">and </w:t>
      </w:r>
      <w:r>
        <w:rPr>
          <w:rFonts w:ascii="Times New Roman;Times;serif" w:hAnsi="Times New Roman;Times;serif"/>
          <w:sz w:val="22"/>
        </w:rPr>
        <w:t>(vi) non-cash stock-based compensation</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and (vii) any non-cash impairment, restructuring or other one-time, non-cash non-recurring charge</w:t>
      </w:r>
      <w:r>
        <w:rPr>
          <w:rFonts w:ascii="Times New Roman;Times;serif" w:hAnsi="Times New Roman;Times;serif"/>
          <w:sz w:val="22"/>
        </w:rPr>
        <w:t xml:space="preserve">.  For purposes of calculating Consolidated EBITDA for any period of four consecutive quarters, if during such period the Company or any Subsidiary shall have consummated (i) an Acquisition of a Person that constitutes a Material Subsidiary (including any such Acquisition structured as an asset purchase, merger or consolidation) or an Acquisition of a Material Line of Business, then Consolidated EBITDA for such period shall be calculated after giving pro forma effect thereto as if such transaction occurred on the first day of such period; </w:t>
      </w:r>
      <w:r>
        <w:rPr>
          <w:rFonts w:ascii="Times New Roman;Times;serif" w:hAnsi="Times New Roman;Times;serif"/>
          <w:sz w:val="22"/>
          <w:u w:val="single"/>
        </w:rPr>
        <w:t>provided</w:t>
      </w:r>
      <w:r>
        <w:rPr>
          <w:rFonts w:ascii="Times New Roman;Times;serif" w:hAnsi="Times New Roman;Times;serif"/>
          <w:sz w:val="22"/>
        </w:rPr>
        <w:t>, that if the aggregate purchase price for any Acquisition is greater than or equal to $25,000,000, Consolidated EBITDA shall only be calculated on a pro forma basis with respect to such Acquisition to the extent such pro forma calculations are based on audited financial statements or other financial statements reasonably satisfactory to the Required Holders and (ii) a disposition of all or substantially all of the assets of a Material Subsidiary or of at least 50% of the equity interests of a Material Subsidiary or of 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Material Line of Business, then Consolidated EBITDA for such period shall be calculated after giving pro forma effect thereto as if such transaction occurred on the first day of such period.</w:t>
      </w:r>
    </w:p>
    <w:p>
      <w:pPr>
        <w:pStyle w:val="TextBody"/>
        <w:bidi w:val="0"/>
        <w:spacing w:before="0" w:after="240"/>
        <w:ind w:left="0" w:right="0" w:firstLine="720"/>
        <w:jc w:val="both"/>
        <w:rPr/>
      </w:pPr>
      <w:r>
        <w:rPr>
          <w:color w:val="FF0000"/>
        </w:rPr>
        <w:t>“</w:t>
      </w:r>
      <w:r>
        <w:rPr>
          <w:rFonts w:ascii="Times New Roman;Times;serif" w:hAnsi="Times New Roman;Times;serif"/>
          <w:b/>
          <w:color w:val="FF0000"/>
          <w:sz w:val="22"/>
        </w:rPr>
        <w:t>Consolidated Interest Coverage Ratio</w:t>
      </w:r>
      <w:r>
        <w:rPr>
          <w:rFonts w:ascii="Times New Roman;Times;serif" w:hAnsi="Times New Roman;Times;serif"/>
          <w:color w:val="FF0000"/>
          <w:sz w:val="20"/>
        </w:rPr>
        <w:t xml:space="preserve">” </w:t>
      </w:r>
      <w:r>
        <w:rPr>
          <w:rFonts w:ascii="Times New Roman;Times;serif" w:hAnsi="Times New Roman;Times;serif"/>
          <w:color w:val="FF0000"/>
          <w:sz w:val="22"/>
        </w:rPr>
        <w:t>means, on any date of determination thereof, the ratio of (i) Consolidated EBITDA for the period of four consecutive fiscal quarters ended on such date to (ii) Consolidated Interest Expense for such period.</w:t>
      </w:r>
    </w:p>
    <w:p>
      <w:pPr>
        <w:pStyle w:val="TextBody"/>
        <w:bidi w:val="0"/>
        <w:spacing w:before="0" w:after="240"/>
        <w:ind w:left="0" w:right="0" w:firstLine="720"/>
        <w:jc w:val="both"/>
        <w:rPr/>
      </w:pPr>
      <w:r>
        <w:rPr/>
        <w:t>“</w:t>
      </w:r>
      <w:r>
        <w:rPr>
          <w:rFonts w:ascii="Times New Roman;Times;serif" w:hAnsi="Times New Roman;Times;serif"/>
          <w:b/>
          <w:sz w:val="22"/>
        </w:rPr>
        <w:t>Consolidated Interest Expense</w:t>
      </w:r>
      <w:r>
        <w:rPr>
          <w:rFonts w:ascii="Times New Roman;Times;serif" w:hAnsi="Times New Roman;Times;serif"/>
          <w:sz w:val="20"/>
        </w:rPr>
        <w:t xml:space="preserve">” </w:t>
      </w:r>
      <w:r>
        <w:rPr>
          <w:rFonts w:ascii="Times New Roman;Times;serif" w:hAnsi="Times New Roman;Times;serif"/>
          <w:sz w:val="22"/>
        </w:rPr>
        <w:t xml:space="preserve">means, for any period, for the Company and its Subsidiaries on a consolidated basis,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(b) the portion of rent expense with respect to such period under capital leases that is treated as interest in accordance with GAAP.</w:t>
      </w:r>
    </w:p>
    <w:p>
      <w:pPr>
        <w:pStyle w:val="TextBody"/>
        <w:bidi w:val="0"/>
        <w:spacing w:before="0" w:after="240"/>
        <w:ind w:left="0" w:right="0" w:firstLine="720"/>
        <w:jc w:val="both"/>
        <w:rPr/>
      </w:pPr>
      <w:r>
        <w:rPr/>
        <w:t>“</w:t>
      </w:r>
      <w:r>
        <w:rPr>
          <w:rFonts w:ascii="Times New Roman;Times;serif" w:hAnsi="Times New Roman;Times;serif"/>
          <w:b/>
          <w:sz w:val="22"/>
        </w:rPr>
        <w:t>Consolidated Leverage Ratio</w:t>
      </w:r>
      <w:r>
        <w:rPr>
          <w:rFonts w:ascii="Times New Roman;Times;serif" w:hAnsi="Times New Roman;Times;serif"/>
          <w:sz w:val="20"/>
        </w:rPr>
        <w:t xml:space="preserve">” </w:t>
      </w:r>
      <w:r>
        <w:rPr>
          <w:rFonts w:ascii="Times New Roman;Times;serif" w:hAnsi="Times New Roman;Times;serif"/>
          <w:sz w:val="22"/>
        </w:rPr>
        <w:t>is defined in paragraph 6A(2).</w:t>
      </w:r>
    </w:p>
    <w:p>
      <w:pPr>
        <w:pStyle w:val="TextBody"/>
        <w:bidi w:val="0"/>
        <w:spacing w:before="0" w:after="240"/>
        <w:ind w:left="0" w:right="0" w:firstLine="720"/>
        <w:jc w:val="both"/>
        <w:rPr/>
      </w:pPr>
      <w:r>
        <w:rPr/>
        <w:t>“</w:t>
      </w:r>
      <w:r>
        <w:rPr>
          <w:rFonts w:ascii="Times New Roman;Times;serif" w:hAnsi="Times New Roman;Times;serif"/>
          <w:b/>
          <w:sz w:val="22"/>
        </w:rPr>
        <w:t>Consolidated Net Income</w:t>
      </w:r>
      <w:r>
        <w:rPr>
          <w:rFonts w:ascii="Times New Roman;Times;serif" w:hAnsi="Times New Roman;Times;serif"/>
          <w:sz w:val="20"/>
        </w:rPr>
        <w:t xml:space="preserve">” </w:t>
      </w:r>
      <w:r>
        <w:rPr>
          <w:rFonts w:ascii="Times New Roman;Times;serif" w:hAnsi="Times New Roman;Times;serif"/>
          <w:sz w:val="22"/>
        </w:rPr>
        <w:t>means, for any period, the consolidated net income of the Company and its Subsidiaries (excluding, to the extent included in such consolidated net income, (a) non-cash gains or losses during such period from the write-up or write-down of assets and (b) income or loss during such period from discontinued operations) as determined in accordance with GAAP.</w:t>
      </w:r>
    </w:p>
    <w:p>
      <w:pPr>
        <w:pStyle w:val="TextBody"/>
        <w:bidi w:val="0"/>
        <w:spacing w:before="0" w:after="240"/>
        <w:ind w:left="0" w:right="0" w:firstLine="720"/>
        <w:jc w:val="both"/>
        <w:rPr/>
      </w:pPr>
      <w:r>
        <w:rPr/>
        <w:t>“</w:t>
      </w:r>
      <w:r>
        <w:rPr>
          <w:rFonts w:ascii="Times New Roman;Times;serif" w:hAnsi="Times New Roman;Times;serif"/>
          <w:b/>
          <w:sz w:val="22"/>
        </w:rPr>
        <w:t>Consolidated Tangible Assets</w:t>
      </w:r>
      <w:r>
        <w:rPr>
          <w:rFonts w:ascii="Times New Roman;Times;serif" w:hAnsi="Times New Roman;Times;serif"/>
          <w:sz w:val="20"/>
        </w:rPr>
        <w:t xml:space="preserve">” </w:t>
      </w:r>
      <w:r>
        <w:rPr>
          <w:rFonts w:ascii="Times New Roman;Times;serif" w:hAnsi="Times New Roman;Times;serif"/>
          <w:sz w:val="22"/>
        </w:rPr>
        <w:t>means, as of any date, total assets (excluding treasury stock, unamortized debt discount and expense, goodwill, trademarks, trade names, patents, deferred charges and other intangible assets) of the Company and its Subsidiaries on a consolidated basis, as determined in accordance with GAAP.  Unless otherwise specified, “Consolidated Tangible Assets” at any time will be deemed to be such amount as determined based on the most recent financial statements delivered at such time pursuant to the requirements of paragraph 5A(i) or (ii) of this Agreement or the Prior Agreement.</w:t>
      </w:r>
    </w:p>
    <w:p>
      <w:pPr>
        <w:pStyle w:val="TextBody"/>
        <w:bidi w:val="0"/>
        <w:spacing w:before="0" w:after="240"/>
        <w:ind w:left="0" w:right="0" w:firstLine="720"/>
        <w:jc w:val="both"/>
        <w:rPr/>
      </w:pPr>
      <w:r>
        <w:rPr/>
        <w:t>“</w:t>
      </w:r>
      <w:r>
        <w:rPr>
          <w:rFonts w:ascii="Times New Roman;Times;serif" w:hAnsi="Times New Roman;Times;serif"/>
          <w:b/>
          <w:sz w:val="22"/>
        </w:rPr>
        <w:t>Control</w:t>
      </w:r>
      <w:r>
        <w:rPr>
          <w:rFonts w:ascii="Times New Roman;Times;serif" w:hAnsi="Times New Roman;Times;serif"/>
          <w:sz w:val="20"/>
        </w:rPr>
        <w:t xml:space="preserve">” </w:t>
      </w:r>
      <w:r>
        <w:rPr>
          <w:rFonts w:ascii="Times New Roman;Times;serif" w:hAnsi="Times New Roman;Times;serif"/>
          <w:sz w:val="22"/>
        </w:rPr>
        <w:t>means the possession, directly or indirectly, of the power to direct or cause the direction of the management and policies of a Person, whether through the ownership of voting securities, by contract or otherwise; and the terms “</w:t>
      </w:r>
      <w:r>
        <w:rPr>
          <w:rFonts w:ascii="Times New Roman;Times;serif" w:hAnsi="Times New Roman;Times;serif"/>
          <w:b/>
          <w:sz w:val="22"/>
        </w:rPr>
        <w:t>Controlling</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b/>
          <w:sz w:val="22"/>
        </w:rPr>
        <w:t>Controlled</w:t>
      </w:r>
      <w:r>
        <w:rPr>
          <w:rFonts w:ascii="Times New Roman;Times;serif" w:hAnsi="Times New Roman;Times;serif"/>
          <w:sz w:val="20"/>
        </w:rPr>
        <w:t xml:space="preserve">” </w:t>
      </w:r>
      <w:r>
        <w:rPr>
          <w:rFonts w:ascii="Times New Roman;Times;serif" w:hAnsi="Times New Roman;Times;serif"/>
          <w:sz w:val="22"/>
        </w:rPr>
        <w:t>have meanings correlative thereto.</w:t>
      </w:r>
    </w:p>
    <w:p>
      <w:pPr>
        <w:pStyle w:val="TextBody"/>
        <w:bidi w:val="0"/>
        <w:spacing w:before="0" w:after="240"/>
        <w:ind w:left="0" w:right="0" w:firstLine="720"/>
        <w:jc w:val="both"/>
        <w:rPr/>
      </w:pPr>
      <w:r>
        <w:rPr/>
        <w:t>“</w:t>
      </w:r>
      <w:r>
        <w:rPr>
          <w:rFonts w:ascii="Times New Roman;Times;serif" w:hAnsi="Times New Roman;Times;serif"/>
          <w:b/>
          <w:sz w:val="22"/>
        </w:rPr>
        <w:t>Controlled Entity</w:t>
      </w:r>
      <w:r>
        <w:rPr>
          <w:rFonts w:ascii="Times New Roman;Times;serif" w:hAnsi="Times New Roman;Times;serif"/>
          <w:sz w:val="20"/>
        </w:rPr>
        <w:t xml:space="preserve">” </w:t>
      </w:r>
      <w:r>
        <w:rPr>
          <w:rFonts w:ascii="Times New Roman;Times;serif" w:hAnsi="Times New Roman;Times;serif"/>
          <w:sz w:val="22"/>
        </w:rPr>
        <w:t>means (a) any of the Subsidiaries of the Company and any of their or the Company’s respective Controlled Affiliates and (b) if the Company has a parent company, such parent company and its Controlled Affiliates.</w:t>
      </w:r>
    </w:p>
    <w:p>
      <w:pPr>
        <w:pStyle w:val="TextBody"/>
        <w:bidi w:val="0"/>
        <w:spacing w:before="0" w:after="240"/>
        <w:ind w:left="0" w:right="0" w:firstLine="720"/>
        <w:jc w:val="both"/>
        <w:rPr/>
      </w:pPr>
      <w:r>
        <w:rPr/>
        <w:t>“</w:t>
      </w:r>
      <w:r>
        <w:rPr>
          <w:rFonts w:ascii="Times New Roman;Times;serif" w:hAnsi="Times New Roman;Times;serif"/>
          <w:b/>
          <w:sz w:val="22"/>
        </w:rPr>
        <w:t>Convertible Notes Indenture</w:t>
      </w:r>
      <w:r>
        <w:rPr>
          <w:rFonts w:ascii="Times New Roman;Times;serif" w:hAnsi="Times New Roman;Times;serif"/>
          <w:sz w:val="20"/>
        </w:rPr>
        <w:t xml:space="preserve">” </w:t>
      </w:r>
      <w:r>
        <w:rPr>
          <w:rFonts w:ascii="Times New Roman;Times;serif" w:hAnsi="Times New Roman;Times;serif"/>
          <w:sz w:val="22"/>
        </w:rPr>
        <w:t>means that certain Indenture, dated as of October 5, 2011, between Matson Alaska, as issuer, and U.S. Bank National Association, as trustee and collateral agent, governing the Horizon Notes, and all related ancillary and security documents, as such indenture and such ancillary and security documents may be amended, supplemented, modified, renewed, replaced and/or restated from time to time, so long as the amount of the Horizon Notes is not increased and the tenor is not extended.</w:t>
      </w:r>
    </w:p>
    <w:p>
      <w:pPr>
        <w:pStyle w:val="TextBody"/>
        <w:bidi w:val="0"/>
        <w:spacing w:before="0" w:after="240"/>
        <w:ind w:left="0" w:right="0" w:firstLine="720"/>
        <w:jc w:val="both"/>
        <w:rPr/>
      </w:pPr>
      <w:r>
        <w:rPr/>
        <w:t>“</w:t>
      </w:r>
      <w:r>
        <w:rPr>
          <w:rFonts w:ascii="Times New Roman;Times;serif" w:hAnsi="Times New Roman;Times;serif"/>
          <w:b/>
          <w:sz w:val="22"/>
        </w:rPr>
        <w:t>Credit Parties</w:t>
      </w:r>
      <w:r>
        <w:rPr>
          <w:rFonts w:ascii="Times New Roman;Times;serif" w:hAnsi="Times New Roman;Times;serif"/>
          <w:sz w:val="20"/>
        </w:rPr>
        <w:t xml:space="preserve">” </w:t>
      </w:r>
      <w:r>
        <w:rPr>
          <w:rFonts w:ascii="Times New Roman;Times;serif" w:hAnsi="Times New Roman;Times;serif"/>
          <w:sz w:val="22"/>
        </w:rPr>
        <w:t>means the Company and the Guarantors.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Credit Rating</w:t>
      </w:r>
      <w:r>
        <w:rPr>
          <w:rFonts w:ascii="Times New Roman;Times;serif" w:hAnsi="Times New Roman;Times;serif"/>
          <w:sz w:val="20"/>
        </w:rPr>
        <w:t xml:space="preserve">” </w:t>
      </w:r>
      <w:r>
        <w:rPr>
          <w:rFonts w:ascii="Times New Roman;Times;serif" w:hAnsi="Times New Roman;Times;serif"/>
          <w:sz w:val="22"/>
        </w:rPr>
        <w:t>means the public credit rating of the Notes issued by a Rating Agency, which credit rating identifies the Notes by their applicable Private Placement Number issued by Standard  Poor’s CUSIP Bureau.</w:t>
      </w:r>
    </w:p>
    <w:p>
      <w:pPr>
        <w:pStyle w:val="TextBody"/>
        <w:bidi w:val="0"/>
        <w:spacing w:before="0" w:after="240"/>
        <w:ind w:left="0" w:right="0" w:firstLine="720"/>
        <w:jc w:val="both"/>
        <w:rPr/>
      </w:pPr>
      <w:r>
        <w:rPr/>
        <w:t>“</w:t>
      </w:r>
      <w:r>
        <w:rPr>
          <w:rFonts w:ascii="Times New Roman;Times;serif" w:hAnsi="Times New Roman;Times;serif"/>
          <w:b/>
          <w:sz w:val="22"/>
        </w:rPr>
        <w:t>Debt</w:t>
      </w:r>
      <w:r>
        <w:rPr>
          <w:rFonts w:ascii="Times New Roman;Times;serif" w:hAnsi="Times New Roman;Times;serif"/>
          <w:sz w:val="20"/>
        </w:rPr>
        <w:t xml:space="preserve">” </w:t>
      </w:r>
      <w:r>
        <w:rPr>
          <w:rFonts w:ascii="Times New Roman;Times;serif" w:hAnsi="Times New Roman;Times;serif"/>
          <w:sz w:val="22"/>
        </w:rPr>
        <w:t>means, as to any Person at the time of determination thereof without duplication, (a) any indebtedness of such Person (i) for borrowed money, including commercial paper and revolving credit lines, (ii) evidenced by bonds, debentures or notes or otherwise representing extensions of credit, whether or not representing obligations for borrowed money (except trade accounts payable arising in the ordinary course of business) or (iii) for the payment of the deferred purchase price of property or services, except trade accounts payable arising in the ordinary course of business, regardless of when such liability or other obligation is due and payable, (b) Capitalized Lease Obligations of such Person, (c) direct or contingent obligations under standby letters of credit (and substantially similar instruments such as bank guaranties), (d) Guarantees, assumptions and endorsements by such Person (other than endorsements of negotiable instruments for collection in the ordinary course of business) of Debt of another Person of the types described in clauses (a), (b) and (c) hereof, and (e) Debt of another Person of the types described in clauses (a), (b) and (c) hereof that is secured by Liens on the property or other assets of such Person.  Notwithstanding the foregoing, “Debt” shall not include (i) to the extent not exceeding $15,000,000 at any time outstanding, unsecured contingent reimbursement obligations under standby letters of credit (and substantially similar instruments such as bank guaranties) or (ii) a Guarantee of Matson Navigation’s trade accounts receivable purchased or held by the CCF.</w:t>
      </w:r>
    </w:p>
    <w:p>
      <w:pPr>
        <w:pStyle w:val="TextBody"/>
        <w:bidi w:val="0"/>
        <w:spacing w:before="0" w:after="240"/>
        <w:ind w:left="0" w:right="0" w:firstLine="720"/>
        <w:jc w:val="both"/>
        <w:rPr/>
      </w:pPr>
      <w:r>
        <w:rPr/>
        <w:t>“</w:t>
      </w:r>
      <w:r>
        <w:rPr>
          <w:rFonts w:ascii="Times New Roman;Times;serif" w:hAnsi="Times New Roman;Times;serif"/>
          <w:b/>
          <w:sz w:val="22"/>
        </w:rPr>
        <w:t>Default Rate</w:t>
      </w:r>
      <w:r>
        <w:rPr>
          <w:rFonts w:ascii="Times New Roman;Times;serif" w:hAnsi="Times New Roman;Times;serif"/>
          <w:sz w:val="20"/>
        </w:rPr>
        <w:t xml:space="preserve">” </w:t>
      </w:r>
      <w:r>
        <w:rPr>
          <w:rFonts w:ascii="Times New Roman;Times;serif" w:hAnsi="Times New Roman;Times;serif"/>
          <w:sz w:val="22"/>
        </w:rPr>
        <w:t>means as to any Shelf Note, that rate of interest that is the greater of (1) 2% over the Interest Rate specified in the caption at set forth at the top of such Shelf Note, and (2) 2% over the rate of interest publicly announced by JPMorgan Chase Bank from time to time in New York City as its “base” or “prime” rate.</w:t>
      </w:r>
    </w:p>
    <w:p>
      <w:pPr>
        <w:pStyle w:val="TextBody"/>
        <w:bidi w:val="0"/>
        <w:spacing w:before="0" w:after="240"/>
        <w:ind w:left="0" w:right="0" w:firstLine="720"/>
        <w:jc w:val="both"/>
        <w:rPr/>
      </w:pPr>
      <w:r>
        <w:rPr/>
        <w:t>“</w:t>
      </w:r>
      <w:r>
        <w:rPr>
          <w:rFonts w:ascii="Times New Roman;Times;serif" w:hAnsi="Times New Roman;Times;serif"/>
          <w:b/>
          <w:sz w:val="22"/>
        </w:rPr>
        <w:t>Delayed Delivery Fee</w:t>
      </w:r>
      <w:r>
        <w:rPr>
          <w:rFonts w:ascii="Times New Roman;Times;serif" w:hAnsi="Times New Roman;Times;serif"/>
          <w:sz w:val="20"/>
        </w:rPr>
        <w:t xml:space="preserve">” </w:t>
      </w:r>
      <w:r>
        <w:rPr>
          <w:rFonts w:ascii="Times New Roman;Times;serif" w:hAnsi="Times New Roman;Times;serif"/>
          <w:sz w:val="22"/>
        </w:rPr>
        <w:t>is defined in paragraph 2B(8)(iii).</w:t>
      </w:r>
    </w:p>
    <w:p>
      <w:pPr>
        <w:pStyle w:val="TextBody"/>
        <w:bidi w:val="0"/>
        <w:spacing w:before="0" w:after="240"/>
        <w:ind w:left="0" w:right="0" w:firstLine="720"/>
        <w:jc w:val="both"/>
        <w:rPr/>
      </w:pPr>
      <w:r>
        <w:rPr/>
        <w:t>“</w:t>
      </w:r>
      <w:r>
        <w:rPr>
          <w:rFonts w:ascii="Times New Roman;Times;serif" w:hAnsi="Times New Roman;Times;serif"/>
          <w:b/>
          <w:sz w:val="22"/>
        </w:rPr>
        <w:t>Domestic Subsidiary</w:t>
      </w:r>
      <w:r>
        <w:rPr>
          <w:rFonts w:ascii="Times New Roman;Times;serif" w:hAnsi="Times New Roman;Times;serif"/>
          <w:sz w:val="20"/>
        </w:rPr>
        <w:t xml:space="preserve">” </w:t>
      </w:r>
      <w:r>
        <w:rPr>
          <w:rFonts w:ascii="Times New Roman;Times;serif" w:hAnsi="Times New Roman;Times;serif"/>
          <w:sz w:val="22"/>
        </w:rPr>
        <w:t>means any Subsidiary that is organized under the laws of any state of the United States of America or the District of Columbia.</w:t>
      </w:r>
    </w:p>
    <w:p>
      <w:pPr>
        <w:pStyle w:val="TextBody"/>
        <w:bidi w:val="0"/>
        <w:spacing w:before="0" w:after="240"/>
        <w:ind w:left="0" w:right="0" w:firstLine="720"/>
        <w:jc w:val="both"/>
        <w:rPr/>
      </w:pPr>
      <w:r>
        <w:rPr/>
        <w:t>“</w:t>
      </w:r>
      <w:r>
        <w:rPr>
          <w:rFonts w:ascii="Times New Roman;Times;serif" w:hAnsi="Times New Roman;Times;serif"/>
          <w:b/>
          <w:sz w:val="22"/>
        </w:rPr>
        <w:t>Eligible Business Line</w:t>
      </w:r>
      <w:r>
        <w:rPr>
          <w:rFonts w:ascii="Times New Roman;Times;serif" w:hAnsi="Times New Roman;Times;serif"/>
          <w:sz w:val="20"/>
        </w:rPr>
        <w:t xml:space="preserve">” </w:t>
      </w:r>
      <w:r>
        <w:rPr>
          <w:rFonts w:ascii="Times New Roman;Times;serif" w:hAnsi="Times New Roman;Times;serif"/>
          <w:sz w:val="22"/>
        </w:rPr>
        <w:t>means any business engaged in as of the date of this Agreement by the Company or any of its Subsidiaries or any business reasonably related thereto (but in no event an airline).</w:t>
      </w:r>
    </w:p>
    <w:p>
      <w:pPr>
        <w:pStyle w:val="TextBody"/>
        <w:bidi w:val="0"/>
        <w:spacing w:before="0" w:after="240"/>
        <w:ind w:left="0" w:right="0" w:firstLine="720"/>
        <w:jc w:val="both"/>
        <w:rPr/>
      </w:pPr>
      <w:r>
        <w:rPr/>
        <w:t>“</w:t>
      </w:r>
      <w:r>
        <w:rPr>
          <w:rFonts w:ascii="Times New Roman;Times;serif" w:hAnsi="Times New Roman;Times;serif"/>
          <w:b/>
          <w:sz w:val="22"/>
        </w:rPr>
        <w:t>Environmental and Safety Laws</w:t>
      </w:r>
      <w:r>
        <w:rPr>
          <w:rFonts w:ascii="Times New Roman;Times;serif" w:hAnsi="Times New Roman;Times;serif"/>
          <w:sz w:val="20"/>
        </w:rPr>
        <w:t xml:space="preserve">” </w:t>
      </w:r>
      <w:r>
        <w:rPr>
          <w:rFonts w:ascii="Times New Roman;Times;serif" w:hAnsi="Times New Roman;Times;serif"/>
          <w:sz w:val="22"/>
        </w:rPr>
        <w:t>means all federal, state and local laws, regulations and ordinances, relating to the discharge, handling, disposition or treatment of Hazardous Materials and other substances or the protection of the environment or of employee health and safety, including, without limitation, CERCLA, the Hazardous Materials Transportation Act (49 U.S.C. Section 1901 et. Seq.), the Resource Conservation and Recovery Act (42 U.S.C. Section 6901 et. Seq.), the Federal Water Pollution Control Act (33 U.S.C. Section 1251 et. Seq.), the Clean Air Act (42 U.S.C. Section 7401 et. seq.), the Toxic Substances Control Act (15 U.S.C. Section 2601 et. seq.), the Occupational Safety and Health Act (29 U.S.C. Section 651 et. seq.) and the Emergency Planning and Community Right-To-Know Act (42 U.S.C. Section 11001 et. seq.), each as the same may be amended and supplemented.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Environmental Liabilities and Costs</w:t>
      </w:r>
      <w:r>
        <w:rPr>
          <w:rFonts w:ascii="Times New Roman;Times;serif" w:hAnsi="Times New Roman;Times;serif"/>
          <w:sz w:val="20"/>
        </w:rPr>
        <w:t xml:space="preserve">” </w:t>
      </w:r>
      <w:r>
        <w:rPr>
          <w:rFonts w:ascii="Times New Roman;Times;serif" w:hAnsi="Times New Roman;Times;serif"/>
          <w:sz w:val="22"/>
        </w:rPr>
        <w:t>means as to any Person, all liabilities, obligations, responsibilities, remedial actions, losses, damages, punitive damages, consequential damages, treble damages, contribution, cost recovery, costs and expenses (including all fees, disbursements and expenses of counsel, expert and consulting fees, and costs of investigation and feasibility studies), fines, penalties, sanctions and interest incurred as a result of any claim or demand, by any Person, whether based in contract, tort, implied or express warranty, strict liability, criminal or civil statute, permit, order or agreement with any federal, state or local Governmental Authority or other Person, arising from environmental, health or safety conditions, or the release or threatened release of a contaminant, pollutant or Hazardous Material into the environment, resulting from the operations of such Person or its subsidiaries, or breach of any Environmental and Safety Law or for which such Person or its Subsidiaries is otherwise liable or responsible.</w:t>
      </w:r>
    </w:p>
    <w:p>
      <w:pPr>
        <w:pStyle w:val="TextBody"/>
        <w:bidi w:val="0"/>
        <w:spacing w:before="0" w:after="240"/>
        <w:ind w:left="0" w:right="0" w:firstLine="720"/>
        <w:jc w:val="both"/>
        <w:rPr/>
      </w:pPr>
      <w:r>
        <w:rPr/>
        <w:t>“</w:t>
      </w:r>
      <w:r>
        <w:rPr>
          <w:rFonts w:ascii="Times New Roman;Times;serif" w:hAnsi="Times New Roman;Times;serif"/>
          <w:b/>
          <w:sz w:val="22"/>
        </w:rPr>
        <w:t>ERISA</w:t>
      </w:r>
      <w:r>
        <w:rPr>
          <w:rFonts w:ascii="Times New Roman;Times;serif" w:hAnsi="Times New Roman;Times;serif"/>
          <w:sz w:val="20"/>
        </w:rPr>
        <w:t xml:space="preserve">” </w:t>
      </w:r>
      <w:r>
        <w:rPr>
          <w:rFonts w:ascii="Times New Roman;Times;serif" w:hAnsi="Times New Roman;Times;serif"/>
          <w:sz w:val="22"/>
        </w:rPr>
        <w:t>means the Employment Retirement Income Security Act of 1974, as amended.</w:t>
      </w:r>
    </w:p>
    <w:p>
      <w:pPr>
        <w:pStyle w:val="TextBody"/>
        <w:bidi w:val="0"/>
        <w:spacing w:before="0" w:after="240"/>
        <w:ind w:left="0" w:right="0" w:firstLine="720"/>
        <w:jc w:val="both"/>
        <w:rPr/>
      </w:pPr>
      <w:r>
        <w:rPr/>
        <w:t>“</w:t>
      </w:r>
      <w:r>
        <w:rPr>
          <w:rFonts w:ascii="Times New Roman;Times;serif" w:hAnsi="Times New Roman;Times;serif"/>
          <w:b/>
          <w:sz w:val="22"/>
        </w:rPr>
        <w:t>ERISA Affiliate</w:t>
      </w:r>
      <w:r>
        <w:rPr>
          <w:rFonts w:ascii="Times New Roman;Times;serif" w:hAnsi="Times New Roman;Times;serif"/>
          <w:sz w:val="20"/>
        </w:rPr>
        <w:t xml:space="preserve">” </w:t>
      </w:r>
      <w:r>
        <w:rPr>
          <w:rFonts w:ascii="Times New Roman;Times;serif" w:hAnsi="Times New Roman;Times;serif"/>
          <w:sz w:val="22"/>
        </w:rPr>
        <w:t>means any corporation which is a member of the same controlled group of corporations as the Company within the meaning of section 414(b) of the Code, or any trade or business which is under common control with the Company within the meaning of section 414(c) of the Code.</w:t>
      </w:r>
    </w:p>
    <w:p>
      <w:pPr>
        <w:pStyle w:val="TextBody"/>
        <w:bidi w:val="0"/>
        <w:spacing w:before="0" w:after="240"/>
        <w:ind w:left="0" w:right="0" w:firstLine="720"/>
        <w:jc w:val="both"/>
        <w:rPr/>
      </w:pPr>
      <w:r>
        <w:rPr/>
        <w:t>“</w:t>
      </w:r>
      <w:r>
        <w:rPr>
          <w:rFonts w:ascii="Times New Roman;Times;serif" w:hAnsi="Times New Roman;Times;serif"/>
          <w:b/>
          <w:sz w:val="22"/>
        </w:rPr>
        <w:t>Event of Default</w:t>
      </w:r>
      <w:r>
        <w:rPr>
          <w:rFonts w:ascii="Times New Roman;Times;serif" w:hAnsi="Times New Roman;Times;serif"/>
          <w:sz w:val="20"/>
        </w:rPr>
        <w:t xml:space="preserve">” </w:t>
      </w:r>
      <w:r>
        <w:rPr>
          <w:rFonts w:ascii="Times New Roman;Times;serif" w:hAnsi="Times New Roman;Times;serif"/>
          <w:sz w:val="22"/>
        </w:rPr>
        <w:t xml:space="preserve">means any of the events specified in paragraph 7A,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there has been satisfied any requirement in connection with such event for the giving of notice, or the lapse of time, or the happening of any further condition, event or act, and “</w:t>
      </w:r>
      <w:r>
        <w:rPr>
          <w:rFonts w:ascii="Times New Roman;Times;serif" w:hAnsi="Times New Roman;Times;serif"/>
          <w:b/>
          <w:sz w:val="22"/>
        </w:rPr>
        <w:t>Default</w:t>
      </w:r>
      <w:r>
        <w:rPr>
          <w:rFonts w:ascii="Times New Roman;Times;serif" w:hAnsi="Times New Roman;Times;serif"/>
          <w:sz w:val="20"/>
        </w:rPr>
        <w:t xml:space="preserve">” </w:t>
      </w:r>
      <w:r>
        <w:rPr>
          <w:rFonts w:ascii="Times New Roman;Times;serif" w:hAnsi="Times New Roman;Times;serif"/>
          <w:sz w:val="22"/>
        </w:rPr>
        <w:t>means any of such events, whether or not any such requirement has been satisfied.</w:t>
      </w:r>
    </w:p>
    <w:p>
      <w:pPr>
        <w:pStyle w:val="TextBody"/>
        <w:bidi w:val="0"/>
        <w:spacing w:before="0" w:after="240"/>
        <w:ind w:left="0" w:right="0" w:firstLine="720"/>
        <w:jc w:val="both"/>
        <w:rPr/>
      </w:pPr>
      <w:r>
        <w:rPr/>
        <w:t>“</w:t>
      </w:r>
      <w:r>
        <w:rPr>
          <w:rFonts w:ascii="Times New Roman;Times;serif" w:hAnsi="Times New Roman;Times;serif"/>
          <w:b/>
          <w:sz w:val="22"/>
        </w:rPr>
        <w:t>Exchange Act</w:t>
      </w:r>
      <w:r>
        <w:rPr>
          <w:rFonts w:ascii="Times New Roman;Times;serif" w:hAnsi="Times New Roman;Times;serif"/>
          <w:sz w:val="20"/>
        </w:rPr>
        <w:t xml:space="preserve">” </w:t>
      </w:r>
      <w:r>
        <w:rPr>
          <w:rFonts w:ascii="Times New Roman;Times;serif" w:hAnsi="Times New Roman;Times;serif"/>
          <w:sz w:val="22"/>
        </w:rPr>
        <w:t>means the Securities Exchange Act of 1934, as amended from time to time, and the rules and regulations promulgated thereunder from time to time in effect.</w:t>
      </w:r>
    </w:p>
    <w:p>
      <w:pPr>
        <w:pStyle w:val="TextBody"/>
        <w:bidi w:val="0"/>
        <w:spacing w:before="0" w:after="240"/>
        <w:ind w:left="0" w:right="0" w:firstLine="720"/>
        <w:jc w:val="both"/>
        <w:rPr/>
      </w:pPr>
      <w:r>
        <w:rPr/>
        <w:t>“</w:t>
      </w:r>
      <w:r>
        <w:rPr>
          <w:rFonts w:ascii="Times New Roman;Times;serif" w:hAnsi="Times New Roman;Times;serif"/>
          <w:b/>
          <w:sz w:val="22"/>
        </w:rPr>
        <w:t>Excluded Subsidiary</w:t>
      </w:r>
      <w:r>
        <w:rPr>
          <w:rFonts w:ascii="Times New Roman;Times;serif" w:hAnsi="Times New Roman;Times;serif"/>
          <w:sz w:val="20"/>
        </w:rPr>
        <w:t xml:space="preserve">” </w:t>
      </w:r>
      <w:r>
        <w:rPr>
          <w:rFonts w:ascii="Times New Roman;Times;serif" w:hAnsi="Times New Roman;Times;serif"/>
          <w:sz w:val="22"/>
        </w:rPr>
        <w:t xml:space="preserve">means (a) each CFC and (b) each U.S. Foreign Holdco; </w:t>
      </w:r>
      <w:r>
        <w:rPr>
          <w:rFonts w:ascii="Times New Roman;Times;serif" w:hAnsi="Times New Roman;Times;serif"/>
          <w:sz w:val="22"/>
          <w:u w:val="single"/>
        </w:rPr>
        <w:t>provided</w:t>
      </w:r>
      <w:r>
        <w:rPr>
          <w:rFonts w:ascii="Times New Roman;Times;serif" w:hAnsi="Times New Roman;Times;serif"/>
          <w:sz w:val="22"/>
        </w:rPr>
        <w:t>, that in each case, such Person has not issued or guaranteed any indebtedness or notes issued pursuant to the Bank Credit Agreement or the Other Note Agreements.</w:t>
      </w:r>
    </w:p>
    <w:p>
      <w:pPr>
        <w:pStyle w:val="TextBody"/>
        <w:bidi w:val="0"/>
        <w:spacing w:before="0" w:after="240"/>
        <w:ind w:left="0" w:right="0" w:firstLine="720"/>
        <w:jc w:val="both"/>
        <w:rPr/>
      </w:pPr>
      <w:r>
        <w:rPr/>
        <w:t>“</w:t>
      </w:r>
      <w:r>
        <w:rPr>
          <w:rFonts w:ascii="Times New Roman;Times;serif" w:hAnsi="Times New Roman;Times;serif"/>
          <w:b/>
          <w:sz w:val="22"/>
        </w:rPr>
        <w:t>Facility</w:t>
      </w:r>
      <w:r>
        <w:rPr>
          <w:rFonts w:ascii="Times New Roman;Times;serif" w:hAnsi="Times New Roman;Times;serif"/>
          <w:sz w:val="20"/>
        </w:rPr>
        <w:t xml:space="preserve">” </w:t>
      </w:r>
      <w:r>
        <w:rPr>
          <w:rFonts w:ascii="Times New Roman;Times;serif" w:hAnsi="Times New Roman;Times;serif"/>
          <w:sz w:val="22"/>
        </w:rPr>
        <w:t>is defined in paragraph 2B(1).</w:t>
      </w:r>
    </w:p>
    <w:p>
      <w:pPr>
        <w:pStyle w:val="TextBody"/>
        <w:bidi w:val="0"/>
        <w:spacing w:before="0" w:after="240"/>
        <w:ind w:left="0" w:right="0" w:firstLine="720"/>
        <w:jc w:val="both"/>
        <w:rPr/>
      </w:pPr>
      <w:r>
        <w:rPr/>
        <w:t>“</w:t>
      </w:r>
      <w:r>
        <w:rPr>
          <w:rFonts w:ascii="Times New Roman;Times;serif" w:hAnsi="Times New Roman;Times;serif"/>
          <w:b/>
          <w:sz w:val="22"/>
        </w:rPr>
        <w:t>First Amendment</w:t>
      </w:r>
      <w:r>
        <w:rPr>
          <w:rFonts w:ascii="Times New Roman;Times;serif" w:hAnsi="Times New Roman;Times;serif"/>
          <w:sz w:val="20"/>
        </w:rPr>
        <w:t xml:space="preserve">” </w:t>
      </w:r>
      <w:r>
        <w:rPr>
          <w:rFonts w:ascii="Times New Roman;Times;serif" w:hAnsi="Times New Roman;Times;serif"/>
          <w:sz w:val="22"/>
        </w:rPr>
        <w:t>means that certain Amendment to Note Purchase Agreement, dated as of June 29, 2017, by and between the Company and the holders of Notes signatory thereto.</w:t>
      </w:r>
    </w:p>
    <w:p>
      <w:pPr>
        <w:pStyle w:val="TextBody"/>
        <w:bidi w:val="0"/>
        <w:spacing w:before="0" w:after="240"/>
        <w:ind w:left="0" w:right="0" w:firstLine="720"/>
        <w:jc w:val="both"/>
        <w:rPr/>
      </w:pPr>
      <w:r>
        <w:rPr/>
        <w:t>“</w:t>
      </w:r>
      <w:r>
        <w:rPr>
          <w:rFonts w:ascii="Times New Roman;Times;serif" w:hAnsi="Times New Roman;Times;serif"/>
          <w:b/>
          <w:sz w:val="22"/>
        </w:rPr>
        <w:t>First Amendment Effective Date</w:t>
      </w:r>
      <w:r>
        <w:rPr>
          <w:rFonts w:ascii="Times New Roman;Times;serif" w:hAnsi="Times New Roman;Times;serif"/>
          <w:sz w:val="20"/>
        </w:rPr>
        <w:t xml:space="preserve">” </w:t>
      </w:r>
      <w:r>
        <w:rPr>
          <w:rFonts w:ascii="Times New Roman;Times;serif" w:hAnsi="Times New Roman;Times;serif"/>
          <w:sz w:val="22"/>
        </w:rPr>
        <w:t>means the date when all conditions to effectiveness of the amendments set forth in the First Amendment have been satisfied or waived in writing.</w:t>
      </w:r>
    </w:p>
    <w:p>
      <w:pPr>
        <w:pStyle w:val="TextBody"/>
        <w:bidi w:val="0"/>
        <w:spacing w:before="0" w:after="240"/>
        <w:ind w:left="0" w:right="0" w:firstLine="720"/>
        <w:jc w:val="both"/>
        <w:rPr/>
      </w:pPr>
      <w:r>
        <w:rPr/>
        <w:t>“</w:t>
      </w:r>
      <w:r>
        <w:rPr>
          <w:rFonts w:ascii="Times New Roman;Times;serif" w:hAnsi="Times New Roman;Times;serif"/>
          <w:b/>
          <w:sz w:val="22"/>
        </w:rPr>
        <w:t>Foreign Holdco</w:t>
      </w:r>
      <w:r>
        <w:rPr>
          <w:rFonts w:ascii="Times New Roman;Times;serif" w:hAnsi="Times New Roman;Times;serif"/>
          <w:sz w:val="20"/>
        </w:rPr>
        <w:t xml:space="preserve">” </w:t>
      </w:r>
      <w:r>
        <w:rPr>
          <w:rFonts w:ascii="Times New Roman;Times;serif" w:hAnsi="Times New Roman;Times;serif"/>
          <w:sz w:val="22"/>
        </w:rPr>
        <w:t>means any Subsidiary, substantially all of the assets of which consist of equity interests of one or more Foreign Subsidiaries or other securities of one or more Foreign Subsidiaries (or are treated as consisting of such assets for U.S. federal income tax purposes) or indebtedness or accounts receivable owed by any Foreign Subsidiary to any Credit Party or treated as owed by the Foreign Subsidiary to any Credit Party for U.S. federal income tax purposes.</w:t>
      </w:r>
    </w:p>
    <w:p>
      <w:pPr>
        <w:pStyle w:val="TextBody"/>
        <w:bidi w:val="0"/>
        <w:spacing w:before="0" w:after="240"/>
        <w:ind w:left="0" w:right="0" w:firstLine="720"/>
        <w:jc w:val="both"/>
        <w:rPr/>
      </w:pPr>
      <w:r>
        <w:rPr/>
        <w:t>“</w:t>
      </w:r>
      <w:r>
        <w:rPr>
          <w:rFonts w:ascii="Times New Roman;Times;serif" w:hAnsi="Times New Roman;Times;serif"/>
          <w:b/>
          <w:sz w:val="22"/>
        </w:rPr>
        <w:t>Foreign Subsidiary</w:t>
      </w:r>
      <w:r>
        <w:rPr>
          <w:rFonts w:ascii="Times New Roman;Times;serif" w:hAnsi="Times New Roman;Times;serif"/>
          <w:sz w:val="20"/>
        </w:rPr>
        <w:t xml:space="preserve">” </w:t>
      </w:r>
      <w:r>
        <w:rPr>
          <w:rFonts w:ascii="Times New Roman;Times;serif" w:hAnsi="Times New Roman;Times;serif"/>
          <w:sz w:val="22"/>
        </w:rPr>
        <w:t>means any Subsidiary that is not a Domestic Subsidiary.</w:t>
      </w:r>
    </w:p>
    <w:p>
      <w:pPr>
        <w:pStyle w:val="TextBody"/>
        <w:bidi w:val="0"/>
        <w:spacing w:before="0" w:after="240"/>
        <w:ind w:left="0" w:right="0" w:firstLine="720"/>
        <w:jc w:val="both"/>
        <w:rPr/>
      </w:pPr>
      <w:r>
        <w:rPr/>
        <w:t>“</w:t>
      </w:r>
      <w:r>
        <w:rPr>
          <w:rFonts w:ascii="Times New Roman;Times;serif" w:hAnsi="Times New Roman;Times;serif"/>
          <w:b/>
          <w:sz w:val="22"/>
        </w:rPr>
        <w:t>GAAP</w:t>
      </w:r>
      <w:r>
        <w:rPr>
          <w:rFonts w:ascii="Times New Roman;Times;serif" w:hAnsi="Times New Roman;Times;serif"/>
          <w:sz w:val="20"/>
        </w:rPr>
        <w:t xml:space="preserve">” </w:t>
      </w:r>
      <w:r>
        <w:rPr>
          <w:rFonts w:ascii="Times New Roman;Times;serif" w:hAnsi="Times New Roman;Times;serif"/>
          <w:sz w:val="22"/>
        </w:rPr>
        <w:t>has the meaning provided in paragraph 10C.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Governmental Authority</w:t>
      </w:r>
      <w:r>
        <w:rPr>
          <w:rFonts w:ascii="Times New Roman;Times;serif" w:hAnsi="Times New Roman;Times;serif"/>
          <w:sz w:val="20"/>
        </w:rPr>
        <w:t xml:space="preserve">” </w:t>
      </w:r>
      <w:r>
        <w:rPr>
          <w:rFonts w:ascii="Times New Roman;Times;serif" w:hAnsi="Times New Roman;Times;serif"/>
          <w:sz w:val="22"/>
        </w:rPr>
        <w:t>means (a) the government of (i) the United States of America or any state or other political subdivision thereof, or (ii) any other jurisdiction in which the Company or any Subsidiary conducts all or any part of its business, or which asserts jurisdiction over any properties of the Company or any Subsidiary, or (b) any entity exercising executive, legislative, judicial, regulatory or administrative functions of, or pertaining to, any such government.</w:t>
      </w:r>
    </w:p>
    <w:p>
      <w:pPr>
        <w:pStyle w:val="TextBody"/>
        <w:bidi w:val="0"/>
        <w:spacing w:before="0" w:after="240"/>
        <w:ind w:left="0" w:right="0" w:firstLine="720"/>
        <w:jc w:val="both"/>
        <w:rPr/>
      </w:pPr>
      <w:r>
        <w:rPr/>
        <w:t>“</w:t>
      </w:r>
      <w:r>
        <w:rPr>
          <w:rFonts w:ascii="Times New Roman;Times;serif" w:hAnsi="Times New Roman;Times;serif"/>
          <w:b/>
          <w:sz w:val="22"/>
        </w:rPr>
        <w:t>Governmental Official</w:t>
      </w:r>
      <w:r>
        <w:rPr>
          <w:rFonts w:ascii="Times New Roman;Times;serif" w:hAnsi="Times New Roman;Times;serif"/>
          <w:sz w:val="20"/>
        </w:rPr>
        <w:t xml:space="preserve">” </w:t>
      </w:r>
      <w:r>
        <w:rPr>
          <w:rFonts w:ascii="Times New Roman;Times;serif" w:hAnsi="Times New Roman;Times;serif"/>
          <w:sz w:val="22"/>
        </w:rPr>
        <w:t>means any governmental official or employee, employee of any government-owned or government-controlled entity, political party, any official of a political party, candidate for political office, official of any public international organization or anyone else acting in an official capacity.</w:t>
      </w:r>
    </w:p>
    <w:p>
      <w:pPr>
        <w:pStyle w:val="TextBody"/>
        <w:bidi w:val="0"/>
        <w:spacing w:before="0" w:after="240"/>
        <w:ind w:left="0" w:right="0" w:firstLine="720"/>
        <w:jc w:val="both"/>
        <w:rPr/>
      </w:pPr>
      <w:r>
        <w:rPr/>
        <w:t>“</w:t>
      </w:r>
      <w:r>
        <w:rPr>
          <w:rFonts w:ascii="Times New Roman;Times;serif" w:hAnsi="Times New Roman;Times;serif"/>
          <w:b/>
          <w:sz w:val="22"/>
        </w:rPr>
        <w:t>Guarantee</w:t>
      </w:r>
      <w:r>
        <w:rPr>
          <w:rFonts w:ascii="Times New Roman;Times;serif" w:hAnsi="Times New Roman;Times;serif"/>
          <w:sz w:val="20"/>
        </w:rPr>
        <w:t xml:space="preserve">” </w:t>
      </w:r>
      <w:r>
        <w:rPr>
          <w:rFonts w:ascii="Times New Roman;Times;serif" w:hAnsi="Times New Roman;Times;serif"/>
          <w:sz w:val="22"/>
        </w:rPr>
        <w:t>means, without duplication, any obligation, contingent or otherwise, of any Person guaranteeing or having the economic effect of guaranteeing any Debt or other obligation of any other Person (the primary obligor) in any manner, directly or indirectly, and including any obligation:  (a) to make any loan, advance or capital contribution, or for the purchase of any property from, any Person, in each case for the purpose of enabling such Person to maintain working capital, net worth or any other balance sheet condition or to pay debts, dividends or expenses except for advances, deposits and initial payments made in the usual and ordinary course of business for the purchase or acquisition of property or services; (b) to purchase materials, supplies or other property or services if such obligation requires that payment for such materials, supplies or other property or services be made regardless of whether or not delivery of such materials, supplies or other property or services is ever made or tendered; (c) to rent or lease (as lessee) any real or personal property if such obligation is absolute and unconditional under conditions not customarily found in commercial leases then in general use; or (d) of any partnership or joint venture in which such Person is a general partner or joint venturer if such obligation is not expressly non-recourse to such Person; but excluding (i) any completion guaranties issued in connection with a real estate development project to the extent contingent and not constituting a direct or indirect obligation to repay Debt, (ii) obligations under environmental indemnification agreements and (iii) a guaranty of Matson Navigation’s trade accounts receivable purchased or held by the CCF.</w:t>
      </w:r>
    </w:p>
    <w:p>
      <w:pPr>
        <w:pStyle w:val="TextBody"/>
        <w:bidi w:val="0"/>
        <w:spacing w:before="0" w:after="240"/>
        <w:ind w:left="0" w:right="0" w:firstLine="720"/>
        <w:jc w:val="both"/>
        <w:rPr/>
      </w:pPr>
      <w:r>
        <w:rPr/>
        <w:t>“</w:t>
      </w:r>
      <w:r>
        <w:rPr>
          <w:rFonts w:ascii="Times New Roman;Times;serif" w:hAnsi="Times New Roman;Times;serif"/>
          <w:b/>
          <w:sz w:val="22"/>
        </w:rPr>
        <w:t>Guarantors</w:t>
      </w:r>
      <w:r>
        <w:rPr>
          <w:rFonts w:ascii="Times New Roman;Times;serif" w:hAnsi="Times New Roman;Times;serif"/>
          <w:sz w:val="20"/>
        </w:rPr>
        <w:t xml:space="preserve">” </w:t>
      </w:r>
      <w:r>
        <w:rPr>
          <w:rFonts w:ascii="Times New Roman;Times;serif" w:hAnsi="Times New Roman;Times;serif"/>
          <w:sz w:val="22"/>
        </w:rPr>
        <w:t xml:space="preserve">means, collectively, (a) each Person that is a party to the Multiparty Guaranty as a Guarantor as of the date hereof, including Matson Navigation, Matson Logistics, Inc., a Hawaii corporation, Matson Ventures, Inc., a Hawaii corporation, Matson Alaska, Horizon Lines Holding Corp., a Delaware corporation, Horizon Lines, LLC, a Delaware limited liability company, Matson Navigation Company of Alaska, LLC, a Delaware limited liability company, Horizon Lines Alaska Vessels, LLC, a Delaware limited liability company, and Horizon Lines Merchant Vessels, LLC, a Delaware limited liability company, (b) each Person that becomes a party to the Multiparty Guaranty as a Guarantor after the date hereof pursuant to paragraph 5H or otherwise and (c) the successors of any of the foregoing;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no Excluded Subsidiary shall be a Guarantor.  A Guarantor shall be released from the Multiparty Guaranty pursuant to, and in accordance with, the terms hereof or the Multiparty Guaranty.</w:t>
      </w:r>
    </w:p>
    <w:p>
      <w:pPr>
        <w:pStyle w:val="TextBody"/>
        <w:bidi w:val="0"/>
        <w:spacing w:before="0" w:after="240"/>
        <w:ind w:left="0" w:right="0" w:firstLine="720"/>
        <w:jc w:val="both"/>
        <w:rPr/>
      </w:pPr>
      <w:r>
        <w:rPr/>
        <w:t>“</w:t>
      </w:r>
      <w:r>
        <w:rPr>
          <w:rFonts w:ascii="Times New Roman;Times;serif" w:hAnsi="Times New Roman;Times;serif"/>
          <w:b/>
          <w:sz w:val="22"/>
        </w:rPr>
        <w:t>Hazardous Materials</w:t>
      </w:r>
      <w:r>
        <w:rPr>
          <w:rFonts w:ascii="Times New Roman;Times;serif" w:hAnsi="Times New Roman;Times;serif"/>
          <w:sz w:val="20"/>
        </w:rPr>
        <w:t xml:space="preserve">” </w:t>
      </w:r>
      <w:r>
        <w:rPr>
          <w:rFonts w:ascii="Times New Roman;Times;serif" w:hAnsi="Times New Roman;Times;serif"/>
          <w:sz w:val="22"/>
        </w:rPr>
        <w:t>means (a) any material or substance defined as or included in the definition of “hazardous substances,” “hazardous wastes,” “hazardous materials,” “toxic substances” or any other formulations intended to define, list or classify substances by reason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their deleterious properties, (b) any oil, petroleum or petroleum derived substance, (c) any flammable substances or explosives, (d) any radioactive materials, (e) asbestos in any form, (f) electrical equipment that contains any oil or dielectric fluid containing levels of polychlorinated biphenyls in excess of fifty parts per million, (g) pesticides or (h) any other chemical, material or substance, exposure to which is prohibited, limited or regulated by any governmental agency or authority or which may or could pose a hazard to the health and safety of persons in the vicinity thereof.</w:t>
      </w:r>
    </w:p>
    <w:p>
      <w:pPr>
        <w:pStyle w:val="TextBody"/>
        <w:bidi w:val="0"/>
        <w:spacing w:before="0" w:after="240"/>
        <w:ind w:left="0" w:right="0" w:firstLine="720"/>
        <w:jc w:val="both"/>
        <w:rPr/>
      </w:pPr>
      <w:r>
        <w:rPr/>
        <w:t>“</w:t>
      </w:r>
      <w:r>
        <w:rPr>
          <w:rFonts w:ascii="Times New Roman;Times;serif" w:hAnsi="Times New Roman;Times;serif"/>
          <w:b/>
          <w:sz w:val="22"/>
        </w:rPr>
        <w:t>Hedge Treasury Note(s)</w:t>
      </w:r>
      <w:r>
        <w:rPr>
          <w:rFonts w:ascii="Times New Roman;Times;serif" w:hAnsi="Times New Roman;Times;serif"/>
          <w:sz w:val="20"/>
        </w:rPr>
        <w:t xml:space="preserve">” </w:t>
      </w:r>
      <w:r>
        <w:rPr>
          <w:rFonts w:ascii="Times New Roman;Times;serif" w:hAnsi="Times New Roman;Times;serif"/>
          <w:sz w:val="22"/>
        </w:rPr>
        <w:t>means, with respect to any Accepted Notes, the United States Treasury Note or Notes whose duration (as determined by Prudential) most closely matches the duration of such Accepted Notes.</w:t>
      </w:r>
    </w:p>
    <w:p>
      <w:pPr>
        <w:pStyle w:val="TextBody"/>
        <w:bidi w:val="0"/>
        <w:spacing w:before="0" w:after="240"/>
        <w:ind w:left="0" w:right="0" w:firstLine="720"/>
        <w:jc w:val="both"/>
        <w:rPr/>
      </w:pPr>
      <w:r>
        <w:rPr/>
        <w:t>“</w:t>
      </w:r>
      <w:r>
        <w:rPr>
          <w:rFonts w:ascii="Times New Roman;Times;serif" w:hAnsi="Times New Roman;Times;serif"/>
          <w:b/>
          <w:sz w:val="22"/>
        </w:rPr>
        <w:t>Horizon Acquisition</w:t>
      </w:r>
      <w:r>
        <w:rPr>
          <w:rFonts w:ascii="Times New Roman;Times;serif" w:hAnsi="Times New Roman;Times;serif"/>
          <w:sz w:val="20"/>
        </w:rPr>
        <w:t xml:space="preserve">” </w:t>
      </w:r>
      <w:r>
        <w:rPr>
          <w:rFonts w:ascii="Times New Roman;Times;serif" w:hAnsi="Times New Roman;Times;serif"/>
          <w:sz w:val="22"/>
        </w:rPr>
        <w:t>means the acquisition which occurred under the Horizon Acquisition Agreement, including without limitation the merger of a Subsidiary of Matson Navigation with and into Matson Alaska, with Matson Alaska surviving such merger and becoming a wholly owned subsidiary of Matson Navigation, and all ancillary and related transactions with respect thereto.</w:t>
      </w:r>
    </w:p>
    <w:p>
      <w:pPr>
        <w:pStyle w:val="TextBody"/>
        <w:bidi w:val="0"/>
        <w:spacing w:before="0" w:after="240"/>
        <w:ind w:left="0" w:right="0" w:firstLine="720"/>
        <w:jc w:val="both"/>
        <w:rPr/>
      </w:pPr>
      <w:r>
        <w:rPr/>
        <w:t>“</w:t>
      </w:r>
      <w:r>
        <w:rPr>
          <w:rFonts w:ascii="Times New Roman;Times;serif" w:hAnsi="Times New Roman;Times;serif"/>
          <w:b/>
          <w:sz w:val="22"/>
        </w:rPr>
        <w:t>Horizon Acquisition Agreement</w:t>
      </w:r>
      <w:r>
        <w:rPr>
          <w:rFonts w:ascii="Times New Roman;Times;serif" w:hAnsi="Times New Roman;Times;serif"/>
          <w:sz w:val="20"/>
        </w:rPr>
        <w:t xml:space="preserve">” </w:t>
      </w:r>
      <w:r>
        <w:rPr>
          <w:rFonts w:ascii="Times New Roman;Times;serif" w:hAnsi="Times New Roman;Times;serif"/>
          <w:sz w:val="22"/>
        </w:rPr>
        <w:t>means the Agreement and Plan of Merger, dated as of November 11, 2014, by and among Matson Navigation, Hogan Acquisition Inc., a wholly owned subsidiary of Matson Navigation and Matson Alaska, as amended and supplemented from time to time.</w:t>
      </w:r>
    </w:p>
    <w:p>
      <w:pPr>
        <w:pStyle w:val="TextBody"/>
        <w:bidi w:val="0"/>
        <w:spacing w:before="0" w:after="240"/>
        <w:ind w:left="0" w:right="0" w:firstLine="720"/>
        <w:jc w:val="both"/>
        <w:rPr/>
      </w:pPr>
      <w:r>
        <w:rPr/>
        <w:t>“</w:t>
      </w:r>
      <w:r>
        <w:rPr>
          <w:rFonts w:ascii="Times New Roman;Times;serif" w:hAnsi="Times New Roman;Times;serif"/>
          <w:b/>
          <w:sz w:val="22"/>
        </w:rPr>
        <w:t>Horizon Notes</w:t>
      </w:r>
      <w:r>
        <w:rPr>
          <w:rFonts w:ascii="Times New Roman;Times;serif" w:hAnsi="Times New Roman;Times;serif"/>
          <w:sz w:val="20"/>
        </w:rPr>
        <w:t xml:space="preserve">” </w:t>
      </w:r>
      <w:r>
        <w:rPr>
          <w:rFonts w:ascii="Times New Roman;Times;serif" w:hAnsi="Times New Roman;Times;serif"/>
          <w:sz w:val="22"/>
        </w:rPr>
        <w:t>means the 6.00% Series A Convertible Senior Secured Notes due 2017 that were issued by Matson Alaska, as governed by the Convertible Notes Indenture, in an aggregate amount not to exceed $3,000,000.</w:t>
      </w:r>
    </w:p>
    <w:p>
      <w:pPr>
        <w:pStyle w:val="TextBody"/>
        <w:bidi w:val="0"/>
        <w:spacing w:before="0" w:after="240"/>
        <w:ind w:left="0" w:right="0" w:firstLine="720"/>
        <w:jc w:val="both"/>
        <w:rPr/>
      </w:pPr>
      <w:r>
        <w:rPr/>
        <w:t>“</w:t>
      </w:r>
      <w:r>
        <w:rPr>
          <w:rFonts w:ascii="Times New Roman;Times;serif" w:hAnsi="Times New Roman;Times;serif"/>
          <w:b/>
          <w:sz w:val="22"/>
        </w:rPr>
        <w:t>Hostile Acquisition</w:t>
      </w:r>
      <w:r>
        <w:rPr>
          <w:rFonts w:ascii="Times New Roman;Times;serif" w:hAnsi="Times New Roman;Times;serif"/>
          <w:sz w:val="20"/>
        </w:rPr>
        <w:t xml:space="preserve">” </w:t>
      </w:r>
      <w:r>
        <w:rPr>
          <w:rFonts w:ascii="Times New Roman;Times;serif" w:hAnsi="Times New Roman;Times;serif"/>
          <w:sz w:val="22"/>
        </w:rPr>
        <w:t>means any Acquisition that has not been approved by the board of directors or other governing body of the applicable entity.</w:t>
      </w:r>
    </w:p>
    <w:p>
      <w:pPr>
        <w:pStyle w:val="TextBody"/>
        <w:bidi w:val="0"/>
        <w:spacing w:before="0" w:after="240"/>
        <w:ind w:left="0" w:right="0" w:firstLine="720"/>
        <w:jc w:val="both"/>
        <w:rPr/>
      </w:pPr>
      <w:r>
        <w:rPr/>
        <w:t>“</w:t>
      </w:r>
      <w:r>
        <w:rPr>
          <w:rFonts w:ascii="Times New Roman;Times;serif" w:hAnsi="Times New Roman;Times;serif"/>
          <w:b/>
          <w:sz w:val="22"/>
        </w:rPr>
        <w:t>including</w:t>
      </w:r>
      <w:r>
        <w:rPr>
          <w:rFonts w:ascii="Times New Roman;Times;serif" w:hAnsi="Times New Roman;Times;serif"/>
          <w:sz w:val="20"/>
        </w:rPr>
        <w:t xml:space="preserve">” </w:t>
      </w:r>
      <w:r>
        <w:rPr>
          <w:rFonts w:ascii="Times New Roman;Times;serif" w:hAnsi="Times New Roman;Times;serif"/>
          <w:sz w:val="22"/>
        </w:rPr>
        <w:t>means, unless the context clearly requires otherwise, “</w:t>
      </w:r>
      <w:r>
        <w:rPr>
          <w:rFonts w:ascii="Times New Roman;Times;serif" w:hAnsi="Times New Roman;Times;serif"/>
          <w:b/>
          <w:sz w:val="22"/>
        </w:rPr>
        <w:t>including without limitation</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Indemnity and Contribution Agreement</w:t>
      </w:r>
      <w:r>
        <w:rPr>
          <w:rFonts w:ascii="Times New Roman;Times;serif" w:hAnsi="Times New Roman;Times;serif"/>
          <w:sz w:val="20"/>
        </w:rPr>
        <w:t xml:space="preserve">” </w:t>
      </w:r>
      <w:r>
        <w:rPr>
          <w:rFonts w:ascii="Times New Roman;Times;serif" w:hAnsi="Times New Roman;Times;serif"/>
          <w:sz w:val="22"/>
        </w:rPr>
        <w:t>means that certain Indemnity and Contribution Agreement, dated as of June 29, 2012, by and among the Credit Parties, as amended, restated, supplemented or otherwise modified from time to time.</w:t>
      </w:r>
    </w:p>
    <w:p>
      <w:pPr>
        <w:pStyle w:val="TextBody"/>
        <w:bidi w:val="0"/>
        <w:spacing w:before="0" w:after="240"/>
        <w:ind w:left="0" w:right="0" w:firstLine="720"/>
        <w:jc w:val="both"/>
        <w:rPr/>
      </w:pPr>
      <w:r>
        <w:rPr/>
        <w:t>“</w:t>
      </w:r>
      <w:r>
        <w:rPr>
          <w:rFonts w:ascii="Times New Roman;Times;serif" w:hAnsi="Times New Roman;Times;serif"/>
          <w:b/>
          <w:sz w:val="22"/>
        </w:rPr>
        <w:t>Intercreditor Agreement</w:t>
      </w:r>
      <w:r>
        <w:rPr>
          <w:rFonts w:ascii="Times New Roman;Times;serif" w:hAnsi="Times New Roman;Times;serif"/>
          <w:sz w:val="20"/>
        </w:rPr>
        <w:t xml:space="preserve">” </w:t>
      </w:r>
      <w:r>
        <w:rPr>
          <w:rFonts w:ascii="Times New Roman;Times;serif" w:hAnsi="Times New Roman;Times;serif"/>
          <w:sz w:val="22"/>
        </w:rPr>
        <w:t xml:space="preserve">means </w:t>
      </w:r>
      <w:r>
        <w:rPr>
          <w:rFonts w:ascii="Times New Roman;Times;serif" w:hAnsi="Times New Roman;Times;serif"/>
          <w:color w:val="FF0000"/>
          <w:sz w:val="22"/>
        </w:rPr>
        <w:t>that certain Intercreditor and Collateral Agency Agreement, dated as of July 30, 2015,</w:t>
      </w:r>
      <w:r>
        <w:rPr>
          <w:rFonts w:ascii="Times New Roman;Times;serif" w:hAnsi="Times New Roman;Times;serif"/>
          <w:color w:val="0000FF"/>
          <w:sz w:val="22"/>
          <w:u w:val="single"/>
        </w:rPr>
        <w:t>any intercreditor and collateral agency agreement</w:t>
      </w:r>
      <w:r>
        <w:rPr>
          <w:rFonts w:ascii="Times New Roman;Times;serif" w:hAnsi="Times New Roman;Times;serif"/>
          <w:sz w:val="20"/>
        </w:rPr>
        <w:t xml:space="preserve"> </w:t>
      </w:r>
      <w:r>
        <w:rPr>
          <w:rFonts w:ascii="Times New Roman;Times;serif" w:hAnsi="Times New Roman;Times;serif"/>
          <w:sz w:val="22"/>
        </w:rPr>
        <w:t xml:space="preserve">by and among the Collateral Agent and the </w:t>
      </w:r>
      <w:r>
        <w:rPr>
          <w:rFonts w:ascii="Times New Roman;Times;serif" w:hAnsi="Times New Roman;Times;serif"/>
          <w:color w:val="FF0000"/>
          <w:sz w:val="22"/>
        </w:rPr>
        <w:t>Benefited Parties named therein, as amended, supplemented or otherwise modified from time to time</w:t>
      </w:r>
      <w:r>
        <w:rPr>
          <w:rFonts w:ascii="Times New Roman;Times;serif" w:hAnsi="Times New Roman;Times;serif"/>
          <w:color w:val="0000FF"/>
          <w:sz w:val="22"/>
          <w:u w:val="single"/>
        </w:rPr>
        <w:t>holders of the Notes in form and substance satisfactory to the holders of the Notes, the Collateral Agent and the Company</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Issuance Period</w:t>
      </w:r>
      <w:r>
        <w:rPr>
          <w:rFonts w:ascii="Times New Roman;Times;serif" w:hAnsi="Times New Roman;Times;serif"/>
          <w:sz w:val="20"/>
        </w:rPr>
        <w:t xml:space="preserve">” </w:t>
      </w:r>
      <w:r>
        <w:rPr>
          <w:rFonts w:ascii="Times New Roman;Times;serif" w:hAnsi="Times New Roman;Times;serif"/>
          <w:sz w:val="22"/>
        </w:rPr>
        <w:t>is defined in paragraph 2B(2).</w:t>
      </w:r>
    </w:p>
    <w:p>
      <w:pPr>
        <w:pStyle w:val="TextBody"/>
        <w:bidi w:val="0"/>
        <w:spacing w:before="0" w:after="240"/>
        <w:ind w:left="0" w:right="0" w:firstLine="720"/>
        <w:jc w:val="both"/>
        <w:rPr/>
      </w:pPr>
      <w:r>
        <w:rPr/>
        <w:t>“</w:t>
      </w:r>
      <w:r>
        <w:rPr>
          <w:rFonts w:ascii="Times New Roman;Times;serif" w:hAnsi="Times New Roman;Times;serif"/>
          <w:b/>
          <w:sz w:val="22"/>
        </w:rPr>
        <w:t>Lien</w:t>
      </w:r>
      <w:r>
        <w:rPr>
          <w:rFonts w:ascii="Times New Roman;Times;serif" w:hAnsi="Times New Roman;Times;serif"/>
          <w:sz w:val="20"/>
        </w:rPr>
        <w:t xml:space="preserve">” </w:t>
      </w:r>
      <w:r>
        <w:rPr>
          <w:rFonts w:ascii="Times New Roman;Times;serif" w:hAnsi="Times New Roman;Times;serif"/>
          <w:sz w:val="22"/>
        </w:rPr>
        <w:t>means any mortgage, pledge, security interest, encumbrance, deposit arrangement, lien (including any lien securing any Capital Lease Obligation) or charge of any kind (including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any conditional sale or other title retention agreement having substantially the same economic effect as any of the foregoing).</w:t>
      </w:r>
    </w:p>
    <w:p>
      <w:pPr>
        <w:pStyle w:val="TextBody"/>
        <w:bidi w:val="0"/>
        <w:spacing w:before="0" w:after="240"/>
        <w:ind w:left="0" w:right="0" w:firstLine="720"/>
        <w:jc w:val="both"/>
        <w:rPr/>
      </w:pPr>
      <w:r>
        <w:rPr/>
        <w:t>“</w:t>
      </w:r>
      <w:r>
        <w:rPr>
          <w:rFonts w:ascii="Times New Roman;Times;serif" w:hAnsi="Times New Roman;Times;serif"/>
          <w:b/>
          <w:sz w:val="22"/>
        </w:rPr>
        <w:t>Manulani</w:t>
      </w:r>
      <w:r>
        <w:rPr>
          <w:rFonts w:ascii="Times New Roman;Times;serif" w:hAnsi="Times New Roman;Times;serif"/>
          <w:sz w:val="20"/>
        </w:rPr>
        <w:t xml:space="preserve">” </w:t>
      </w:r>
      <w:r>
        <w:rPr>
          <w:rFonts w:ascii="Times New Roman;Times;serif" w:hAnsi="Times New Roman;Times;serif"/>
          <w:sz w:val="22"/>
        </w:rPr>
        <w:t>means that certain container vessel of the type Philadelphia CV 2600, named M.V. Manulani, official number 1168529.</w:t>
      </w:r>
    </w:p>
    <w:p>
      <w:pPr>
        <w:pStyle w:val="TextBody"/>
        <w:bidi w:val="0"/>
        <w:spacing w:before="0" w:after="240"/>
        <w:ind w:left="0" w:right="0" w:firstLine="720"/>
        <w:jc w:val="both"/>
        <w:rPr/>
      </w:pPr>
      <w:r>
        <w:rPr/>
        <w:t>“</w:t>
      </w:r>
      <w:r>
        <w:rPr>
          <w:rFonts w:ascii="Times New Roman;Times;serif" w:hAnsi="Times New Roman;Times;serif"/>
          <w:b/>
          <w:sz w:val="22"/>
        </w:rPr>
        <w:t>margin stock</w:t>
      </w:r>
      <w:r>
        <w:rPr>
          <w:rFonts w:ascii="Times New Roman;Times;serif" w:hAnsi="Times New Roman;Times;serif"/>
          <w:sz w:val="20"/>
        </w:rPr>
        <w:t xml:space="preserve">” </w:t>
      </w:r>
      <w:r>
        <w:rPr>
          <w:rFonts w:ascii="Times New Roman;Times;serif" w:hAnsi="Times New Roman;Times;serif"/>
          <w:sz w:val="22"/>
        </w:rPr>
        <w:t>is defined in paragraph 8I.</w:t>
      </w:r>
    </w:p>
    <w:p>
      <w:pPr>
        <w:pStyle w:val="TextBody"/>
        <w:bidi w:val="0"/>
        <w:spacing w:before="0" w:after="240"/>
        <w:ind w:left="0" w:right="0" w:firstLine="720"/>
        <w:jc w:val="both"/>
        <w:rPr/>
      </w:pPr>
      <w:r>
        <w:rPr/>
        <w:t>“</w:t>
      </w:r>
      <w:r>
        <w:rPr>
          <w:rFonts w:ascii="Times New Roman;Times;serif" w:hAnsi="Times New Roman;Times;serif"/>
          <w:b/>
          <w:sz w:val="22"/>
        </w:rPr>
        <w:t>Material Adverse Effect</w:t>
      </w:r>
      <w:r>
        <w:rPr>
          <w:rFonts w:ascii="Times New Roman;Times;serif" w:hAnsi="Times New Roman;Times;serif"/>
          <w:sz w:val="20"/>
        </w:rPr>
        <w:t xml:space="preserve">” </w:t>
      </w:r>
      <w:r>
        <w:rPr>
          <w:rFonts w:ascii="Times New Roman;Times;serif" w:hAnsi="Times New Roman;Times;serif"/>
          <w:sz w:val="22"/>
        </w:rPr>
        <w:t>means:  (a) a material adverse change in, or a material adverse effect upon, on the business, financial condition or operations of the Company and its Subsidiaries taken as a whole; (b) a material impairment of the ability of any Credit Party to perform its obligations under any Transaction Document; or (c) a material adverse effect on the material rights and remedies of the holders of the Notes, which material adverse effect was not caused by any holder of a Note.</w:t>
      </w:r>
    </w:p>
    <w:p>
      <w:pPr>
        <w:pStyle w:val="TextBody"/>
        <w:bidi w:val="0"/>
        <w:spacing w:before="0" w:after="240"/>
        <w:ind w:left="0" w:right="0" w:firstLine="720"/>
        <w:jc w:val="both"/>
        <w:rPr/>
      </w:pPr>
      <w:r>
        <w:rPr/>
        <w:t>“</w:t>
      </w:r>
      <w:r>
        <w:rPr>
          <w:rFonts w:ascii="Times New Roman;Times;serif" w:hAnsi="Times New Roman;Times;serif"/>
          <w:b/>
          <w:sz w:val="22"/>
        </w:rPr>
        <w:t>Material Domestic Subsidiary</w:t>
      </w:r>
      <w:r>
        <w:rPr>
          <w:rFonts w:ascii="Times New Roman;Times;serif" w:hAnsi="Times New Roman;Times;serif"/>
          <w:sz w:val="20"/>
        </w:rPr>
        <w:t xml:space="preserve">” </w:t>
      </w:r>
      <w:r>
        <w:rPr>
          <w:rFonts w:ascii="Times New Roman;Times;serif" w:hAnsi="Times New Roman;Times;serif"/>
          <w:sz w:val="22"/>
        </w:rPr>
        <w:t>means any Domestic Subsidiary of the Company (other than a U.S. Foreign Holdco) that accounts for, on the date of determination, 5% or more of Consolidated EBITDA of the Company and its Subsidiaries for the period of four consecutive fiscal quarters then or most recently ended.</w:t>
      </w:r>
    </w:p>
    <w:p>
      <w:pPr>
        <w:pStyle w:val="TextBody"/>
        <w:bidi w:val="0"/>
        <w:spacing w:before="0" w:after="240"/>
        <w:ind w:left="0" w:right="0" w:firstLine="720"/>
        <w:jc w:val="both"/>
        <w:rPr/>
      </w:pPr>
      <w:r>
        <w:rPr/>
        <w:t>“</w:t>
      </w:r>
      <w:r>
        <w:rPr>
          <w:rFonts w:ascii="Times New Roman;Times;serif" w:hAnsi="Times New Roman;Times;serif"/>
          <w:b/>
          <w:sz w:val="22"/>
        </w:rPr>
        <w:t>Material Line of Business</w:t>
      </w:r>
      <w:r>
        <w:rPr>
          <w:rFonts w:ascii="Times New Roman;Times;serif" w:hAnsi="Times New Roman;Times;serif"/>
          <w:sz w:val="20"/>
        </w:rPr>
        <w:t xml:space="preserve">” </w:t>
      </w:r>
      <w:r>
        <w:rPr>
          <w:rFonts w:ascii="Times New Roman;Times;serif" w:hAnsi="Times New Roman;Times;serif"/>
          <w:sz w:val="22"/>
        </w:rPr>
        <w:t>means a line of business or an operating division that accounts for, as of the most recently ended four fiscal quarter period of the Company, 5% or more of Consolidated EBITDA of the Company and its Subsidiaries for the most recently ended four fiscal quarter period of the Company.</w:t>
      </w:r>
    </w:p>
    <w:p>
      <w:pPr>
        <w:pStyle w:val="TextBody"/>
        <w:bidi w:val="0"/>
        <w:spacing w:before="0" w:after="240"/>
        <w:ind w:left="0" w:right="0" w:firstLine="720"/>
        <w:jc w:val="both"/>
        <w:rPr/>
      </w:pPr>
      <w:r>
        <w:rPr/>
        <w:t>“</w:t>
      </w:r>
      <w:r>
        <w:rPr>
          <w:rFonts w:ascii="Times New Roman;Times;serif" w:hAnsi="Times New Roman;Times;serif"/>
          <w:b/>
          <w:sz w:val="22"/>
        </w:rPr>
        <w:t>Material Subsidiary</w:t>
      </w:r>
      <w:r>
        <w:rPr>
          <w:rFonts w:ascii="Times New Roman;Times;serif" w:hAnsi="Times New Roman;Times;serif"/>
          <w:sz w:val="20"/>
        </w:rPr>
        <w:t xml:space="preserve">” </w:t>
      </w:r>
      <w:r>
        <w:rPr>
          <w:rFonts w:ascii="Times New Roman;Times;serif" w:hAnsi="Times New Roman;Times;serif"/>
          <w:sz w:val="22"/>
        </w:rPr>
        <w:t>means (a) any Guarantor and (b) any Subsidiary that accounts for, as of the most recently ended four fiscal quarter period of the Company, 5% or more of Consolidated EBITDA of the Company and its Subsidiaries for the most recently ended four fiscal quarter period of the Company.</w:t>
      </w:r>
    </w:p>
    <w:p>
      <w:pPr>
        <w:pStyle w:val="TextBody"/>
        <w:bidi w:val="0"/>
        <w:spacing w:before="0" w:after="240"/>
        <w:ind w:left="0" w:right="0" w:firstLine="720"/>
        <w:jc w:val="both"/>
        <w:rPr/>
      </w:pPr>
      <w:r>
        <w:rPr/>
        <w:t>“</w:t>
      </w:r>
      <w:r>
        <w:rPr>
          <w:rFonts w:ascii="Times New Roman;Times;serif" w:hAnsi="Times New Roman;Times;serif"/>
          <w:b/>
          <w:sz w:val="22"/>
        </w:rPr>
        <w:t>Matson Alaska</w:t>
      </w:r>
      <w:r>
        <w:rPr>
          <w:rFonts w:ascii="Times New Roman;Times;serif" w:hAnsi="Times New Roman;Times;serif"/>
          <w:sz w:val="20"/>
        </w:rPr>
        <w:t xml:space="preserve">” </w:t>
      </w:r>
      <w:r>
        <w:rPr>
          <w:rFonts w:ascii="Times New Roman;Times;serif" w:hAnsi="Times New Roman;Times;serif"/>
          <w:sz w:val="22"/>
        </w:rPr>
        <w:t>means Matson Alaska, Inc. (formerly known as Horizon Lines, Inc.), a Delaware corporation.</w:t>
      </w:r>
    </w:p>
    <w:p>
      <w:pPr>
        <w:pStyle w:val="TextBody"/>
        <w:bidi w:val="0"/>
        <w:spacing w:before="0" w:after="240"/>
        <w:ind w:left="0" w:right="0" w:firstLine="720"/>
        <w:jc w:val="both"/>
        <w:rPr/>
      </w:pPr>
      <w:r>
        <w:rPr/>
        <w:t>“</w:t>
      </w:r>
      <w:r>
        <w:rPr>
          <w:rFonts w:ascii="Times New Roman;Times;serif" w:hAnsi="Times New Roman;Times;serif"/>
          <w:b/>
          <w:sz w:val="22"/>
        </w:rPr>
        <w:t>Matson Navigation</w:t>
      </w:r>
      <w:r>
        <w:rPr>
          <w:rFonts w:ascii="Times New Roman;Times;serif" w:hAnsi="Times New Roman;Times;serif"/>
          <w:sz w:val="20"/>
        </w:rPr>
        <w:t xml:space="preserve">” </w:t>
      </w:r>
      <w:r>
        <w:rPr>
          <w:rFonts w:ascii="Times New Roman;Times;serif" w:hAnsi="Times New Roman;Times;serif"/>
          <w:sz w:val="22"/>
        </w:rPr>
        <w:t>means Matson Navigation Company, Inc., a Hawaii corporation.</w:t>
      </w:r>
    </w:p>
    <w:p>
      <w:pPr>
        <w:pStyle w:val="TextBody"/>
        <w:bidi w:val="0"/>
        <w:spacing w:before="0" w:after="240"/>
        <w:ind w:left="0" w:right="0" w:firstLine="720"/>
        <w:jc w:val="both"/>
        <w:rPr/>
      </w:pPr>
      <w:r>
        <w:rPr/>
        <w:t>“</w:t>
      </w:r>
      <w:r>
        <w:rPr>
          <w:rFonts w:ascii="Times New Roman;Times;serif" w:hAnsi="Times New Roman;Times;serif"/>
          <w:b/>
          <w:sz w:val="22"/>
        </w:rPr>
        <w:t>MetLife Note Agreement</w:t>
      </w:r>
      <w:r>
        <w:rPr>
          <w:rFonts w:ascii="Times New Roman;Times;serif" w:hAnsi="Times New Roman;Times;serif"/>
          <w:sz w:val="20"/>
        </w:rPr>
        <w:t xml:space="preserve">” </w:t>
      </w:r>
      <w:r>
        <w:rPr>
          <w:rFonts w:ascii="Times New Roman;Times;serif" w:hAnsi="Times New Roman;Times;serif"/>
          <w:sz w:val="22"/>
        </w:rPr>
        <w:t>means that certain Note Purchase Agreement, dated as of December 21, 2016, by and between the Company, on the one hand, and Metropolitan Life Insurance Company and the other Purchasers named therein, on the other hand, as the same may be amended, amended and restated, supplemented, refinanced, replaced or otherwise modified from time to time.</w:t>
      </w:r>
    </w:p>
    <w:p>
      <w:pPr>
        <w:pStyle w:val="TextBody"/>
        <w:bidi w:val="0"/>
        <w:spacing w:before="0" w:after="240"/>
        <w:ind w:left="0" w:right="0" w:firstLine="720"/>
        <w:jc w:val="both"/>
        <w:rPr/>
      </w:pPr>
      <w:r>
        <w:rPr/>
        <w:t>“</w:t>
      </w:r>
      <w:r>
        <w:rPr>
          <w:rFonts w:ascii="Times New Roman;Times;serif" w:hAnsi="Times New Roman;Times;serif"/>
          <w:b/>
          <w:sz w:val="22"/>
        </w:rPr>
        <w:t>Moody’s</w:t>
      </w:r>
      <w:r>
        <w:rPr>
          <w:rFonts w:ascii="Times New Roman;Times;serif" w:hAnsi="Times New Roman;Times;serif"/>
          <w:sz w:val="20"/>
        </w:rPr>
        <w:t xml:space="preserve">” </w:t>
      </w:r>
      <w:r>
        <w:rPr>
          <w:rFonts w:ascii="Times New Roman;Times;serif" w:hAnsi="Times New Roman;Times;serif"/>
          <w:sz w:val="22"/>
        </w:rPr>
        <w:t>means Moody’s Investors Service, Inc. or any successor thereto.</w:t>
      </w:r>
    </w:p>
    <w:p>
      <w:pPr>
        <w:pStyle w:val="TextBody"/>
        <w:bidi w:val="0"/>
        <w:spacing w:before="0" w:after="240"/>
        <w:ind w:left="0" w:right="0" w:firstLine="720"/>
        <w:jc w:val="both"/>
        <w:rPr/>
      </w:pPr>
      <w:r>
        <w:rPr/>
        <w:t>“</w:t>
      </w:r>
      <w:r>
        <w:rPr>
          <w:rFonts w:ascii="Times New Roman;Times;serif" w:hAnsi="Times New Roman;Times;serif"/>
          <w:b/>
          <w:sz w:val="22"/>
        </w:rPr>
        <w:t>Multiemployer Plan</w:t>
      </w:r>
      <w:r>
        <w:rPr>
          <w:rFonts w:ascii="Times New Roman;Times;serif" w:hAnsi="Times New Roman;Times;serif"/>
          <w:sz w:val="20"/>
        </w:rPr>
        <w:t xml:space="preserve">” </w:t>
      </w:r>
      <w:r>
        <w:rPr>
          <w:rFonts w:ascii="Times New Roman;Times;serif" w:hAnsi="Times New Roman;Times;serif"/>
          <w:sz w:val="22"/>
        </w:rPr>
        <w:t>means any Plan which is a “</w:t>
      </w:r>
      <w:r>
        <w:rPr>
          <w:rFonts w:ascii="Times New Roman;Times;serif" w:hAnsi="Times New Roman;Times;serif"/>
          <w:b/>
          <w:sz w:val="22"/>
        </w:rPr>
        <w:t>multiemployer plan</w:t>
      </w:r>
      <w:r>
        <w:rPr>
          <w:rFonts w:ascii="Times New Roman;Times;serif" w:hAnsi="Times New Roman;Times;serif"/>
          <w:sz w:val="20"/>
        </w:rPr>
        <w:t xml:space="preserve">” </w:t>
      </w:r>
      <w:r>
        <w:rPr>
          <w:rFonts w:ascii="Times New Roman;Times;serif" w:hAnsi="Times New Roman;Times;serif"/>
          <w:sz w:val="22"/>
        </w:rPr>
        <w:t>(as such term is defined in section 4001(a)(3) of ERISA).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Multiparty Guaranty</w:t>
      </w:r>
      <w:r>
        <w:rPr>
          <w:rFonts w:ascii="Times New Roman;Times;serif" w:hAnsi="Times New Roman;Times;serif"/>
          <w:sz w:val="20"/>
        </w:rPr>
        <w:t xml:space="preserve">” </w:t>
      </w:r>
      <w:r>
        <w:rPr>
          <w:rFonts w:ascii="Times New Roman;Times;serif" w:hAnsi="Times New Roman;Times;serif"/>
          <w:sz w:val="22"/>
        </w:rPr>
        <w:t>means that certain Multiparty Guaranty, made by the Guarantors in favor of the holders of the Notes, as amended, restated, supplemented or otherwise modified from time to time.</w:t>
      </w:r>
    </w:p>
    <w:p>
      <w:pPr>
        <w:pStyle w:val="TextBody"/>
        <w:bidi w:val="0"/>
        <w:spacing w:before="0" w:after="240"/>
        <w:ind w:left="0" w:right="0" w:firstLine="720"/>
        <w:jc w:val="both"/>
        <w:rPr/>
      </w:pPr>
      <w:r>
        <w:rPr/>
        <w:t>“</w:t>
      </w:r>
      <w:r>
        <w:rPr>
          <w:rFonts w:ascii="Times New Roman;Times;serif" w:hAnsi="Times New Roman;Times;serif"/>
          <w:b/>
          <w:sz w:val="22"/>
        </w:rPr>
        <w:t>Notes</w:t>
      </w:r>
      <w:r>
        <w:rPr>
          <w:rFonts w:ascii="Times New Roman;Times;serif" w:hAnsi="Times New Roman;Times;serif"/>
          <w:sz w:val="20"/>
        </w:rPr>
        <w:t xml:space="preserve">” </w:t>
      </w:r>
      <w:r>
        <w:rPr>
          <w:rFonts w:ascii="Times New Roman;Times;serif" w:hAnsi="Times New Roman;Times;serif"/>
          <w:sz w:val="22"/>
        </w:rPr>
        <w:t>is defined in paragraph 1D.</w:t>
      </w:r>
    </w:p>
    <w:p>
      <w:pPr>
        <w:pStyle w:val="TextBody"/>
        <w:bidi w:val="0"/>
        <w:spacing w:before="0" w:after="240"/>
        <w:ind w:left="0" w:right="0" w:firstLine="720"/>
        <w:jc w:val="both"/>
        <w:rPr/>
      </w:pPr>
      <w:r>
        <w:rPr/>
        <w:t>“</w:t>
      </w:r>
      <w:r>
        <w:rPr>
          <w:rFonts w:ascii="Times New Roman;Times;serif" w:hAnsi="Times New Roman;Times;serif"/>
          <w:b/>
          <w:sz w:val="22"/>
        </w:rPr>
        <w:t>NYL Note Agreements</w:t>
      </w:r>
      <w:r>
        <w:rPr>
          <w:rFonts w:ascii="Times New Roman;Times;serif" w:hAnsi="Times New Roman;Times;serif"/>
          <w:sz w:val="20"/>
        </w:rPr>
        <w:t xml:space="preserve">” </w:t>
      </w:r>
      <w:r>
        <w:rPr>
          <w:rFonts w:ascii="Times New Roman;Times;serif" w:hAnsi="Times New Roman;Times;serif"/>
          <w:sz w:val="22"/>
        </w:rPr>
        <w:t>means (a) that certain Note Purchase Agreement, dated as of November 5, 2013, by and between the Company, on the one hand, and New York Life Insurance Company and the other Purchasers named therein, on the other hand, as the same may be amended, amended and restated, supplemented, refinanced, replaced or otherwise modified from time to time, and (b) that certain Note Purchase Agreement, dated as of July 30, 2015, by and between the Company, on the one hand, and New York Life Insurance Company and the other Purchasers named therein, on the other hand, as the same may be amended, amended and restated, supplemented, refinanced, replaced or otherwise modified from time to time.</w:t>
      </w:r>
    </w:p>
    <w:p>
      <w:pPr>
        <w:pStyle w:val="TextBody"/>
        <w:bidi w:val="0"/>
        <w:spacing w:before="0" w:after="240"/>
        <w:ind w:left="0" w:right="0" w:firstLine="720"/>
        <w:jc w:val="both"/>
        <w:rPr/>
      </w:pPr>
      <w:r>
        <w:rPr/>
        <w:t>“</w:t>
      </w:r>
      <w:r>
        <w:rPr>
          <w:rFonts w:ascii="Times New Roman;Times;serif" w:hAnsi="Times New Roman;Times;serif"/>
          <w:b/>
          <w:sz w:val="22"/>
        </w:rPr>
        <w:t>OFAC</w:t>
      </w:r>
      <w:r>
        <w:rPr>
          <w:rFonts w:ascii="Times New Roman;Times;serif" w:hAnsi="Times New Roman;Times;serif"/>
          <w:sz w:val="20"/>
        </w:rPr>
        <w:t xml:space="preserve">” </w:t>
      </w:r>
      <w:r>
        <w:rPr>
          <w:rFonts w:ascii="Times New Roman;Times;serif" w:hAnsi="Times New Roman;Times;serif"/>
          <w:sz w:val="22"/>
        </w:rPr>
        <w:t>means the Office of Foreign Assets Control of the United States Department of the Treasury.</w:t>
      </w:r>
    </w:p>
    <w:p>
      <w:pPr>
        <w:pStyle w:val="TextBody"/>
        <w:bidi w:val="0"/>
        <w:spacing w:before="0" w:after="240"/>
        <w:ind w:left="0" w:right="0" w:firstLine="720"/>
        <w:jc w:val="both"/>
        <w:rPr/>
      </w:pPr>
      <w:r>
        <w:rPr/>
        <w:t>“</w:t>
      </w:r>
      <w:r>
        <w:rPr>
          <w:rFonts w:ascii="Times New Roman;Times;serif" w:hAnsi="Times New Roman;Times;serif"/>
          <w:b/>
          <w:sz w:val="22"/>
        </w:rPr>
        <w:t>OFAC Sanctions Program</w:t>
      </w:r>
      <w:r>
        <w:rPr>
          <w:rFonts w:ascii="Times New Roman;Times;serif" w:hAnsi="Times New Roman;Times;serif"/>
          <w:sz w:val="20"/>
        </w:rPr>
        <w:t xml:space="preserve">” </w:t>
      </w:r>
      <w:r>
        <w:rPr>
          <w:rFonts w:ascii="Times New Roman;Times;serif" w:hAnsi="Times New Roman;Times;serif"/>
          <w:sz w:val="22"/>
        </w:rPr>
        <w:t>means any economic or trade sanction that OFAC is responsible for administering and enforcing.  A list of OFAC Sanctions Programs may be found at http://www.treasury.gov/resource-center/sanctions/Programs/Pages/Programs.aspx.</w:t>
      </w:r>
    </w:p>
    <w:p>
      <w:pPr>
        <w:pStyle w:val="TextBody"/>
        <w:bidi w:val="0"/>
        <w:spacing w:before="0" w:after="240"/>
        <w:ind w:left="0" w:right="0" w:firstLine="720"/>
        <w:jc w:val="both"/>
        <w:rPr/>
      </w:pPr>
      <w:r>
        <w:rPr/>
        <w:t>“</w:t>
      </w:r>
      <w:r>
        <w:rPr>
          <w:rFonts w:ascii="Times New Roman;Times;serif" w:hAnsi="Times New Roman;Times;serif"/>
          <w:b/>
          <w:sz w:val="22"/>
        </w:rPr>
        <w:t>Officer’s Certificate</w:t>
      </w:r>
      <w:r>
        <w:rPr>
          <w:rFonts w:ascii="Times New Roman;Times;serif" w:hAnsi="Times New Roman;Times;serif"/>
          <w:sz w:val="20"/>
        </w:rPr>
        <w:t xml:space="preserve">” </w:t>
      </w:r>
      <w:r>
        <w:rPr>
          <w:rFonts w:ascii="Times New Roman;Times;serif" w:hAnsi="Times New Roman;Times;serif"/>
          <w:sz w:val="22"/>
        </w:rPr>
        <w:t>means a certificate signed in the name of the Company by its Chief Executive Officer, Chief Financial Officer, President, one of its Vice Presidents or its Treasurer.</w:t>
      </w:r>
    </w:p>
    <w:p>
      <w:pPr>
        <w:pStyle w:val="TextBody"/>
        <w:bidi w:val="0"/>
        <w:spacing w:before="0" w:after="240"/>
        <w:ind w:left="0" w:right="0" w:firstLine="720"/>
        <w:jc w:val="both"/>
        <w:rPr/>
      </w:pPr>
      <w:r>
        <w:rPr/>
        <w:t>“</w:t>
      </w:r>
      <w:r>
        <w:rPr>
          <w:rFonts w:ascii="Times New Roman;Times;serif" w:hAnsi="Times New Roman;Times;serif"/>
          <w:b/>
          <w:sz w:val="22"/>
        </w:rPr>
        <w:t>Original Agreement</w:t>
      </w:r>
      <w:r>
        <w:rPr>
          <w:rFonts w:ascii="Times New Roman;Times;serif" w:hAnsi="Times New Roman;Times;serif"/>
          <w:sz w:val="20"/>
        </w:rPr>
        <w:t xml:space="preserve">” </w:t>
      </w:r>
      <w:r>
        <w:rPr>
          <w:rFonts w:ascii="Times New Roman;Times;serif" w:hAnsi="Times New Roman;Times;serif"/>
          <w:sz w:val="22"/>
        </w:rPr>
        <w:t>means that certain Amended and Restated Note Agreement, dated as of May 19, 2005, as amended, supplemented or otherwise modified prior to the effectiveness of the Prior Agreement.</w:t>
      </w:r>
    </w:p>
    <w:p>
      <w:pPr>
        <w:pStyle w:val="TextBody"/>
        <w:bidi w:val="0"/>
        <w:spacing w:before="0" w:after="240"/>
        <w:ind w:left="0" w:right="0" w:firstLine="720"/>
        <w:jc w:val="both"/>
        <w:rPr/>
      </w:pPr>
      <w:r>
        <w:rPr/>
        <w:t>“</w:t>
      </w:r>
      <w:r>
        <w:rPr>
          <w:rFonts w:ascii="Times New Roman;Times;serif" w:hAnsi="Times New Roman;Times;serif"/>
          <w:b/>
          <w:sz w:val="22"/>
        </w:rPr>
        <w:t>Other Note Agreements</w:t>
      </w:r>
      <w:r>
        <w:rPr>
          <w:rFonts w:ascii="Times New Roman;Times;serif" w:hAnsi="Times New Roman;Times;serif"/>
          <w:sz w:val="20"/>
        </w:rPr>
        <w:t xml:space="preserve">” </w:t>
      </w:r>
      <w:r>
        <w:rPr>
          <w:rFonts w:ascii="Times New Roman;Times;serif" w:hAnsi="Times New Roman;Times;serif"/>
          <w:sz w:val="22"/>
        </w:rPr>
        <w:t xml:space="preserve">means, for any date of determination, (i) the NYL Note Agreements and (ii) any other note purchase agreement entered into by a Credit Party on or after the date hereof, in each of cases (i) and (ii) under which notes in an aggregate principal amount of at least $30,000,000 are issued and sold and remain outstanding as of such date of determination;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the term “Other Note Agreements” shall exclude (a) Title XI Debt, (b) financings to build, modify and/or acquire Vessel(s) secured by such Vessel(s) (other than Vessel(s) constituting Collateral) and (c) for the avoidance of doubt, any Debt between or among the Company and its Subsidiaries.</w:t>
      </w:r>
    </w:p>
    <w:p>
      <w:pPr>
        <w:pStyle w:val="TextBody"/>
        <w:bidi w:val="0"/>
        <w:spacing w:before="0" w:after="240"/>
        <w:ind w:left="0" w:right="0" w:firstLine="720"/>
        <w:jc w:val="both"/>
        <w:rPr/>
      </w:pPr>
      <w:r>
        <w:rPr>
          <w:color w:val="0000FF"/>
          <w:u w:val="single"/>
        </w:rPr>
        <w:t>“</w:t>
      </w:r>
      <w:r>
        <w:rPr>
          <w:rFonts w:ascii="Times New Roman;Times;serif" w:hAnsi="Times New Roman;Times;serif"/>
          <w:b/>
          <w:color w:val="0000FF"/>
          <w:sz w:val="22"/>
        </w:rPr>
        <w:t>Outbound Investment Rules</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means the regulations administered and enforced, together with any related public guidance issued, by the United States Treasury Department under U.S. Executive Order 14105 of August 9, 2023, or any similar law or regulation; as of July 23, 2025, and as codified at 31 C.F.R. § 850.101 et seq.</w:t>
      </w:r>
    </w:p>
    <w:p>
      <w:pPr>
        <w:pStyle w:val="TextBody"/>
        <w:bidi w:val="0"/>
        <w:spacing w:before="0" w:after="240"/>
        <w:ind w:left="0" w:right="0" w:firstLine="720"/>
        <w:jc w:val="both"/>
        <w:rPr/>
      </w:pPr>
      <w:r>
        <w:rPr/>
        <w:t>“</w:t>
      </w:r>
      <w:r>
        <w:rPr>
          <w:rFonts w:ascii="Times New Roman;Times;serif" w:hAnsi="Times New Roman;Times;serif"/>
          <w:b/>
          <w:sz w:val="22"/>
        </w:rPr>
        <w:t>PBGC</w:t>
      </w:r>
      <w:r>
        <w:rPr>
          <w:rFonts w:ascii="Times New Roman;Times;serif" w:hAnsi="Times New Roman;Times;serif"/>
          <w:sz w:val="20"/>
        </w:rPr>
        <w:t xml:space="preserve">” </w:t>
      </w:r>
      <w:r>
        <w:rPr>
          <w:rFonts w:ascii="Times New Roman;Times;serif" w:hAnsi="Times New Roman;Times;serif"/>
          <w:sz w:val="22"/>
        </w:rPr>
        <w:t>means the Pension Benefit Guaranty Corporation, or any successor or replacement entity thereto under ERISA.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Person</w:t>
      </w:r>
      <w:r>
        <w:rPr>
          <w:rFonts w:ascii="Times New Roman;Times;serif" w:hAnsi="Times New Roman;Times;serif"/>
          <w:sz w:val="20"/>
        </w:rPr>
        <w:t xml:space="preserve">” </w:t>
      </w:r>
      <w:r>
        <w:rPr>
          <w:rFonts w:ascii="Times New Roman;Times;serif" w:hAnsi="Times New Roman;Times;serif"/>
          <w:sz w:val="22"/>
        </w:rPr>
        <w:t>means and include an individual, a partnership, a joint venture, a corporation, a trust, a limited liability company, an unincorporated organization and a government or any department or agency thereof.</w:t>
      </w:r>
    </w:p>
    <w:p>
      <w:pPr>
        <w:pStyle w:val="TextBody"/>
        <w:bidi w:val="0"/>
        <w:spacing w:before="0" w:after="240"/>
        <w:ind w:left="0" w:right="0" w:firstLine="720"/>
        <w:jc w:val="both"/>
        <w:rPr/>
      </w:pPr>
      <w:r>
        <w:rPr/>
        <w:t>“</w:t>
      </w:r>
      <w:r>
        <w:rPr>
          <w:rFonts w:ascii="Times New Roman;Times;serif" w:hAnsi="Times New Roman;Times;serif"/>
          <w:b/>
          <w:sz w:val="22"/>
        </w:rPr>
        <w:t>Plan</w:t>
      </w:r>
      <w:r>
        <w:rPr>
          <w:rFonts w:ascii="Times New Roman;Times;serif" w:hAnsi="Times New Roman;Times;serif"/>
          <w:sz w:val="20"/>
        </w:rPr>
        <w:t xml:space="preserve">” </w:t>
      </w:r>
      <w:r>
        <w:rPr>
          <w:rFonts w:ascii="Times New Roman;Times;serif" w:hAnsi="Times New Roman;Times;serif"/>
          <w:sz w:val="22"/>
        </w:rPr>
        <w:t>means any “</w:t>
      </w:r>
      <w:r>
        <w:rPr>
          <w:rFonts w:ascii="Times New Roman;Times;serif" w:hAnsi="Times New Roman;Times;serif"/>
          <w:b/>
          <w:sz w:val="22"/>
        </w:rPr>
        <w:t>employee pension benefit plan</w:t>
      </w:r>
      <w:r>
        <w:rPr>
          <w:rFonts w:ascii="Times New Roman;Times;serif" w:hAnsi="Times New Roman;Times;serif"/>
          <w:sz w:val="20"/>
        </w:rPr>
        <w:t xml:space="preserve">” </w:t>
      </w:r>
      <w:r>
        <w:rPr>
          <w:rFonts w:ascii="Times New Roman;Times;serif" w:hAnsi="Times New Roman;Times;serif"/>
          <w:sz w:val="22"/>
        </w:rPr>
        <w:t>(as such term is defined in section 3 of ERISA) which is or has been established or maintained, or to which contributions are or have been made, by either Company or any ERISA Affiliate.</w:t>
      </w:r>
    </w:p>
    <w:p>
      <w:pPr>
        <w:pStyle w:val="TextBody"/>
        <w:bidi w:val="0"/>
        <w:spacing w:before="0" w:after="240"/>
        <w:ind w:left="0" w:right="0" w:firstLine="720"/>
        <w:jc w:val="both"/>
        <w:rPr/>
      </w:pPr>
      <w:r>
        <w:rPr/>
        <w:t>“</w:t>
      </w:r>
      <w:r>
        <w:rPr>
          <w:rFonts w:ascii="Times New Roman;Times;serif" w:hAnsi="Times New Roman;Times;serif"/>
          <w:b/>
          <w:sz w:val="22"/>
        </w:rPr>
        <w:t>Prior Agreement</w:t>
      </w:r>
      <w:r>
        <w:rPr>
          <w:rFonts w:ascii="Times New Roman;Times;serif" w:hAnsi="Times New Roman;Times;serif"/>
          <w:sz w:val="20"/>
        </w:rPr>
        <w:t xml:space="preserve">” </w:t>
      </w:r>
      <w:r>
        <w:rPr>
          <w:rFonts w:ascii="Times New Roman;Times;serif" w:hAnsi="Times New Roman;Times;serif"/>
          <w:sz w:val="22"/>
        </w:rPr>
        <w:t>has the meaning given in paragraph 1A.</w:t>
      </w:r>
    </w:p>
    <w:p>
      <w:pPr>
        <w:pStyle w:val="TextBody"/>
        <w:bidi w:val="0"/>
        <w:spacing w:before="0" w:after="240"/>
        <w:ind w:left="0" w:right="0" w:firstLine="720"/>
        <w:jc w:val="both"/>
        <w:rPr/>
      </w:pPr>
      <w:r>
        <w:rPr/>
        <w:t>“</w:t>
      </w:r>
      <w:r>
        <w:rPr>
          <w:rFonts w:ascii="Times New Roman;Times;serif" w:hAnsi="Times New Roman;Times;serif"/>
          <w:b/>
          <w:sz w:val="22"/>
        </w:rPr>
        <w:t>Priority Debt</w:t>
      </w:r>
      <w:r>
        <w:rPr>
          <w:rFonts w:ascii="Times New Roman;Times;serif" w:hAnsi="Times New Roman;Times;serif"/>
          <w:sz w:val="20"/>
        </w:rPr>
        <w:t xml:space="preserve">” </w:t>
      </w:r>
      <w:r>
        <w:rPr>
          <w:rFonts w:ascii="Times New Roman;Times;serif" w:hAnsi="Times New Roman;Times;serif"/>
          <w:sz w:val="22"/>
        </w:rPr>
        <w:t xml:space="preserve">means, at any time of determination thereof and without duplication, (a) Debt of the Company </w:t>
      </w:r>
      <w:r>
        <w:rPr>
          <w:rFonts w:ascii="Times New Roman;Times;serif" w:hAnsi="Times New Roman;Times;serif"/>
          <w:color w:val="0000FF"/>
          <w:sz w:val="22"/>
          <w:u w:val="single"/>
        </w:rPr>
        <w:t xml:space="preserve">or Matson Navigation </w:t>
      </w:r>
      <w:r>
        <w:rPr>
          <w:rFonts w:ascii="Times New Roman;Times;serif" w:hAnsi="Times New Roman;Times;serif"/>
          <w:sz w:val="22"/>
        </w:rPr>
        <w:t xml:space="preserve">secured by any Lien (including, without limitation, all Title XI Debt and all Debt secured by marine assets, in each case whether full recourse or limited recourse) and (b) all Debt secured by a Lien (including, without limitation, all Title XI Debt and all Debt secured by a Lien on marine assets, in each case whether full recourse or limited recourse) and all unsecured Debt of Subsidiaries of the Company (other than unsecured Debt of Guarantors),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Priority Debt shall not include (i) Debt owing from any Subsidiaries to the Company or any other Subsidiary, (ii) the Notes and obligations under the Multiparty Guaranty, (iii) the notes issued under the Other Note Agreements and Guarantees in respect thereof, (iv) any Debt or other obligations of the Company or any Subsidiary under the Bank Credit Agreement, including any obligations with respect to any letter of credit issued thereunder (other than those described in paragraph 6C(1)(vi)), and any Guarantee with respect to any Debt or other obligations under the Bank Credit Agreement, so long as the Company is in compliance with the second and third provisos of paragraph 6C(1)(vii), </w:t>
      </w:r>
      <w:r>
        <w:rPr>
          <w:rFonts w:ascii="Times New Roman;Times;serif" w:hAnsi="Times New Roman;Times;serif"/>
          <w:color w:val="0000FF"/>
          <w:sz w:val="22"/>
          <w:u w:val="single"/>
        </w:rPr>
        <w:t xml:space="preserve">or </w:t>
      </w:r>
      <w:r>
        <w:rPr>
          <w:rFonts w:ascii="Times New Roman;Times;serif" w:hAnsi="Times New Roman;Times;serif"/>
          <w:sz w:val="22"/>
        </w:rPr>
        <w:t xml:space="preserve">(v) </w:t>
      </w:r>
      <w:r>
        <w:rPr>
          <w:rFonts w:ascii="Times New Roman;Times;serif" w:hAnsi="Times New Roman;Times;serif"/>
          <w:color w:val="FF0000"/>
          <w:sz w:val="22"/>
        </w:rPr>
        <w:t xml:space="preserve">any Debt secured solely by Collateral, or (vi) </w:t>
      </w:r>
      <w:r>
        <w:rPr>
          <w:rFonts w:ascii="Times New Roman;Times;serif" w:hAnsi="Times New Roman;Times;serif"/>
          <w:sz w:val="22"/>
        </w:rPr>
        <w:t>the Horizon Notes, so long as the aggregate principal amount outstanding under the Horizon Notes is less than $3,000,000.</w:t>
      </w:r>
    </w:p>
    <w:p>
      <w:pPr>
        <w:pStyle w:val="TextBody"/>
        <w:bidi w:val="0"/>
        <w:spacing w:before="0" w:after="240"/>
        <w:ind w:left="0" w:right="0" w:firstLine="720"/>
        <w:jc w:val="both"/>
        <w:rPr/>
      </w:pPr>
      <w:r>
        <w:rPr/>
        <w:t>“</w:t>
      </w:r>
      <w:r>
        <w:rPr>
          <w:rFonts w:ascii="Times New Roman;Times;serif" w:hAnsi="Times New Roman;Times;serif"/>
          <w:b/>
          <w:sz w:val="22"/>
        </w:rPr>
        <w:t>Prudential</w:t>
      </w:r>
      <w:r>
        <w:rPr>
          <w:rFonts w:ascii="Times New Roman;Times;serif" w:hAnsi="Times New Roman;Times;serif"/>
          <w:sz w:val="20"/>
        </w:rPr>
        <w:t xml:space="preserve">” </w:t>
      </w:r>
      <w:r>
        <w:rPr>
          <w:rFonts w:ascii="Times New Roman;Times;serif" w:hAnsi="Times New Roman;Times;serif"/>
          <w:sz w:val="22"/>
        </w:rPr>
        <w:t>means PGIM, Inc., and any successor thereto.</w:t>
      </w:r>
    </w:p>
    <w:p>
      <w:pPr>
        <w:pStyle w:val="TextBody"/>
        <w:bidi w:val="0"/>
        <w:spacing w:before="0" w:after="240"/>
        <w:ind w:left="0" w:right="0" w:firstLine="720"/>
        <w:jc w:val="both"/>
        <w:rPr/>
      </w:pPr>
      <w:r>
        <w:rPr/>
        <w:t>“</w:t>
      </w:r>
      <w:r>
        <w:rPr>
          <w:rFonts w:ascii="Times New Roman;Times;serif" w:hAnsi="Times New Roman;Times;serif"/>
          <w:b/>
          <w:sz w:val="22"/>
        </w:rPr>
        <w:t>Prudential Affiliate</w:t>
      </w:r>
      <w:r>
        <w:rPr>
          <w:rFonts w:ascii="Times New Roman;Times;serif" w:hAnsi="Times New Roman;Times;serif"/>
          <w:sz w:val="20"/>
        </w:rPr>
        <w:t xml:space="preserve">” </w:t>
      </w:r>
      <w:r>
        <w:rPr>
          <w:rFonts w:ascii="Times New Roman;Times;serif" w:hAnsi="Times New Roman;Times;serif"/>
          <w:sz w:val="22"/>
        </w:rPr>
        <w:t>means (i) any corporation or other entity controlling, controlled by, or under common control with, Prudential, and (ii) any managed account or investment fund which is managed by Prudential or a Prudential Affiliate described in clause (i) of this definition.</w:t>
      </w:r>
    </w:p>
    <w:p>
      <w:pPr>
        <w:pStyle w:val="TextBody"/>
        <w:bidi w:val="0"/>
        <w:spacing w:before="0" w:after="240"/>
        <w:ind w:left="0" w:right="0" w:firstLine="720"/>
        <w:jc w:val="both"/>
        <w:rPr/>
      </w:pPr>
      <w:r>
        <w:rPr/>
        <w:t>“</w:t>
      </w:r>
      <w:r>
        <w:rPr>
          <w:rFonts w:ascii="Times New Roman;Times;serif" w:hAnsi="Times New Roman;Times;serif"/>
          <w:b/>
          <w:sz w:val="22"/>
        </w:rPr>
        <w:t>Purchasers</w:t>
      </w:r>
      <w:r>
        <w:rPr>
          <w:rFonts w:ascii="Times New Roman;Times;serif" w:hAnsi="Times New Roman;Times;serif"/>
          <w:sz w:val="20"/>
        </w:rPr>
        <w:t xml:space="preserve">” </w:t>
      </w:r>
      <w:r>
        <w:rPr>
          <w:rFonts w:ascii="Times New Roman;Times;serif" w:hAnsi="Times New Roman;Times;serif"/>
          <w:sz w:val="22"/>
        </w:rPr>
        <w:t>means Prudential, each holder of Notes which is a signatory to this Agreement and, with respect to any Shelf Notes, Prudential and/or the Prudential Affiliate(s) which are purchasing such Notes.</w:t>
      </w:r>
    </w:p>
    <w:p>
      <w:pPr>
        <w:pStyle w:val="TextBody"/>
        <w:bidi w:val="0"/>
        <w:spacing w:before="0" w:after="240"/>
        <w:ind w:left="0" w:right="0" w:firstLine="720"/>
        <w:jc w:val="both"/>
        <w:rPr/>
      </w:pPr>
      <w:r>
        <w:rPr/>
        <w:t>“</w:t>
      </w:r>
      <w:r>
        <w:rPr>
          <w:rFonts w:ascii="Times New Roman;Times;serif" w:hAnsi="Times New Roman;Times;serif"/>
          <w:b/>
          <w:sz w:val="22"/>
        </w:rPr>
        <w:t>Rating Agency</w:t>
      </w:r>
      <w:r>
        <w:rPr>
          <w:rFonts w:ascii="Times New Roman;Times;serif" w:hAnsi="Times New Roman;Times;serif"/>
          <w:sz w:val="20"/>
        </w:rPr>
        <w:t xml:space="preserve">” </w:t>
      </w:r>
      <w:r>
        <w:rPr>
          <w:rFonts w:ascii="Times New Roman;Times;serif" w:hAnsi="Times New Roman;Times;serif"/>
          <w:sz w:val="22"/>
        </w:rPr>
        <w:t>means, at any time, any nationally recognized statistical rating organization which qualifies at such time for the ratings exception of the Securities Valuation Office of the National Association of Insurance Commissioners, except as agreed in writing by the parties to the First Amendment on or before June 29, 2017.</w:t>
      </w:r>
    </w:p>
    <w:p>
      <w:pPr>
        <w:pStyle w:val="TextBody"/>
        <w:bidi w:val="0"/>
        <w:spacing w:before="0" w:after="240"/>
        <w:ind w:left="0" w:right="0" w:firstLine="720"/>
        <w:jc w:val="both"/>
        <w:rPr/>
      </w:pPr>
      <w:r>
        <w:rPr/>
        <w:t>“</w:t>
      </w:r>
      <w:r>
        <w:rPr>
          <w:rFonts w:ascii="Times New Roman;Times;serif" w:hAnsi="Times New Roman;Times;serif"/>
          <w:b/>
          <w:sz w:val="22"/>
        </w:rPr>
        <w:t>Request for Purchase</w:t>
      </w:r>
      <w:r>
        <w:rPr>
          <w:rFonts w:ascii="Times New Roman;Times;serif" w:hAnsi="Times New Roman;Times;serif"/>
          <w:sz w:val="20"/>
        </w:rPr>
        <w:t xml:space="preserve">” </w:t>
      </w:r>
      <w:r>
        <w:rPr>
          <w:rFonts w:ascii="Times New Roman;Times;serif" w:hAnsi="Times New Roman;Times;serif"/>
          <w:sz w:val="22"/>
        </w:rPr>
        <w:t>is defined in paragraph 2B(3).</w:t>
      </w:r>
    </w:p>
    <w:p>
      <w:pPr>
        <w:pStyle w:val="TextBody"/>
        <w:bidi w:val="0"/>
        <w:spacing w:before="0" w:after="240"/>
        <w:ind w:left="0" w:right="0" w:firstLine="720"/>
        <w:jc w:val="both"/>
        <w:rPr/>
      </w:pPr>
      <w:r>
        <w:rPr/>
        <w:t>“</w:t>
      </w:r>
      <w:r>
        <w:rPr>
          <w:rFonts w:ascii="Times New Roman;Times;serif" w:hAnsi="Times New Roman;Times;serif"/>
          <w:b/>
          <w:sz w:val="22"/>
        </w:rPr>
        <w:t>Required Holder(s)</w:t>
      </w:r>
      <w:r>
        <w:rPr>
          <w:rFonts w:ascii="Times New Roman;Times;serif" w:hAnsi="Times New Roman;Times;serif"/>
          <w:sz w:val="20"/>
        </w:rPr>
        <w:t xml:space="preserve">” </w:t>
      </w:r>
      <w:r>
        <w:rPr>
          <w:rFonts w:ascii="Times New Roman;Times;serif" w:hAnsi="Times New Roman;Times;serif"/>
          <w:sz w:val="22"/>
        </w:rPr>
        <w:t>means the holder or holders of at least 51% of the aggregate principal amount of the Notes or of a Series of Notes, as the context may require, from time to time outstanding and, if no Notes are outstanding, means Prudential.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Rescheduled Closing Day</w:t>
      </w:r>
      <w:r>
        <w:rPr>
          <w:rFonts w:ascii="Times New Roman;Times;serif" w:hAnsi="Times New Roman;Times;serif"/>
          <w:sz w:val="20"/>
        </w:rPr>
        <w:t xml:space="preserve">” </w:t>
      </w:r>
      <w:r>
        <w:rPr>
          <w:rFonts w:ascii="Times New Roman;Times;serif" w:hAnsi="Times New Roman;Times;serif"/>
          <w:sz w:val="22"/>
        </w:rPr>
        <w:t>is defined in paragraph 2B(7).</w:t>
      </w:r>
    </w:p>
    <w:p>
      <w:pPr>
        <w:pStyle w:val="TextBody"/>
        <w:bidi w:val="0"/>
        <w:spacing w:before="0" w:after="240"/>
        <w:ind w:left="0" w:right="0" w:firstLine="720"/>
        <w:jc w:val="both"/>
        <w:rPr/>
      </w:pPr>
      <w:r>
        <w:rPr/>
        <w:t>“</w:t>
      </w:r>
      <w:r>
        <w:rPr>
          <w:rFonts w:ascii="Times New Roman;Times;serif" w:hAnsi="Times New Roman;Times;serif"/>
          <w:b/>
          <w:sz w:val="22"/>
        </w:rPr>
        <w:t>Responsible Officer</w:t>
      </w:r>
      <w:r>
        <w:rPr>
          <w:rFonts w:ascii="Times New Roman;Times;serif" w:hAnsi="Times New Roman;Times;serif"/>
          <w:sz w:val="20"/>
        </w:rPr>
        <w:t xml:space="preserve">” </w:t>
      </w:r>
      <w:r>
        <w:rPr>
          <w:rFonts w:ascii="Times New Roman;Times;serif" w:hAnsi="Times New Roman;Times;serif"/>
          <w:sz w:val="22"/>
        </w:rPr>
        <w:t>means any of the Company’s chief financial officer, principal accounting officer, treasurer or controller and any other officer of the Company with responsibility for the administration of the relevant portion of this Agreement or matters referenced therein.</w:t>
      </w:r>
    </w:p>
    <w:p>
      <w:pPr>
        <w:pStyle w:val="TextBody"/>
        <w:bidi w:val="0"/>
        <w:spacing w:before="0" w:after="240"/>
        <w:ind w:left="0" w:right="0" w:firstLine="720"/>
        <w:jc w:val="both"/>
        <w:rPr/>
      </w:pPr>
      <w:r>
        <w:rPr/>
        <w:t>“</w:t>
      </w:r>
      <w:r>
        <w:rPr>
          <w:rFonts w:ascii="Times New Roman;Times;serif" w:hAnsi="Times New Roman;Times;serif"/>
          <w:b/>
          <w:sz w:val="22"/>
        </w:rPr>
        <w:t>Restricted Payments</w:t>
      </w:r>
      <w:r>
        <w:rPr>
          <w:rFonts w:ascii="Times New Roman;Times;serif" w:hAnsi="Times New Roman;Times;serif"/>
          <w:sz w:val="20"/>
        </w:rPr>
        <w:t xml:space="preserve">” </w:t>
      </w:r>
      <w:r>
        <w:rPr>
          <w:rFonts w:ascii="Times New Roman;Times;serif" w:hAnsi="Times New Roman;Times;serif"/>
          <w:sz w:val="22"/>
        </w:rPr>
        <w:t>is defined in paragraph 6B.</w:t>
      </w:r>
    </w:p>
    <w:p>
      <w:pPr>
        <w:pStyle w:val="TextBody"/>
        <w:bidi w:val="0"/>
        <w:spacing w:before="0" w:after="240"/>
        <w:ind w:left="0" w:right="0" w:firstLine="720"/>
        <w:jc w:val="both"/>
        <w:rPr/>
      </w:pPr>
      <w:r>
        <w:rPr/>
        <w:t>“</w:t>
      </w:r>
      <w:r>
        <w:rPr>
          <w:rFonts w:ascii="Times New Roman;Times;serif" w:hAnsi="Times New Roman;Times;serif"/>
          <w:b/>
          <w:sz w:val="22"/>
        </w:rPr>
        <w:t>SEC</w:t>
      </w:r>
      <w:r>
        <w:rPr>
          <w:rFonts w:ascii="Times New Roman;Times;serif" w:hAnsi="Times New Roman;Times;serif"/>
          <w:sz w:val="20"/>
        </w:rPr>
        <w:t xml:space="preserve">” </w:t>
      </w:r>
      <w:r>
        <w:rPr>
          <w:rFonts w:ascii="Times New Roman;Times;serif" w:hAnsi="Times New Roman;Times;serif"/>
          <w:sz w:val="22"/>
        </w:rPr>
        <w:t>means the Securities and Exchange Commission, and any Governmental Authority succeeding to any of its principal functions.</w:t>
      </w:r>
    </w:p>
    <w:p>
      <w:pPr>
        <w:pStyle w:val="TextBody"/>
        <w:bidi w:val="0"/>
        <w:spacing w:before="0" w:after="240"/>
        <w:ind w:left="0" w:right="0" w:firstLine="720"/>
        <w:jc w:val="both"/>
        <w:rPr/>
      </w:pPr>
      <w:r>
        <w:rPr/>
        <w:t>“</w:t>
      </w:r>
      <w:r>
        <w:rPr>
          <w:rFonts w:ascii="Times New Roman;Times;serif" w:hAnsi="Times New Roman;Times;serif"/>
          <w:b/>
          <w:sz w:val="22"/>
        </w:rPr>
        <w:t>Section 2 Citizen</w:t>
      </w:r>
      <w:r>
        <w:rPr>
          <w:rFonts w:ascii="Times New Roman;Times;serif" w:hAnsi="Times New Roman;Times;serif"/>
          <w:sz w:val="20"/>
        </w:rPr>
        <w:t xml:space="preserve">” </w:t>
      </w:r>
      <w:r>
        <w:rPr>
          <w:rFonts w:ascii="Times New Roman;Times;serif" w:hAnsi="Times New Roman;Times;serif"/>
          <w:sz w:val="22"/>
        </w:rPr>
        <w:t>means a Person that is a citizen of the United States of America as required for the coastwise trade under Section 50501 of Title 46 of the United States Code and the regulations in effect from time to time thereunder.</w:t>
      </w:r>
    </w:p>
    <w:p>
      <w:pPr>
        <w:pStyle w:val="TextBody"/>
        <w:bidi w:val="0"/>
        <w:spacing w:before="0" w:after="240"/>
        <w:ind w:left="0" w:right="0" w:firstLine="720"/>
        <w:jc w:val="both"/>
        <w:rPr/>
      </w:pPr>
      <w:r>
        <w:rPr/>
        <w:t>“</w:t>
      </w:r>
      <w:r>
        <w:rPr>
          <w:rFonts w:ascii="Times New Roman;Times;serif" w:hAnsi="Times New Roman;Times;serif"/>
          <w:b/>
          <w:sz w:val="22"/>
        </w:rPr>
        <w:t>Securities Act</w:t>
      </w:r>
      <w:r>
        <w:rPr>
          <w:rFonts w:ascii="Times New Roman;Times;serif" w:hAnsi="Times New Roman;Times;serif"/>
          <w:sz w:val="20"/>
        </w:rPr>
        <w:t xml:space="preserve">” </w:t>
      </w:r>
      <w:r>
        <w:rPr>
          <w:rFonts w:ascii="Times New Roman;Times;serif" w:hAnsi="Times New Roman;Times;serif"/>
          <w:sz w:val="22"/>
        </w:rPr>
        <w:t>means the Securities Act of 1933, as amended from time to time, and the rules and regulations promulgated thereunder from time to time in effect.</w:t>
      </w:r>
    </w:p>
    <w:p>
      <w:pPr>
        <w:pStyle w:val="TextBody"/>
        <w:bidi w:val="0"/>
        <w:spacing w:before="0" w:after="240"/>
        <w:ind w:left="0" w:right="0" w:firstLine="720"/>
        <w:jc w:val="both"/>
        <w:rPr/>
      </w:pPr>
      <w:r>
        <w:rPr/>
        <w:t>“</w:t>
      </w:r>
      <w:r>
        <w:rPr>
          <w:rFonts w:ascii="Times New Roman;Times;serif" w:hAnsi="Times New Roman;Times;serif"/>
          <w:b/>
          <w:sz w:val="22"/>
        </w:rPr>
        <w:t>Security Agreement</w:t>
      </w:r>
      <w:r>
        <w:rPr>
          <w:rFonts w:ascii="Times New Roman;Times;serif" w:hAnsi="Times New Roman;Times;serif"/>
          <w:sz w:val="20"/>
        </w:rPr>
        <w:t xml:space="preserve">” </w:t>
      </w:r>
      <w:r>
        <w:rPr>
          <w:rFonts w:ascii="Times New Roman;Times;serif" w:hAnsi="Times New Roman;Times;serif"/>
          <w:sz w:val="22"/>
        </w:rPr>
        <w:t xml:space="preserve">means, individually, each of (a) that certain Security Agreement (Vessel Type Aloha Class – Hull No. 29) dated as of the applicable date thereof between Matson Navigation and the Collateral Agent in substantially the form set forth as </w:t>
      </w:r>
      <w:r>
        <w:rPr>
          <w:rFonts w:ascii="Times New Roman;Times;serif" w:hAnsi="Times New Roman;Times;serif"/>
          <w:sz w:val="22"/>
          <w:u w:val="single"/>
        </w:rPr>
        <w:t>Exhibit C-3</w:t>
      </w:r>
      <w:r>
        <w:rPr>
          <w:rFonts w:ascii="Times New Roman;Times;serif" w:hAnsi="Times New Roman;Times;serif"/>
          <w:sz w:val="22"/>
        </w:rPr>
        <w:t xml:space="preserve">, (b) that certain Security Agreement (Vessel Type Aloha Class – Hull No. 30) dated as of the applicable date thereof between Matson Navigation and the Collateral Agent in substantially the form set forth as </w:t>
      </w:r>
      <w:r>
        <w:rPr>
          <w:rFonts w:ascii="Times New Roman;Times;serif" w:hAnsi="Times New Roman;Times;serif"/>
          <w:sz w:val="22"/>
          <w:u w:val="single"/>
        </w:rPr>
        <w:t>Exhibit C-4</w:t>
      </w:r>
      <w:r>
        <w:rPr>
          <w:rFonts w:ascii="Times New Roman;Times;serif" w:hAnsi="Times New Roman;Times;serif"/>
          <w:sz w:val="22"/>
        </w:rPr>
        <w:t xml:space="preserve">, (C) that certain Security Agreement (Vessel Type Kanaloa Class) dated as of the applicable date thereof between Matson Navigation and the Collateral Agent in substantially the form set forth as </w:t>
      </w:r>
      <w:r>
        <w:rPr>
          <w:rFonts w:ascii="Times New Roman;Times;serif" w:hAnsi="Times New Roman;Times;serif"/>
          <w:sz w:val="22"/>
          <w:u w:val="single"/>
        </w:rPr>
        <w:t>Exhibit C-5</w:t>
      </w:r>
      <w:r>
        <w:rPr>
          <w:rFonts w:ascii="Times New Roman;Times;serif" w:hAnsi="Times New Roman;Times;serif"/>
          <w:sz w:val="22"/>
        </w:rPr>
        <w:t xml:space="preserve">, and (d) any other Security Agreement with respect to an applicable Vessel (or contract to build a Vessel) between a Credit Party and the Collateral Agent in substantially the form set forth as </w:t>
      </w:r>
      <w:r>
        <w:rPr>
          <w:rFonts w:ascii="Times New Roman;Times;serif" w:hAnsi="Times New Roman;Times;serif"/>
          <w:sz w:val="22"/>
          <w:u w:val="single"/>
        </w:rPr>
        <w:t>Exhibits C-3</w:t>
      </w:r>
      <w:r>
        <w:rPr>
          <w:rFonts w:ascii="Times New Roman;Times;serif" w:hAnsi="Times New Roman;Times;serif"/>
          <w:sz w:val="22"/>
        </w:rPr>
        <w:t xml:space="preserve">, </w:t>
      </w:r>
      <w:r>
        <w:rPr>
          <w:rFonts w:ascii="Times New Roman;Times;serif" w:hAnsi="Times New Roman;Times;serif"/>
          <w:sz w:val="22"/>
          <w:u w:val="single"/>
        </w:rPr>
        <w:t>C-4</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C-5</w:t>
      </w:r>
      <w:r>
        <w:rPr>
          <w:rFonts w:ascii="Times New Roman;Times;serif" w:hAnsi="Times New Roman;Times;serif"/>
          <w:sz w:val="20"/>
        </w:rPr>
        <w:t xml:space="preserve"> </w:t>
      </w:r>
      <w:r>
        <w:rPr>
          <w:rFonts w:ascii="Times New Roman;Times;serif" w:hAnsi="Times New Roman;Times;serif"/>
          <w:sz w:val="22"/>
        </w:rPr>
        <w:t>with respect to such applicable Vessel (or contract to build a Vessel) and designated in writing from time to time by any Credit Party to the Collateral Agent as a “Security Agreement” hereunder.</w:t>
      </w:r>
    </w:p>
    <w:p>
      <w:pPr>
        <w:pStyle w:val="TextBody"/>
        <w:bidi w:val="0"/>
        <w:spacing w:before="0" w:after="240"/>
        <w:ind w:left="0" w:right="0" w:firstLine="720"/>
        <w:jc w:val="both"/>
        <w:rPr/>
      </w:pPr>
      <w:r>
        <w:rPr/>
        <w:t>“</w:t>
      </w:r>
      <w:r>
        <w:rPr>
          <w:rFonts w:ascii="Times New Roman;Times;serif" w:hAnsi="Times New Roman;Times;serif"/>
          <w:b/>
          <w:sz w:val="22"/>
        </w:rPr>
        <w:t>Series</w:t>
      </w:r>
      <w:r>
        <w:rPr>
          <w:rFonts w:ascii="Times New Roman;Times;serif" w:hAnsi="Times New Roman;Times;serif"/>
          <w:sz w:val="20"/>
        </w:rPr>
        <w:t xml:space="preserve">” </w:t>
      </w:r>
      <w:r>
        <w:rPr>
          <w:rFonts w:ascii="Times New Roman;Times;serif" w:hAnsi="Times New Roman;Times;serif"/>
          <w:sz w:val="22"/>
        </w:rPr>
        <w:t>is defined in paragraph 1D.</w:t>
      </w:r>
    </w:p>
    <w:p>
      <w:pPr>
        <w:pStyle w:val="TextBody"/>
        <w:bidi w:val="0"/>
        <w:spacing w:before="0" w:after="240"/>
        <w:ind w:left="0" w:right="0" w:firstLine="720"/>
        <w:jc w:val="both"/>
        <w:rPr/>
      </w:pPr>
      <w:r>
        <w:rPr/>
        <w:t>“</w:t>
      </w:r>
      <w:r>
        <w:rPr>
          <w:rFonts w:ascii="Times New Roman;Times;serif" w:hAnsi="Times New Roman;Times;serif"/>
          <w:b/>
          <w:sz w:val="22"/>
        </w:rPr>
        <w:t>Series B Notes</w:t>
      </w:r>
      <w:r>
        <w:rPr>
          <w:rFonts w:ascii="Times New Roman;Times;serif" w:hAnsi="Times New Roman;Times;serif"/>
          <w:sz w:val="20"/>
        </w:rPr>
        <w:t xml:space="preserve">” </w:t>
      </w:r>
      <w:r>
        <w:rPr>
          <w:rFonts w:ascii="Times New Roman;Times;serif" w:hAnsi="Times New Roman;Times;serif"/>
          <w:sz w:val="22"/>
        </w:rPr>
        <w:t>is defined in paragraph 1B.</w:t>
      </w:r>
    </w:p>
    <w:p>
      <w:pPr>
        <w:pStyle w:val="TextBody"/>
        <w:bidi w:val="0"/>
        <w:spacing w:before="0" w:after="240"/>
        <w:ind w:left="0" w:right="0" w:firstLine="720"/>
        <w:jc w:val="both"/>
        <w:rPr/>
      </w:pPr>
      <w:r>
        <w:rPr/>
        <w:t>“</w:t>
      </w:r>
      <w:r>
        <w:rPr>
          <w:rFonts w:ascii="Times New Roman;Times;serif" w:hAnsi="Times New Roman;Times;serif"/>
          <w:b/>
          <w:sz w:val="22"/>
        </w:rPr>
        <w:t>Series C Notes</w:t>
      </w:r>
      <w:r>
        <w:rPr>
          <w:rFonts w:ascii="Times New Roman;Times;serif" w:hAnsi="Times New Roman;Times;serif"/>
          <w:sz w:val="20"/>
        </w:rPr>
        <w:t xml:space="preserve">” </w:t>
      </w:r>
      <w:r>
        <w:rPr>
          <w:rFonts w:ascii="Times New Roman;Times;serif" w:hAnsi="Times New Roman;Times;serif"/>
          <w:sz w:val="22"/>
        </w:rPr>
        <w:t>is defined in paragraph 1B.</w:t>
      </w:r>
    </w:p>
    <w:p>
      <w:pPr>
        <w:pStyle w:val="TextBody"/>
        <w:bidi w:val="0"/>
        <w:spacing w:before="0" w:after="240"/>
        <w:ind w:left="0" w:right="0" w:firstLine="720"/>
        <w:jc w:val="both"/>
        <w:rPr/>
      </w:pPr>
      <w:r>
        <w:rPr/>
        <w:t>“</w:t>
      </w:r>
      <w:r>
        <w:rPr>
          <w:rFonts w:ascii="Times New Roman;Times;serif" w:hAnsi="Times New Roman;Times;serif"/>
          <w:b/>
          <w:sz w:val="22"/>
        </w:rPr>
        <w:t>Series C-1 Notes</w:t>
      </w:r>
      <w:r>
        <w:rPr>
          <w:rFonts w:ascii="Times New Roman;Times;serif" w:hAnsi="Times New Roman;Times;serif"/>
          <w:sz w:val="20"/>
        </w:rPr>
        <w:t xml:space="preserve">” </w:t>
      </w:r>
      <w:r>
        <w:rPr>
          <w:rFonts w:ascii="Times New Roman;Times;serif" w:hAnsi="Times New Roman;Times;serif"/>
          <w:sz w:val="22"/>
        </w:rPr>
        <w:t>is defined in paragraph 1B.</w:t>
      </w:r>
    </w:p>
    <w:p>
      <w:pPr>
        <w:pStyle w:val="TextBody"/>
        <w:bidi w:val="0"/>
        <w:spacing w:before="0" w:after="240"/>
        <w:ind w:left="0" w:right="0" w:firstLine="720"/>
        <w:jc w:val="both"/>
        <w:rPr/>
      </w:pPr>
      <w:r>
        <w:rPr/>
        <w:t>“</w:t>
      </w:r>
      <w:r>
        <w:rPr>
          <w:rFonts w:ascii="Times New Roman;Times;serif" w:hAnsi="Times New Roman;Times;serif"/>
          <w:b/>
          <w:sz w:val="22"/>
        </w:rPr>
        <w:t>Series C-2 Notes</w:t>
      </w:r>
      <w:r>
        <w:rPr>
          <w:rFonts w:ascii="Times New Roman;Times;serif" w:hAnsi="Times New Roman;Times;serif"/>
          <w:sz w:val="20"/>
        </w:rPr>
        <w:t xml:space="preserve">” </w:t>
      </w:r>
      <w:r>
        <w:rPr>
          <w:rFonts w:ascii="Times New Roman;Times;serif" w:hAnsi="Times New Roman;Times;serif"/>
          <w:sz w:val="22"/>
        </w:rPr>
        <w:t>is defined in paragraph 1B.</w:t>
      </w:r>
    </w:p>
    <w:p>
      <w:pPr>
        <w:pStyle w:val="TextBody"/>
        <w:bidi w:val="0"/>
        <w:spacing w:before="0" w:after="240"/>
        <w:ind w:left="0" w:right="0" w:firstLine="720"/>
        <w:jc w:val="both"/>
        <w:rPr/>
      </w:pPr>
      <w:r>
        <w:rPr/>
        <w:t>“</w:t>
      </w:r>
      <w:r>
        <w:rPr>
          <w:rFonts w:ascii="Times New Roman;Times;serif" w:hAnsi="Times New Roman;Times;serif"/>
          <w:b/>
          <w:sz w:val="22"/>
        </w:rPr>
        <w:t>Series C-3 Notes</w:t>
      </w:r>
      <w:r>
        <w:rPr>
          <w:rFonts w:ascii="Times New Roman;Times;serif" w:hAnsi="Times New Roman;Times;serif"/>
          <w:sz w:val="20"/>
        </w:rPr>
        <w:t xml:space="preserve">” </w:t>
      </w:r>
      <w:r>
        <w:rPr>
          <w:rFonts w:ascii="Times New Roman;Times;serif" w:hAnsi="Times New Roman;Times;serif"/>
          <w:sz w:val="22"/>
        </w:rPr>
        <w:t>is defined in paragraph 1B.</w:t>
      </w:r>
    </w:p>
    <w:p>
      <w:pPr>
        <w:pStyle w:val="TextBody"/>
        <w:bidi w:val="0"/>
        <w:spacing w:before="0" w:after="240"/>
        <w:ind w:left="0" w:right="0" w:firstLine="720"/>
        <w:jc w:val="both"/>
        <w:rPr/>
      </w:pPr>
      <w:r>
        <w:rPr/>
        <w:t>“</w:t>
      </w:r>
      <w:r>
        <w:rPr>
          <w:rFonts w:ascii="Times New Roman;Times;serif" w:hAnsi="Times New Roman;Times;serif"/>
          <w:b/>
          <w:sz w:val="22"/>
        </w:rPr>
        <w:t>Series D Closing Day</w:t>
      </w:r>
      <w:r>
        <w:rPr>
          <w:rFonts w:ascii="Times New Roman;Times;serif" w:hAnsi="Times New Roman;Times;serif"/>
          <w:sz w:val="20"/>
        </w:rPr>
        <w:t xml:space="preserve">” </w:t>
      </w:r>
      <w:r>
        <w:rPr>
          <w:rFonts w:ascii="Times New Roman;Times;serif" w:hAnsi="Times New Roman;Times;serif"/>
          <w:sz w:val="22"/>
        </w:rPr>
        <w:t>is defined in paragraph 2A.</w:t>
      </w:r>
    </w:p>
    <w:p>
      <w:pPr>
        <w:pStyle w:val="TextBody"/>
        <w:bidi w:val="0"/>
        <w:spacing w:before="0" w:after="240"/>
        <w:ind w:left="0" w:right="0" w:firstLine="720"/>
        <w:jc w:val="both"/>
        <w:rPr/>
      </w:pPr>
      <w:r>
        <w:rPr/>
        <w:t>“</w:t>
      </w:r>
      <w:r>
        <w:rPr>
          <w:rFonts w:ascii="Times New Roman;Times;serif" w:hAnsi="Times New Roman;Times;serif"/>
          <w:b/>
          <w:sz w:val="22"/>
        </w:rPr>
        <w:t>Series D Note Purchasers</w:t>
      </w:r>
      <w:r>
        <w:rPr>
          <w:rFonts w:ascii="Times New Roman;Times;serif" w:hAnsi="Times New Roman;Times;serif"/>
          <w:sz w:val="20"/>
        </w:rPr>
        <w:t xml:space="preserve">” </w:t>
      </w:r>
      <w:r>
        <w:rPr>
          <w:rFonts w:ascii="Times New Roman;Times;serif" w:hAnsi="Times New Roman;Times;serif"/>
          <w:sz w:val="22"/>
        </w:rPr>
        <w:t>means the purchasers of Series D Notes identified on the Purchaser Schedules 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Series D Notes</w:t>
      </w:r>
      <w:r>
        <w:rPr>
          <w:rFonts w:ascii="Times New Roman;Times;serif" w:hAnsi="Times New Roman;Times;serif"/>
          <w:sz w:val="20"/>
        </w:rPr>
        <w:t xml:space="preserve">” </w:t>
      </w:r>
      <w:r>
        <w:rPr>
          <w:rFonts w:ascii="Times New Roman;Times;serif" w:hAnsi="Times New Roman;Times;serif"/>
          <w:sz w:val="22"/>
        </w:rPr>
        <w:t>is defined in paragraph 1C.</w:t>
      </w:r>
    </w:p>
    <w:p>
      <w:pPr>
        <w:pStyle w:val="TextBody"/>
        <w:bidi w:val="0"/>
        <w:spacing w:before="0" w:after="240"/>
        <w:ind w:left="0" w:right="0" w:firstLine="720"/>
        <w:jc w:val="both"/>
        <w:rPr/>
      </w:pPr>
      <w:r>
        <w:rPr/>
        <w:t>“</w:t>
      </w:r>
      <w:r>
        <w:rPr>
          <w:rFonts w:ascii="Times New Roman;Times;serif" w:hAnsi="Times New Roman;Times;serif"/>
          <w:b/>
          <w:sz w:val="22"/>
        </w:rPr>
        <w:t>Shelf Notes</w:t>
      </w:r>
      <w:r>
        <w:rPr>
          <w:rFonts w:ascii="Times New Roman;Times;serif" w:hAnsi="Times New Roman;Times;serif"/>
          <w:sz w:val="20"/>
        </w:rPr>
        <w:t xml:space="preserve">” </w:t>
      </w:r>
      <w:r>
        <w:rPr>
          <w:rFonts w:ascii="Times New Roman;Times;serif" w:hAnsi="Times New Roman;Times;serif"/>
          <w:sz w:val="22"/>
        </w:rPr>
        <w:t>is defined in paragraph 1D.</w:t>
      </w:r>
    </w:p>
    <w:p>
      <w:pPr>
        <w:pStyle w:val="TextBody"/>
        <w:bidi w:val="0"/>
        <w:spacing w:before="0" w:after="240"/>
        <w:ind w:left="0" w:right="0" w:firstLine="720"/>
        <w:jc w:val="both"/>
        <w:rPr/>
      </w:pPr>
      <w:r>
        <w:rPr/>
        <w:t>“</w:t>
      </w:r>
      <w:r>
        <w:rPr>
          <w:rFonts w:ascii="Times New Roman;Times;serif" w:hAnsi="Times New Roman;Times;serif"/>
          <w:b/>
          <w:sz w:val="22"/>
        </w:rPr>
        <w:t>Significant Holder</w:t>
      </w:r>
      <w:r>
        <w:rPr>
          <w:rFonts w:ascii="Times New Roman;Times;serif" w:hAnsi="Times New Roman;Times;serif"/>
          <w:sz w:val="20"/>
        </w:rPr>
        <w:t xml:space="preserve">” </w:t>
      </w:r>
      <w:r>
        <w:rPr>
          <w:rFonts w:ascii="Times New Roman;Times;serif" w:hAnsi="Times New Roman;Times;serif"/>
          <w:sz w:val="22"/>
        </w:rPr>
        <w:t>means (i) each Purchaser, so long as such Purchaser shall hold any Note, or (ii) any other holder of at least 10% of the aggregate principal amount of the Notes of any Series from time to time outstanding.</w:t>
      </w:r>
    </w:p>
    <w:p>
      <w:pPr>
        <w:pStyle w:val="TextBody"/>
        <w:bidi w:val="0"/>
        <w:spacing w:before="0" w:after="240"/>
        <w:ind w:left="0" w:right="0" w:firstLine="720"/>
        <w:jc w:val="both"/>
        <w:rPr/>
      </w:pPr>
      <w:r>
        <w:rPr/>
        <w:t>“</w:t>
      </w:r>
      <w:r>
        <w:rPr>
          <w:rFonts w:ascii="Times New Roman;Times;serif" w:hAnsi="Times New Roman;Times;serif"/>
          <w:b/>
          <w:sz w:val="22"/>
        </w:rPr>
        <w:t>S&amp;P</w:t>
      </w:r>
      <w:r>
        <w:rPr>
          <w:rFonts w:ascii="Times New Roman;Times;serif" w:hAnsi="Times New Roman;Times;serif"/>
          <w:sz w:val="20"/>
        </w:rPr>
        <w:t xml:space="preserve">” </w:t>
      </w:r>
      <w:r>
        <w:rPr>
          <w:rFonts w:ascii="Times New Roman;Times;serif" w:hAnsi="Times New Roman;Times;serif"/>
          <w:sz w:val="22"/>
        </w:rPr>
        <w:t>means Standard &amp; Poor’s Financial Services LLC, a subsidiary of The McGraw-Hill Companies, Inc. or any successor thereto.</w:t>
      </w:r>
    </w:p>
    <w:p>
      <w:pPr>
        <w:pStyle w:val="TextBody"/>
        <w:bidi w:val="0"/>
        <w:spacing w:before="0" w:after="240"/>
        <w:ind w:left="0" w:right="0" w:firstLine="720"/>
        <w:jc w:val="both"/>
        <w:rPr/>
      </w:pPr>
      <w:r>
        <w:rPr/>
        <w:t>“</w:t>
      </w:r>
      <w:r>
        <w:rPr>
          <w:rFonts w:ascii="Times New Roman;Times;serif" w:hAnsi="Times New Roman;Times;serif"/>
          <w:b/>
          <w:sz w:val="22"/>
        </w:rPr>
        <w:t>State Sanctions List</w:t>
      </w:r>
      <w:r>
        <w:rPr>
          <w:rFonts w:ascii="Times New Roman;Times;serif" w:hAnsi="Times New Roman;Times;serif"/>
          <w:sz w:val="20"/>
        </w:rPr>
        <w:t xml:space="preserve">” </w:t>
      </w:r>
      <w:r>
        <w:rPr>
          <w:rFonts w:ascii="Times New Roman;Times;serif" w:hAnsi="Times New Roman;Times;serif"/>
          <w:sz w:val="22"/>
        </w:rPr>
        <w:t>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w:t>
      </w:r>
    </w:p>
    <w:p>
      <w:pPr>
        <w:pStyle w:val="TextBody"/>
        <w:bidi w:val="0"/>
        <w:spacing w:before="0" w:after="240"/>
        <w:ind w:left="0" w:right="0" w:firstLine="720"/>
        <w:jc w:val="both"/>
        <w:rPr/>
      </w:pPr>
      <w:r>
        <w:rPr/>
        <w:t>“</w:t>
      </w:r>
      <w:r>
        <w:rPr>
          <w:rFonts w:ascii="Times New Roman;Times;serif" w:hAnsi="Times New Roman;Times;serif"/>
          <w:b/>
          <w:sz w:val="22"/>
        </w:rPr>
        <w:t>Structuring Fee</w:t>
      </w:r>
      <w:r>
        <w:rPr>
          <w:rFonts w:ascii="Times New Roman;Times;serif" w:hAnsi="Times New Roman;Times;serif"/>
          <w:sz w:val="20"/>
        </w:rPr>
        <w:t xml:space="preserve">” </w:t>
      </w:r>
      <w:r>
        <w:rPr>
          <w:rFonts w:ascii="Times New Roman;Times;serif" w:hAnsi="Times New Roman;Times;serif"/>
          <w:sz w:val="22"/>
        </w:rPr>
        <w:t>is defined in Section 2B(8)(i).</w:t>
      </w:r>
    </w:p>
    <w:p>
      <w:pPr>
        <w:pStyle w:val="TextBody"/>
        <w:bidi w:val="0"/>
        <w:spacing w:before="0" w:after="240"/>
        <w:ind w:left="0" w:right="0" w:firstLine="720"/>
        <w:jc w:val="both"/>
        <w:rPr/>
      </w:pPr>
      <w:r>
        <w:rPr/>
        <w:t>“</w:t>
      </w:r>
      <w:r>
        <w:rPr>
          <w:rFonts w:ascii="Times New Roman;Times;serif" w:hAnsi="Times New Roman;Times;serif"/>
          <w:b/>
          <w:sz w:val="22"/>
        </w:rPr>
        <w:t>Subsidiary</w:t>
      </w:r>
      <w:r>
        <w:rPr>
          <w:rFonts w:ascii="Times New Roman;Times;serif" w:hAnsi="Times New Roman;Times;serif"/>
          <w:sz w:val="20"/>
        </w:rPr>
        <w:t xml:space="preserve">” </w:t>
      </w:r>
      <w:r>
        <w:rPr>
          <w:rFonts w:ascii="Times New Roman;Times;serif" w:hAnsi="Times New Roman;Times;serif"/>
          <w:sz w:val="22"/>
        </w:rPr>
        <w:t>means, as to any Person, any company, whether operating as a corporation, joint venture, partnership, limited liability company or other entity, which is consolidated with such Person in accordance with GAAP.  Unless otherwise specified, all references herein to a “Subsidiary” or to “Subsidiaries” shall refer to a Subsidiary or Subsidiaries of the Company.</w:t>
      </w:r>
    </w:p>
    <w:p>
      <w:pPr>
        <w:pStyle w:val="TextBody"/>
        <w:bidi w:val="0"/>
        <w:spacing w:before="0" w:after="240"/>
        <w:ind w:left="0" w:right="0" w:firstLine="720"/>
        <w:jc w:val="both"/>
        <w:rPr/>
      </w:pPr>
      <w:r>
        <w:rPr/>
        <w:t>“</w:t>
      </w:r>
      <w:r>
        <w:rPr>
          <w:rFonts w:ascii="Times New Roman;Times;serif" w:hAnsi="Times New Roman;Times;serif"/>
          <w:b/>
          <w:sz w:val="22"/>
        </w:rPr>
        <w:t>Title XI Debt</w:t>
      </w:r>
      <w:r>
        <w:rPr>
          <w:rFonts w:ascii="Times New Roman;Times;serif" w:hAnsi="Times New Roman;Times;serif"/>
          <w:sz w:val="20"/>
        </w:rPr>
        <w:t xml:space="preserve">” </w:t>
      </w:r>
      <w:r>
        <w:rPr>
          <w:rFonts w:ascii="Times New Roman;Times;serif" w:hAnsi="Times New Roman;Times;serif"/>
          <w:sz w:val="22"/>
        </w:rPr>
        <w:t>means all Debt of the Company or Matson Navigation or any Subsidiary that is guaranteed by the United States of America pursuant to 46 USC Chapter 537.</w:t>
      </w:r>
    </w:p>
    <w:p>
      <w:pPr>
        <w:pStyle w:val="TextBody"/>
        <w:bidi w:val="0"/>
        <w:spacing w:before="0" w:after="240"/>
        <w:ind w:left="0" w:right="0" w:firstLine="720"/>
        <w:jc w:val="both"/>
        <w:rPr/>
      </w:pPr>
      <w:r>
        <w:rPr/>
        <w:t>“</w:t>
      </w:r>
      <w:r>
        <w:rPr>
          <w:rFonts w:ascii="Times New Roman;Times;serif" w:hAnsi="Times New Roman;Times;serif"/>
          <w:b/>
          <w:sz w:val="22"/>
        </w:rPr>
        <w:t>Transaction Documents</w:t>
      </w:r>
      <w:r>
        <w:rPr>
          <w:rFonts w:ascii="Times New Roman;Times;serif" w:hAnsi="Times New Roman;Times;serif"/>
          <w:sz w:val="20"/>
        </w:rPr>
        <w:t xml:space="preserve">” </w:t>
      </w:r>
      <w:r>
        <w:rPr>
          <w:rFonts w:ascii="Times New Roman;Times;serif" w:hAnsi="Times New Roman;Times;serif"/>
          <w:sz w:val="22"/>
        </w:rPr>
        <w:t>means this Agreement, the Notes, the Multiparty Guaranty, the Indemnity and Contribution Agreement and the other agreements, documents, certificates and instruments now or hereafter executed or delivered by the Company or any Subsidiary or Affiliate in connection with this Agreement</w:t>
      </w:r>
      <w:r>
        <w:rPr>
          <w:rFonts w:ascii="Times New Roman;Times;serif" w:hAnsi="Times New Roman;Times;serif"/>
          <w:color w:val="0000FF"/>
          <w:sz w:val="22"/>
          <w:u w:val="single"/>
        </w:rPr>
        <w:t>, but excluding any Collateral Documents</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Transferee</w:t>
      </w:r>
      <w:r>
        <w:rPr>
          <w:rFonts w:ascii="Times New Roman;Times;serif" w:hAnsi="Times New Roman;Times;serif"/>
          <w:sz w:val="20"/>
        </w:rPr>
        <w:t xml:space="preserve">” </w:t>
      </w:r>
      <w:r>
        <w:rPr>
          <w:rFonts w:ascii="Times New Roman;Times;serif" w:hAnsi="Times New Roman;Times;serif"/>
          <w:sz w:val="22"/>
        </w:rPr>
        <w:t>means any direct or indirect transferee of all or any part of any Note purchased under this Agreement.</w:t>
      </w:r>
    </w:p>
    <w:p>
      <w:pPr>
        <w:pStyle w:val="TextBody"/>
        <w:bidi w:val="0"/>
        <w:spacing w:before="0" w:after="240"/>
        <w:ind w:left="0" w:right="0" w:firstLine="720"/>
        <w:jc w:val="both"/>
        <w:rPr/>
      </w:pPr>
      <w:r>
        <w:rPr>
          <w:color w:val="0000FF"/>
          <w:u w:val="single"/>
        </w:rPr>
        <w:t>“</w:t>
      </w:r>
      <w:r>
        <w:rPr>
          <w:rFonts w:ascii="Times New Roman;Times;serif" w:hAnsi="Times New Roman;Times;serif"/>
          <w:b/>
          <w:color w:val="0000FF"/>
          <w:sz w:val="22"/>
        </w:rPr>
        <w:t>United States Person</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means any United States citizen, lawful permanent resident, Person organized under the laws of the United States or any jurisdiction within the United States, including any foreign branch of any such entity, or any Person in the United States.</w:t>
      </w:r>
    </w:p>
    <w:p>
      <w:pPr>
        <w:pStyle w:val="TextBody"/>
        <w:bidi w:val="0"/>
        <w:spacing w:before="0" w:after="240"/>
        <w:ind w:left="0" w:right="0" w:firstLine="720"/>
        <w:jc w:val="both"/>
        <w:rPr/>
      </w:pPr>
      <w:r>
        <w:rPr/>
        <w:t>“</w:t>
      </w:r>
      <w:r>
        <w:rPr>
          <w:rFonts w:ascii="Times New Roman;Times;serif" w:hAnsi="Times New Roman;Times;serif"/>
          <w:b/>
          <w:sz w:val="22"/>
        </w:rPr>
        <w:t>USA PATRIOT Act</w:t>
      </w:r>
      <w:r>
        <w:rPr>
          <w:rFonts w:ascii="Times New Roman;Times;serif" w:hAnsi="Times New Roman;Times;serif"/>
          <w:sz w:val="20"/>
        </w:rPr>
        <w:t xml:space="preserve">” </w:t>
      </w:r>
      <w:r>
        <w:rPr>
          <w:rFonts w:ascii="Times New Roman;Times;serif" w:hAnsi="Times New Roman;Times;serif"/>
          <w:sz w:val="22"/>
        </w:rPr>
        <w:t>means United States Public Law 107-56, Uniting and Strengthening America by Providing Appropriate Tools Required to Intercept and Obstruct Terrorism (USA PATRIOT ACT) Act of 2001 and the rules and regulations promulgated thereunder from time to time in effect.</w:t>
      </w:r>
    </w:p>
    <w:p>
      <w:pPr>
        <w:pStyle w:val="TextBody"/>
        <w:bidi w:val="0"/>
        <w:spacing w:before="0" w:after="240"/>
        <w:ind w:left="0" w:right="0" w:firstLine="720"/>
        <w:jc w:val="both"/>
        <w:rPr/>
      </w:pPr>
      <w:r>
        <w:rPr/>
        <w:t>“</w:t>
      </w:r>
      <w:r>
        <w:rPr>
          <w:rFonts w:ascii="Times New Roman;Times;serif" w:hAnsi="Times New Roman;Times;serif"/>
          <w:b/>
          <w:sz w:val="22"/>
        </w:rPr>
        <w:t>U.S. Economic Sanctions Laws</w:t>
      </w:r>
      <w:r>
        <w:rPr>
          <w:rFonts w:ascii="Times New Roman;Times;serif" w:hAnsi="Times New Roman;Times;serif"/>
          <w:sz w:val="20"/>
        </w:rPr>
        <w:t xml:space="preserve">” </w:t>
      </w:r>
      <w:r>
        <w:rPr>
          <w:rFonts w:ascii="Times New Roman;Times;serif" w:hAnsi="Times New Roman;Times;serif"/>
          <w:sz w:val="22"/>
        </w:rPr>
        <w:t>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Iran Sanctions Act, the Sudan Accountability and Divestment Act and any other OFAC Sanctions Program.</w:t>
      </w:r>
    </w:p>
    <w:p>
      <w:pPr>
        <w:pStyle w:val="TextBody"/>
        <w:bidi w:val="0"/>
        <w:spacing w:before="0" w:after="240"/>
        <w:ind w:left="0" w:right="0" w:firstLine="720"/>
        <w:jc w:val="both"/>
        <w:rPr/>
      </w:pPr>
      <w:r>
        <w:rPr/>
        <w:t>“</w:t>
      </w:r>
      <w:r>
        <w:rPr>
          <w:rFonts w:ascii="Times New Roman;Times;serif" w:hAnsi="Times New Roman;Times;serif"/>
          <w:b/>
          <w:sz w:val="22"/>
        </w:rPr>
        <w:t>Vessel</w:t>
      </w:r>
      <w:r>
        <w:rPr>
          <w:rFonts w:ascii="Times New Roman;Times;serif" w:hAnsi="Times New Roman;Times;serif"/>
          <w:sz w:val="20"/>
        </w:rPr>
        <w:t xml:space="preserve">” </w:t>
      </w:r>
      <w:r>
        <w:rPr>
          <w:rFonts w:ascii="Times New Roman;Times;serif" w:hAnsi="Times New Roman;Times;serif"/>
          <w:sz w:val="22"/>
        </w:rPr>
        <w:t>means each vessel that is (or is required to be) documented under and pursuant to the laws of the United States with a coastwise endorsement owned or operated by the Company or any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10C.</w:t>
      </w:r>
      <w:r>
        <w:rPr>
          <w:rFonts w:ascii="Times New Roman;Times;serif" w:hAnsi="Times New Roman;Times;serif"/>
          <w:b/>
          <w:sz w:val="22"/>
        </w:rPr>
        <w:t>Accounting Principles, Terms and Determinations; Changes in GAAP</w:t>
      </w:r>
      <w:r>
        <w:rPr>
          <w:rFonts w:ascii="Times New Roman;Times;serif" w:hAnsi="Times New Roman;Times;serif"/>
          <w:sz w:val="22"/>
        </w:rPr>
        <w:t>.  All references in this Agreement to “</w:t>
      </w:r>
      <w:r>
        <w:rPr>
          <w:rFonts w:ascii="Times New Roman;Times;serif" w:hAnsi="Times New Roman;Times;serif"/>
          <w:b/>
          <w:sz w:val="22"/>
        </w:rPr>
        <w:t>generally accepted accounting principles</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b/>
          <w:sz w:val="22"/>
        </w:rPr>
        <w:t>GAAP</w:t>
      </w:r>
      <w:r>
        <w:rPr>
          <w:rFonts w:ascii="Times New Roman;Times;serif" w:hAnsi="Times New Roman;Times;serif"/>
          <w:sz w:val="20"/>
        </w:rPr>
        <w:t xml:space="preserve">” </w:t>
      </w:r>
      <w:r>
        <w:rPr>
          <w:rFonts w:ascii="Times New Roman;Times;serif" w:hAnsi="Times New Roman;Times;serif"/>
          <w:sz w:val="22"/>
        </w:rPr>
        <w:t xml:space="preserve">shall be deemed to refer to generally accepted accounting principles in effect in the United States of America at the time of application thereof, but excluding in each case the effects of Financial Accounting Standards Board Accounting Standards Codification Topic No. 825-10-25 – </w:t>
      </w:r>
      <w:r>
        <w:rPr>
          <w:rFonts w:ascii="Times New Roman;Times;serif" w:hAnsi="Times New Roman;Times;serif"/>
          <w:i/>
          <w:sz w:val="22"/>
        </w:rPr>
        <w:t>Fair Value Option</w:t>
      </w:r>
      <w:r>
        <w:rPr>
          <w:rFonts w:ascii="Times New Roman;Times;serif" w:hAnsi="Times New Roman;Times;serif"/>
          <w:sz w:val="22"/>
        </w:rPr>
        <w:t xml:space="preserve">, International Accounting Standard 39 – </w:t>
      </w:r>
      <w:r>
        <w:rPr>
          <w:rFonts w:ascii="Times New Roman;Times;serif" w:hAnsi="Times New Roman;Times;serif"/>
          <w:i/>
          <w:sz w:val="22"/>
        </w:rPr>
        <w:t>Financial Instruments:  Recognition and Measurement</w:t>
      </w:r>
      <w:r>
        <w:rPr>
          <w:rFonts w:ascii="Times New Roman;Times;serif" w:hAnsi="Times New Roman;Times;serif"/>
          <w:sz w:val="22"/>
        </w:rPr>
        <w:t>, or any other accounting standard that would result in any financial liability being set forth at an amount less than the actual outstanding principal amount thereof.  Unless otherwise specified herein, all accounting terms used herein shall be interpreted, all determinations with respect to accounting matters hereunder shall be made, and all unaudited financial statements and certificates and reports as to financial matters required to be furnished hereunder shall be prepared, in accordance with generally accepted accounting principles, applied on a basis consistent with the most recent audited consolidated financial statements of the Company and its Subsidiaries delivered pursuant to clause (ii) of paragraph 5A or, if no such statements have been so delivered, the most recent audited financial statements referred to in clause (i) of paragraph 8B.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If at any time any change in GAAP would affect the computation of any financial ratio or requirement set forth in any Transaction Document, and either the Company or the Required Holders shall so request, the holders of the Notes and the Company shall negotiate in good faith to amend such ratio or requirement to preserve the original intent thereof in light of such change in GAAP (subject to the approval of the Required Holders);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 until so amended, such ratio or requirement shall continue to be computed in accordance with GAAP prior to such change therein and (B) until so amended, the Company shall provide to the holders of the Notes financial statements and other documents reasonably requested by any holder of a Note setting forth a reconciliation between calculations of such ratio or requirement made before and after giving effect to such change in GAAP.  Without limiting the foregoing, leases shall continue to be classified and accounted for on a basis consistent with the rules in effect on September 14, 2016 for all purposes of this Agreement, notwithstanding any change in GAAP relating thereto, unless the parties hereto shall enter into a mutually acceptable amendment addressing such changes, as provided for above.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w:t>
      </w:r>
      <w:r>
        <w:rPr>
          <w:rFonts w:ascii="Times New Roman;Times;serif" w:hAnsi="Times New Roman;Times;serif"/>
          <w:b/>
          <w:sz w:val="22"/>
        </w:rPr>
        <w:t>MISCELLANEOUS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11A.</w:t>
      </w:r>
      <w:r>
        <w:rPr>
          <w:rFonts w:ascii="Times New Roman;Times;serif" w:hAnsi="Times New Roman;Times;serif"/>
          <w:b/>
          <w:sz w:val="22"/>
        </w:rPr>
        <w:t>Note Payments</w:t>
      </w:r>
      <w:r>
        <w:rPr>
          <w:rFonts w:ascii="Times New Roman;Times;serif" w:hAnsi="Times New Roman;Times;serif"/>
          <w:sz w:val="22"/>
        </w:rPr>
        <w:t>.  The Company agrees that, so long as any Purchaser shall hold any Note, it will make payments of principal of, interest on, and any Yield-Maintenance Amount payable with respect to, such Note, which comply with the terms of this Agreement, by wire transfer of immediately available funds for credit on the date due to the account or accounts of such Purchaser specified in the applicable purchaser schedule for such Series of Notes or such other account or accounts in the United States as such Purchaser may from time to time designate in writing, notwithstanding any contrary provision herein or in any Note with respect to the place of payment.  Each Purchaser agrees that, before disposing of any Note, it will make a notation thereon (or on a schedule attached thereto) of all principal payments previously made thereon and of the date to which interest thereon has been paid.  The Company agrees to afford the benefits of this paragraph 11A to any Transferee which shall have made the same agreement as the Purchasers have made in this paragraph 11A.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11B.</w:t>
      </w:r>
      <w:r>
        <w:rPr>
          <w:rFonts w:ascii="Times New Roman;Times;serif" w:hAnsi="Times New Roman;Times;serif"/>
          <w:b/>
          <w:sz w:val="22"/>
        </w:rPr>
        <w:t>Expenses</w:t>
      </w:r>
      <w:r>
        <w:rPr>
          <w:rFonts w:ascii="Times New Roman;Times;serif" w:hAnsi="Times New Roman;Times;serif"/>
          <w:sz w:val="22"/>
        </w:rPr>
        <w:t xml:space="preserve">.  The Company agrees, whether or not the transactions contemplated hereby shall be consummated, to pay, and save Prudential, each Purchaser and any Transferee harmless against liability for the payment of, all reasonable out-of-pocket expenses arising in connection with such transactions, including (i) all document production and duplication charges and the fees and expenses of any special counsel engaged by the Purchasers or any Transferee in connection with this Agreement or any other Transaction Document, the Intercreditor Agreement, the Collateral Documents, the transactions contemplated hereby and thereby and any subsequent proposed modification of, or proposed consent under, this Agreement or any other Transaction Document, the Intercreditor Agreement or the Collateral Documents, whether or not such proposed modification shall be effected or proposed consent granted, and (ii) the reasonable costs and expenses, including attorneys’ fees, incurred by any Purchaser or any Transferee in enforcing any rights under this Agreement, the Notes or any other Transaction Document, the Intercreditor Agreement or the Collateral Documents or in responding to any subpoena or other legal process or informal investigative demand issued in connection with this Agreement, the Notes or any other Transaction Document, the Intercreditor Agreement or the Collateral Documents or the transactions contemplated hereby or thereby or by reason of any Purchaser’s or any Transferee’s having acquired any Note, including without limitation costs and expenses incurred in any bankruptcy case, </w:t>
      </w:r>
      <w:r>
        <w:rPr>
          <w:rFonts w:ascii="Times New Roman;Times;serif" w:hAnsi="Times New Roman;Times;serif"/>
          <w:sz w:val="22"/>
          <w:u w:val="single"/>
        </w:rPr>
        <w:t>provided however</w:t>
      </w:r>
      <w:r>
        <w:rPr>
          <w:rFonts w:ascii="Times New Roman;Times;serif" w:hAnsi="Times New Roman;Times;serif"/>
          <w:sz w:val="22"/>
        </w:rPr>
        <w:t>, the Company will not be required to pay the expenses of any holder of a Note or any Transferee in connection with the transfer of any Note by any holder of a Note to any Transferee.  The obligations of the Company under this paragraph 11B shall survive the transfer of any Note or portion thereof or interest therein by any Purchaser or any Transferee and the payment of any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11C.</w:t>
      </w:r>
      <w:r>
        <w:rPr>
          <w:rFonts w:ascii="Times New Roman;Times;serif" w:hAnsi="Times New Roman;Times;serif"/>
          <w:b/>
          <w:sz w:val="22"/>
        </w:rPr>
        <w:t>Consent to Amendments</w:t>
      </w:r>
      <w:r>
        <w:rPr>
          <w:rFonts w:ascii="Times New Roman;Times;serif" w:hAnsi="Times New Roman;Times;serif"/>
          <w:sz w:val="22"/>
        </w:rPr>
        <w:t>.  This Agreement may be amended, and the Company may take any action herein prohibited, or omit to perform any act herein required to be performed by it, if the Company shall obtain the written consent to such amendment, action or omission to act, of the Required Holder(s) of the Notes of each Series except that, (i) without the written consent of the holder or holders of all Notes of a particular Series, and if an Event of Default shall have occurred and be continuing, of the holders of all Notes of all Series, at the time outstanding, no amendment to this Agreement shall change the maturity of any Note, or change or affect the principal thereof, or change or affect the rate or time of payment of interest on or any Yield-Maintenance Amount payable with respect to the Notes of such Series, (ii) without the written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consent of the holder or holders of all Notes at the time outstanding, no amendment to or waiver of the provisions of this Agreement shall change or affect the provisions of paragraph 7A or this paragraph 11C insofar as such provisions relate to proportions of the principal amount of the Notes of any Series, or the rights of any individual holder of Notes, required with respect to any declaration of Notes to be due and payable or with respect to any consent, amendment, waiver or declaration, (iii) with the written consent of Prudential (and not without the written consent of Prudential) the provisions of paragraph 2B may be amended or waived (except insofar as any such amendment or waiver would affect any rights or obligations with respect to the purchase and sale of Notes which shall have become Accepted Notes prior to such amendment or waiver), and (iv) with the written consent of all of the Purchasers which shall have become obligated to purchase Notes of any Series (and not without the written consent of all such Purchasers), any of the provisions of paragraphs 2B and 3 may be amended or waived insofar as such amendment or waiver would affect only rights or obligations with respect to the purchase and sale of the Notes of such Series or the terms and provisions of such Notes.  Each holder of any Note at the time or thereafter outstanding shall be bound by any consent authorized by this paragraph 11C, whether or not such Note shall have been marked to indicate such consent, but any Notes issued thereafter may bear a notation referring to any such consent.  No course of dealing between the Company, on the one hand, and Prudential or the holder of any Note, on the other hand, nor any delay in exercising any rights hereunder or under any Note shall operate as a waiver of any rights of any holder of such Note.  As used herein and in the Notes, the term “</w:t>
      </w:r>
      <w:r>
        <w:rPr>
          <w:rFonts w:ascii="Times New Roman;Times;serif" w:hAnsi="Times New Roman;Times;serif"/>
          <w:b/>
          <w:sz w:val="22"/>
        </w:rPr>
        <w:t>this Agreement</w:t>
      </w:r>
      <w:r>
        <w:rPr>
          <w:rFonts w:ascii="Times New Roman;Times;serif" w:hAnsi="Times New Roman;Times;serif"/>
          <w:sz w:val="20"/>
        </w:rPr>
        <w:t xml:space="preserve">” </w:t>
      </w:r>
      <w:r>
        <w:rPr>
          <w:rFonts w:ascii="Times New Roman;Times;serif" w:hAnsi="Times New Roman;Times;serif"/>
          <w:sz w:val="22"/>
        </w:rPr>
        <w:t>and references thereto means this Agreement as it may from time to time be amended or supplemented.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11D.</w:t>
      </w:r>
      <w:r>
        <w:rPr>
          <w:rFonts w:ascii="Times New Roman;Times;serif" w:hAnsi="Times New Roman;Times;serif"/>
          <w:b/>
          <w:sz w:val="22"/>
        </w:rPr>
        <w:t>Form, Registration, Transfer and Exchange of Notes</w:t>
      </w:r>
      <w:r>
        <w:rPr>
          <w:rFonts w:ascii="Times New Roman;Times;serif" w:hAnsi="Times New Roman;Times;serif"/>
          <w:sz w:val="22"/>
        </w:rPr>
        <w:t>.  The Notes are issuable as registered notes without coupons in denominations of at least $1,000,000, except as may be necessary to reflect any principal amount not evenly divisible by $1,000,000.  The Company shall keep at its principal office a register in which the Company shall provide for the registration of Notes and of transfers of Notes.  Upon surrender for registration of transfer of any Note at the principal office of the Company, the Company shall, at its expense, execute and deliver one or more new Notes of like tenor and of a like aggregate principal amount, registered in the name of such transferee or transferees.  At the option of the holder of any Note, such Note may be exchanged for other Notes of like tenor and of any authorized denominations, of a like aggregate principal amount, upon surrender of the Note to be exchanged at the principal office of the Company.  Whenever any Notes are so surrendered for exchange, the Company shall, at its expense, execute and deliver the Notes which the holder making the exchange is entitled to receive.  Each prepayment of principal payable on each prepayment date upon each new Note issued upon any such transfer or exchange shall be in the same proportion to the unpaid principal amount of such new Note as the prepayment of principal payable on such date on the Note surrendered for registration of transfer or exchange bore to the unpaid principal amount of such Note.  No reference need be made in any such new Note to any prepayment or prepayments of principal previously due and paid upon the Note surrendered for registration of transfer or exchange.  Every Note surrendered for registration of transfer or exchange shall be duly endorsed, or be accompanied by a written instrument of transfer duly executed, by the holder of such Note or such holder’s attorney duly authorized in writing.  Any Note or Notes issued in exchange for any Note or upon transfer thereof shall carry the rights to unpaid interest and interest to accrue which were carried by the Note so exchanged or transferred, so that neither gain nor loss of interest shall result from any such transfer or exchange.  Upon receipt of written notice from the holder of any Note of the loss, theft, destruction or mutilation of such Note and, in the case of any such loss, theft or destruction, upon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receipt of such holder’s unsecured indemnity agreement, or in the case of any such mutilation upon surrender and cancellation of such Note, the Company will make and deliver a new Note, of like tenor, in lieu of the lost, stolen, destroyed or mutilated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11E.</w:t>
      </w:r>
      <w:r>
        <w:rPr>
          <w:rFonts w:ascii="Times New Roman;Times;serif" w:hAnsi="Times New Roman;Times;serif"/>
          <w:b/>
          <w:sz w:val="22"/>
        </w:rPr>
        <w:t>Persons Deemed Owners; Participations</w:t>
      </w:r>
      <w:r>
        <w:rPr>
          <w:rFonts w:ascii="Times New Roman;Times;serif" w:hAnsi="Times New Roman;Times;serif"/>
          <w:sz w:val="22"/>
        </w:rPr>
        <w:t>.  Prior to due presentment for registration of transfer, the Company may treat the Person in whose name any Note is registered as the owner and holder of such Note for the purpose of receiving payment of principal of and Yield Maintenance Amount, if any, and interest on such Note and for all other purposes whatsoever, whether or not such Note shall be overdue, and the Company shall not be affected by notice to the contrary.  Subject to the preceding sentence, the holder of any Note may from time to time grant participations in all or any part of such Note on such terms and conditions as may be determined by such holder in its sole and absolute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11F.</w:t>
      </w:r>
      <w:r>
        <w:rPr>
          <w:rFonts w:ascii="Times New Roman;Times;serif" w:hAnsi="Times New Roman;Times;serif"/>
          <w:b/>
          <w:sz w:val="22"/>
        </w:rPr>
        <w:t>Survival of Representations and Warranties; Entire Agreement; No Novation</w:t>
      </w:r>
      <w:r>
        <w:rPr>
          <w:rFonts w:ascii="Times New Roman;Times;serif" w:hAnsi="Times New Roman;Times;serif"/>
          <w:sz w:val="22"/>
        </w:rPr>
        <w:t>.  All representations and warranties contained herein, in any other Transaction Document or made in writing by or on behalf of the Company or any other Credit Party in connection herewith or therewith shall survive the execution and delivery of this Agreement, the Notes and the other Transaction Documents, the transfer of any Note or portion thereof or interest therein and the payment of any Note, and may be relied upon by any Transferee, regardless of any investigation made at any time by or on behalf of any Purchaser or any Transferee.  Subject to the preceding sentence, this Agreement, the Notes, the other Transaction Documents and, until the effectiveness of the amendment and restatement thereof by this Agreement, the Prior Agreement, embody the entire agreement and understanding between the parties hereto with respect to the subject matter hereof and supersede all prior agreements and understandings relating to the subject matter hereof.  This Agreement amends, restates and replaces the Prior Agreement and is not intended to constitute a novation thereof; it being acknowledged and agreed that the Company’s covenants in the Prior Agreement shall remain operative for periods prior to the effectiveness of this Agreement, and any unwaived breach of such covenants or any unwaived breach of representations and warranties under the Prior Agreement made prior to the effectiveness of this Agreement, in each case if such unwaived breach constituted a Default or Event of Default under the Prior Agreement immediately prior to the effectiveness of this Agreement, shall constitute a Default or Event of Default, as applicable,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11G.</w:t>
      </w:r>
      <w:r>
        <w:rPr>
          <w:rFonts w:ascii="Times New Roman;Times;serif" w:hAnsi="Times New Roman;Times;serif"/>
          <w:b/>
          <w:sz w:val="22"/>
        </w:rPr>
        <w:t>Successors and Assigns</w:t>
      </w:r>
      <w:r>
        <w:rPr>
          <w:rFonts w:ascii="Times New Roman;Times;serif" w:hAnsi="Times New Roman;Times;serif"/>
          <w:sz w:val="22"/>
        </w:rPr>
        <w:t>.  All covenants and other agreements in this Agreement contained by or on behalf of any of the parties hereto shall bind and inure to the benefit of the respective successors and assigns of the parties hereto (including, without limitation, any Transferee) whether so expressed or not.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11H.</w:t>
      </w:r>
      <w:r>
        <w:rPr>
          <w:rFonts w:ascii="Times New Roman;Times;serif" w:hAnsi="Times New Roman;Times;serif"/>
          <w:b/>
          <w:sz w:val="22"/>
        </w:rPr>
        <w:t>Independence of Covenants</w:t>
      </w:r>
      <w:r>
        <w:rPr>
          <w:rFonts w:ascii="Times New Roman;Times;serif" w:hAnsi="Times New Roman;Times;serif"/>
          <w:sz w:val="22"/>
        </w:rPr>
        <w:t>.  All covenants hereunder and in the other Transaction Documents shall be given independent effect so that if a particular action or condition is prohibited by any one of such covenants, the fact that it would be permitted by an exception to, or otherwise be in compliance within the limitations of, another covenant shall not (i) avoid the occurrence of a Default or Event of Default if such action is taken or such condition exists or (ii) in any way prejudice an attempt by the holder of any Note to prohibit, through equitable action or otherwise, the taking of any action by the Company or any Subsidiary which would result in a Default or Event of Default.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11I.</w:t>
      </w:r>
      <w:r>
        <w:rPr>
          <w:rFonts w:ascii="Times New Roman;Times;serif" w:hAnsi="Times New Roman;Times;serif"/>
          <w:b/>
          <w:sz w:val="22"/>
        </w:rPr>
        <w:t>Notices</w:t>
      </w:r>
      <w:r>
        <w:rPr>
          <w:rFonts w:ascii="Times New Roman;Times;serif" w:hAnsi="Times New Roman;Times;serif"/>
          <w:sz w:val="22"/>
        </w:rPr>
        <w:t xml:space="preserve">.  All written communications provided for hereunder (other than communications provided for under paragraph 2B) shall be sent by first class mail or nationwide overnight delivery service (with charges prepaid) and (i) if to Prudential, at the address set forth on the first page of this Agreement or at such other address as Prudential shall have specified to the Company in writing, (ii) if to any Purchaser, addressed as specified for such communications in the applicable purchaser schedule for the applicable Series of Notes or at such other address as any such Purchaser shall have specified to the Company in writing, (iii) if to any other holder of any Note, addressed to it at such address as it shall have specified in writing to the Company or, if any such holder shall not have so specified an address, then addressed to such holder in care of the last holder of such Note which shall have so specified an address to the Company and (iv) if to the Company, addressed to it at 555 12th Street, 8th Floor, Oakland, CA 94067, Attention:  Chief Financial Officer or at such other address as the Company shall have specified to each holder of a Note in writing,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any such communication to the Company may also, at the option of the Person sending such communication, be delivered by any other means either to the Company at its address specified above or to any Authorized Officer of the Company.  Any communication pursuant to paragraph 2B shall be made by the method specified for such communication in paragraph 2B, and shall be effective to create any rights or obligations under this Agreement only if, in the case of a telephone communication, an Authorized Officer of the party conveying the information and of the party receiving the information are parties to the telephone call, and in the case of a telefacsimile communication, the communication is signed by an Authorized Officer of the party conveying the information, addressed to the attention of an Authorized Officer of the party receiving the information, and in fact received at the telefacsimile terminal the number of which is listed for the party receiving the communication in the Information Schedule or at such other telefacsimile terminal as the party receiving the information shall have specified in writing to the party sending such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11J.</w:t>
      </w:r>
      <w:r>
        <w:rPr>
          <w:rFonts w:ascii="Times New Roman;Times;serif" w:hAnsi="Times New Roman;Times;serif"/>
          <w:b/>
          <w:sz w:val="22"/>
        </w:rPr>
        <w:t>Descriptive Headings</w:t>
      </w:r>
      <w:r>
        <w:rPr>
          <w:rFonts w:ascii="Times New Roman;Times;serif" w:hAnsi="Times New Roman;Times;serif"/>
          <w:sz w:val="22"/>
        </w:rPr>
        <w:t>.  The descriptive headings of the several paragraphs of this Agreement are inserted for convenience only and do not constitute a part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11K.</w:t>
      </w:r>
      <w:r>
        <w:rPr>
          <w:rFonts w:ascii="Times New Roman;Times;serif" w:hAnsi="Times New Roman;Times;serif"/>
          <w:b/>
          <w:sz w:val="22"/>
        </w:rPr>
        <w:t>Satisfaction Requirement</w:t>
      </w:r>
      <w:r>
        <w:rPr>
          <w:rFonts w:ascii="Times New Roman;Times;serif" w:hAnsi="Times New Roman;Times;serif"/>
          <w:sz w:val="22"/>
        </w:rPr>
        <w:t>.  If any agreement, certificate or other writing, or any action taken or to be taken, is, by the terms of this Agreement, required to be satisfactory to any Purchaser or the Required Holder(s), the determination of such satisfaction shall be made by such Purchaser or the Required Holder(s), as the case may be, in the sole and exclusive judgment (exercised in good faith) of the Person(s) making such determination.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11L.</w:t>
      </w:r>
      <w:r>
        <w:rPr>
          <w:rFonts w:ascii="Times New Roman;Times;serif" w:hAnsi="Times New Roman;Times;serif"/>
          <w:b/>
          <w:sz w:val="22"/>
        </w:rPr>
        <w:t>Governing Law</w:t>
      </w:r>
      <w:r>
        <w:rPr>
          <w:rFonts w:ascii="Times New Roman;Times;serif" w:hAnsi="Times New Roman;Times;serif"/>
          <w:sz w:val="22"/>
        </w:rPr>
        <w:t>.  This Agreement shall be construed and enforced in accordance with, and the rights of the parties shall be governed by, the law of the State of New York excluding choice of law principles of the law of such state that would permit the application of the laws of a jurisdiction other than such state.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11M.</w:t>
      </w:r>
      <w:r>
        <w:rPr>
          <w:rFonts w:ascii="Times New Roman;Times;serif" w:hAnsi="Times New Roman;Times;serif"/>
          <w:b/>
          <w:sz w:val="22"/>
        </w:rPr>
        <w:t>Payments Due on Non-Business Days</w:t>
      </w:r>
      <w:r>
        <w:rPr>
          <w:rFonts w:ascii="Times New Roman;Times;serif" w:hAnsi="Times New Roman;Times;serif"/>
          <w:sz w:val="22"/>
        </w:rPr>
        <w:t>.  (a) For purpose of the Series B Notes and the Series C Notes, anything in this Agreement or the Notes to the contrary notwithstanding, any payment of principal of or interest, or Yield-Maintenance Amount payable with respect to, any such Note that is due on a date other than a Business Day shall be made on the next succeeding Business Day without including the additional days elapsed in the computation of interest payable on such next succeeding Business Day.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(b) For purpose of the Series D Notes and any Series of Shelf Notes, anything in this Agreement or the Notes to the contrary notwithstanding, (x) subject to clause (y), any payment of interest on any such Note that is due on a date that is not a Business Day shall be made on the next succeeding Business Day without including the additional days elapsed in the computation of the interest payable on such next succeeding Business Day, and (y) any payment of principal of or Yield-Maintenance Amount on any such Note (including principal due on the final maturity date of such Shelf Note) that is due on a date that is not a Business Day shall be made on the next succeeding Business Day and shall include the additional days elapsed in the computation of interest payable on such next succeeding Business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11N.</w:t>
      </w:r>
      <w:r>
        <w:rPr>
          <w:rFonts w:ascii="Times New Roman;Times;serif" w:hAnsi="Times New Roman;Times;serif"/>
          <w:b/>
          <w:sz w:val="22"/>
        </w:rPr>
        <w:t>Severability</w:t>
      </w:r>
      <w:r>
        <w:rPr>
          <w:rFonts w:ascii="Times New Roman;Times;serif" w:hAnsi="Times New Roman;Times;serif"/>
          <w:sz w:val="22"/>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11O.</w:t>
      </w:r>
      <w:r>
        <w:rPr>
          <w:rFonts w:ascii="Times New Roman;Times;serif" w:hAnsi="Times New Roman;Times;serif"/>
          <w:b/>
          <w:sz w:val="22"/>
        </w:rPr>
        <w:t>Jurisdiction and Process; Waiver of Jury Trial</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The Company irrevocably submits to the non-exclusive jurisdiction of any New York State or federal court sitting in the Borough of Manhattan, The City of New York, over any suit, action or proceeding arising out of or relating to this Agreement, the Notes or the other Transaction Documents</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or Collateral Documents</w:t>
      </w:r>
      <w:r>
        <w:rPr>
          <w:rFonts w:ascii="Times New Roman;Times;serif" w:hAnsi="Times New Roman;Times;serif"/>
          <w:sz w:val="22"/>
        </w:rPr>
        <w:t>.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The Company consents to process being served by or on behalf of any holder of Notes in any suit, action or proceeding of the nature referred to in paragraph 11O(i) by mailing a copy thereof by registered or certified mail (or any substantially similar form of mail), postage prepaid, return receipt requested, to it at its address specified in paragraph 11I or at such other address of which such holder shall then have been notified pursuant to paragraph 11I.  The Company agrees that such service upon receipt (a) shall be deemed in every respect effective service of process upon it in any such suit, action or proceeding and (b)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Nothing in this paragraph 11O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The parties hereto hereby waive trial by jury in any action brought on or with respect to this Agreement, the Notes or any other document executed in connection herewith or therewith.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WITHOUT INTENDING IN ANY WAY TO LIMIT THE PARTIES’ AGREEMENT TO WAIVE THEIR RESPECTIVE RIGHT TO A TRIAL BY JURY, IF THE ABOVE WAIVER OF THE RIGHT TO A TRIAL BY JURY IS NOT ENFORCEABLE, THE PARTIES HERETO AGREE THAT ANY AND ALL DISPUTES OR CONTROVERSIES OF ANY NATURE CONCERNING THIS AGREEMENT AND THE MATTERS CONTEMPLATED HEREBY (EACH, A “</w:t>
      </w:r>
      <w:r>
        <w:rPr>
          <w:rFonts w:ascii="Times New Roman;Times;serif" w:hAnsi="Times New Roman;Times;serif"/>
          <w:b/>
          <w:sz w:val="22"/>
        </w:rPr>
        <w:t>CLAIM</w:t>
      </w:r>
      <w:r>
        <w:rPr>
          <w:rFonts w:ascii="Times New Roman;Times;serif" w:hAnsi="Times New Roman;Times;serif"/>
          <w:sz w:val="20"/>
        </w:rPr>
        <w:t>”</w:t>
      </w:r>
      <w:r>
        <w:rPr>
          <w:rFonts w:ascii="Times New Roman;Times;serif" w:hAnsi="Times New Roman;Times;serif"/>
          <w:sz w:val="22"/>
        </w:rPr>
        <w:t>), INCLUDING ANY AND ALL QUESTIONS OF LAW OR FACT RELATING THERETO, SHALL, AT THE WRITTEN REQUEST OF ANY PARTY TO THIS AGREEMENT, BE DETERMINED BY JUDICIAL REFERENCE PURSUANT TO THE CALIFORNIA CODE OF CIVIL PROCEDURE (“</w:t>
      </w:r>
      <w:r>
        <w:rPr>
          <w:rFonts w:ascii="Times New Roman;Times;serif" w:hAnsi="Times New Roman;Times;serif"/>
          <w:b/>
          <w:sz w:val="22"/>
        </w:rPr>
        <w:t>REFERENCE</w:t>
      </w:r>
      <w:r>
        <w:rPr>
          <w:rFonts w:ascii="Times New Roman;Times;serif" w:hAnsi="Times New Roman;Times;serif"/>
          <w:sz w:val="20"/>
        </w:rPr>
        <w:t>”</w:t>
      </w:r>
      <w:r>
        <w:rPr>
          <w:rFonts w:ascii="Times New Roman;Times;serif" w:hAnsi="Times New Roman;Times;serif"/>
          <w:sz w:val="22"/>
        </w:rPr>
        <w:t>).  IN SUCH EVENT, THE PARTIES SHALL SELECT A SINGLE NEUTRAL REFEREE, WHO SHALL BE A RETIRED STATE OR FEDERAL JUDGE.  IN THE EVENT THAT THE PARTIES CANNOT AGREE UPON A REFEREE, THE REFEREE SHALL BE APPOINTED BY THE COURT.  THE REFEREE SHALL REPORT A STATEMENT OF DECISION TO THE COURT.  NOTHING IN THIS PARAGRAPH SHALL LIMIT THE RIGHT OF ANY PARTY AT ANY TIME TO EXERCISE ANY AVAILABLE SELF-HELP REMEDIES, FORECLOSE AGAINST ANY COLLATERAL OR OBTAIN PROVISIONAL REMEDIES.  THE PARTIES SHALL BEAR THE FEES AND EXPENSES OF THE REFEREE EQUALLY UNLESS THE REFEREE ORDERS OTHERWISE.  THE REFEREE SHALL ALSO DETERMINE ALL ISSUES RELATING TO THE APPLICABILITY, INTERPRETATION, AND ENFORCEABILITY OF THIS PARAGRAPH.  THE PARTIES ACKNOWLEDGE THAT THE CLAIMS WILL NOT BE ADJUDICATED BY A JURY.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11P.</w:t>
      </w:r>
      <w:r>
        <w:rPr>
          <w:rFonts w:ascii="Times New Roman;Times;serif" w:hAnsi="Times New Roman;Times;serif"/>
          <w:b/>
          <w:sz w:val="22"/>
        </w:rPr>
        <w:t>Counterparts</w:t>
      </w:r>
      <w:r>
        <w:rPr>
          <w:rFonts w:ascii="Times New Roman;Times;serif" w:hAnsi="Times New Roman;Times;serif"/>
          <w:sz w:val="22"/>
        </w:rPr>
        <w:t>.  This Agreement may be executed in any number of counterparts, each of which shall be an original, but all of which together shall constitute one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11Q.</w:t>
      </w:r>
      <w:r>
        <w:rPr>
          <w:rFonts w:ascii="Times New Roman;Times;serif" w:hAnsi="Times New Roman;Times;serif"/>
          <w:b/>
          <w:sz w:val="22"/>
        </w:rPr>
        <w:t>Binding Agreement</w:t>
      </w:r>
      <w:r>
        <w:rPr>
          <w:rFonts w:ascii="Times New Roman;Times;serif" w:hAnsi="Times New Roman;Times;serif"/>
          <w:sz w:val="22"/>
        </w:rPr>
        <w:t>.  When this Agreement is executed and delivered by the signatories hereto, it shall become a binding agreement (subject to satisfaction of the conditions precedent set forth herein) of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11R.</w:t>
      </w:r>
      <w:r>
        <w:rPr>
          <w:rFonts w:ascii="Times New Roman;Times;serif" w:hAnsi="Times New Roman;Times;serif"/>
          <w:b/>
          <w:sz w:val="22"/>
        </w:rPr>
        <w:t>Confidentiality</w:t>
      </w:r>
      <w:r>
        <w:rPr>
          <w:rFonts w:ascii="Times New Roman;Times;serif" w:hAnsi="Times New Roman;Times;serif"/>
          <w:sz w:val="22"/>
        </w:rPr>
        <w:t>.  For the purposes of this paragraph 11R, “</w:t>
      </w:r>
      <w:r>
        <w:rPr>
          <w:rFonts w:ascii="Times New Roman;Times;serif" w:hAnsi="Times New Roman;Times;serif"/>
          <w:b/>
          <w:sz w:val="22"/>
        </w:rPr>
        <w:t>Confidential Information</w:t>
      </w:r>
      <w:r>
        <w:rPr>
          <w:rFonts w:ascii="Times New Roman;Times;serif" w:hAnsi="Times New Roman;Times;serif"/>
          <w:sz w:val="20"/>
        </w:rPr>
        <w:t xml:space="preserve">” </w:t>
      </w:r>
      <w:r>
        <w:rPr>
          <w:rFonts w:ascii="Times New Roman;Times;serif" w:hAnsi="Times New Roman;Times;serif"/>
          <w:sz w:val="22"/>
        </w:rPr>
        <w:t xml:space="preserve">means information delivered to any Purchaser by or on behalf of the Company or any Subsidiary in connection with the transactions contemplated by or otherwise pursuant to this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paragraph 5A that are otherwise publicly available.  Each Purchaser will maintain the confidentiality of such Confidential Information in accordance with procedures adopted by such Purchaser in good faith to protect confidential information of third parties delivered to such Purchaser,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Purchaser may deliver or disclose Confidential Information to (i) its directors, officers and employees (it being understood that such Persons will be informed of the confidential nature of such Confidential Information and instructed to keep such Confidential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Information confidential), (ii) its agents, attorneys and affiliates (to the extent such disclosure reasonably relates to the administration of the investment represented by its Notes) (it being understood that such Persons will be informed of the confidential nature of such Confidential Information and instructed to keep such Confidential Information confidential), (iii) its auditors, financial advisors and other professional advisors who agree to hold confidential the Confidential Information substantially in accordance with this paragraph 11R, (iv) any other holder of any Note, (v) any Institutional Investor to which it sells or offers to sell such Note or any part thereof or any participation therein (if such Person has agreed in writing prior to its receipt of such Confidential Information to be bound by this paragraph 11R), (vi) any Person from which it offers to purchase any security of the Company (if such Person has agreed in writing prior to its receipt of such Confidential Information to be bound by this paragraph 11R), (vii) any federal or state regulatory authority having jurisdiction over such Purchaser, (viii) the National Association of Insurance Commissioners (including the Securities Valuations Office) or, in each case, any similar organization, or any nationally recognized rating agency that requires access to information about such Purchaser’s investment portfolio, or (ix)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so long as none of the Company or any of its affiliates is a party to such litigation, such Purchaser shall, if not prohibited by applicable law, endeavor to notify the Company prior to such delivery or disclosure), or (z) if an Event of Default has occurred and is continuing, to the extent such Purchaser may reasonably determine such delivery and disclosure to be necessary or appropriate in connection with the exercise of remedies hereunder or under any Transaction Document</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or Collateral Document</w:t>
      </w:r>
      <w:r>
        <w:rPr>
          <w:rFonts w:ascii="Times New Roman;Times;serif" w:hAnsi="Times New Roman;Times;serif"/>
          <w:sz w:val="22"/>
        </w:rPr>
        <w:t xml:space="preserve">, or any action or proceeding related to the Transaction </w:t>
      </w:r>
      <w:r>
        <w:rPr>
          <w:rFonts w:ascii="Times New Roman;Times;serif" w:hAnsi="Times New Roman;Times;serif"/>
          <w:color w:val="0000FF"/>
          <w:sz w:val="22"/>
          <w:u w:val="single"/>
        </w:rPr>
        <w:t>Documents or Collateral</w:t>
      </w:r>
      <w:r>
        <w:rPr>
          <w:rFonts w:ascii="Times New Roman;Times;serif" w:hAnsi="Times New Roman;Times;serif"/>
          <w:sz w:val="20"/>
        </w:rPr>
        <w:t xml:space="preserve"> </w:t>
      </w:r>
      <w:r>
        <w:rPr>
          <w:rFonts w:ascii="Times New Roman;Times;serif" w:hAnsi="Times New Roman;Times;serif"/>
          <w:sz w:val="22"/>
        </w:rPr>
        <w:t>Documents or the enforcement of rights hereunder or thereunder.  Each holder of a Note, by its acceptance of a Note, will be deemed to have agreed to be bound by and to be entitled to the benefits of this paragraph 11R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this paragraph 11R.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the event that as a condition to receiving access to information relating to the Company or its Subsidiaries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paragraph 11R, this paragraph 11R shall not be amended thereby and, as between such Purchaser or such holder and the Company, this paragraph 11R shall supersede any such other confidentiality undertaking.</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949" w:type="dxa"/>
        <w:jc w:val="center"/>
        <w:tblInd w:w="0" w:type="dxa"/>
        <w:tblLayout w:type="fixed"/>
        <w:tblCellMar>
          <w:top w:w="0" w:type="dxa"/>
          <w:left w:w="0" w:type="dxa"/>
          <w:bottom w:w="0" w:type="dxa"/>
          <w:right w:w="0" w:type="dxa"/>
        </w:tblCellMar>
      </w:tblPr>
      <w:tblGrid>
        <w:gridCol w:w="124"/>
        <w:gridCol w:w="2713"/>
        <w:gridCol w:w="1112"/>
      </w:tblGrid>
      <w:tr>
        <w:trPr/>
        <w:tc>
          <w:tcPr>
            <w:tcW w:w="124" w:type="dxa"/>
            <w:tcBorders/>
            <w:vAlign w:val="center"/>
          </w:tcPr>
          <w:p>
            <w:pPr>
              <w:pStyle w:val="TableContents"/>
              <w:bidi w:val="0"/>
              <w:spacing w:before="0" w:after="0"/>
              <w:ind w:left="0" w:right="0" w:hanging="0"/>
              <w:jc w:val="left"/>
              <w:rPr/>
            </w:pPr>
            <w:r>
              <w:rPr/>
              <w:t>​</w:t>
            </w:r>
          </w:p>
        </w:tc>
        <w:tc>
          <w:tcPr>
            <w:tcW w:w="38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MATSON, INC.</w:t>
            </w:r>
            <w:r>
              <w:rPr>
                <w:rFonts w:ascii="Times New Roman;Times;serif" w:hAnsi="Times New Roman;Times;serif"/>
                <w:sz w:val="22"/>
              </w:rPr>
              <w:t>, a Hawaii corporation</w:t>
            </w:r>
          </w:p>
        </w:tc>
      </w:tr>
      <w:tr>
        <w:trPr/>
        <w:tc>
          <w:tcPr>
            <w:tcW w:w="124" w:type="dxa"/>
            <w:tcBorders/>
            <w:vAlign w:val="center"/>
          </w:tcPr>
          <w:p>
            <w:pPr>
              <w:pStyle w:val="TableContents"/>
              <w:bidi w:val="0"/>
              <w:spacing w:before="0" w:after="0"/>
              <w:ind w:left="0" w:right="0" w:hanging="0"/>
              <w:jc w:val="left"/>
              <w:rPr/>
            </w:pPr>
            <w:r>
              <w:rPr/>
              <w:t>​</w:t>
            </w:r>
          </w:p>
        </w:tc>
        <w:tc>
          <w:tcPr>
            <w:tcW w:w="38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1112"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Its:</w:t>
            </w:r>
          </w:p>
        </w:tc>
        <w:tc>
          <w:tcPr>
            <w:tcW w:w="1112"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13" w:type="dxa"/>
            <w:tcBorders/>
            <w:vAlign w:val="center"/>
          </w:tcPr>
          <w:p>
            <w:pPr>
              <w:pStyle w:val="TableContents"/>
              <w:bidi w:val="0"/>
              <w:spacing w:before="0" w:after="0"/>
              <w:ind w:left="0" w:right="0" w:hanging="0"/>
              <w:jc w:val="left"/>
              <w:rPr/>
            </w:pPr>
            <w:r>
              <w:rPr/>
              <w:t>​</w:t>
            </w:r>
          </w:p>
        </w:tc>
        <w:tc>
          <w:tcPr>
            <w:tcW w:w="1112"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1112"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Its:</w:t>
            </w:r>
          </w:p>
        </w:tc>
        <w:tc>
          <w:tcPr>
            <w:tcW w:w="1112"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219" w:type="dxa"/>
        <w:jc w:val="center"/>
        <w:tblInd w:w="0" w:type="dxa"/>
        <w:tblLayout w:type="fixed"/>
        <w:tblCellMar>
          <w:top w:w="0" w:type="dxa"/>
          <w:left w:w="0" w:type="dxa"/>
          <w:bottom w:w="0" w:type="dxa"/>
          <w:right w:w="0" w:type="dxa"/>
        </w:tblCellMar>
      </w:tblPr>
      <w:tblGrid>
        <w:gridCol w:w="961"/>
        <w:gridCol w:w="3104"/>
        <w:gridCol w:w="154"/>
      </w:tblGrid>
      <w:tr>
        <w:trPr/>
        <w:tc>
          <w:tcPr>
            <w:tcW w:w="406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foregoing Agreement is hereby</w:t>
            </w:r>
          </w:p>
        </w:tc>
        <w:tc>
          <w:tcPr>
            <w:tcW w:w="154" w:type="dxa"/>
            <w:tcBorders/>
            <w:vAlign w:val="center"/>
          </w:tcPr>
          <w:p>
            <w:pPr>
              <w:pStyle w:val="TableContents"/>
              <w:bidi w:val="0"/>
              <w:spacing w:before="0" w:after="0"/>
              <w:ind w:left="0" w:right="0" w:hanging="0"/>
              <w:jc w:val="left"/>
              <w:rPr/>
            </w:pPr>
            <w:r>
              <w:rPr/>
              <w:t>​</w:t>
            </w:r>
          </w:p>
        </w:tc>
      </w:tr>
      <w:tr>
        <w:trPr/>
        <w:tc>
          <w:tcPr>
            <w:tcW w:w="406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accepted as of the date first above written.</w:t>
            </w:r>
          </w:p>
        </w:tc>
        <w:tc>
          <w:tcPr>
            <w:tcW w:w="154" w:type="dxa"/>
            <w:tcBorders/>
            <w:vAlign w:val="center"/>
          </w:tcPr>
          <w:p>
            <w:pPr>
              <w:pStyle w:val="TableContents"/>
              <w:bidi w:val="0"/>
              <w:spacing w:before="0" w:after="0"/>
              <w:ind w:left="0" w:right="0" w:hanging="0"/>
              <w:jc w:val="left"/>
              <w:rPr/>
            </w:pPr>
            <w:r>
              <w:rPr/>
              <w:t>​</w:t>
            </w:r>
          </w:p>
        </w:tc>
      </w:tr>
      <w:tr>
        <w:trPr/>
        <w:tc>
          <w:tcPr>
            <w:tcW w:w="406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06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PGIM, INC.</w:t>
            </w:r>
          </w:p>
        </w:tc>
        <w:tc>
          <w:tcPr>
            <w:tcW w:w="154" w:type="dxa"/>
            <w:tcBorders/>
            <w:vAlign w:val="center"/>
          </w:tcPr>
          <w:p>
            <w:pPr>
              <w:pStyle w:val="TableContents"/>
              <w:bidi w:val="0"/>
              <w:spacing w:before="0" w:after="0"/>
              <w:ind w:left="0" w:right="0" w:hanging="0"/>
              <w:jc w:val="left"/>
              <w:rPr/>
            </w:pPr>
            <w:r>
              <w:rPr/>
              <w:t>​</w:t>
            </w:r>
          </w:p>
        </w:tc>
      </w:tr>
      <w:tr>
        <w:trPr/>
        <w:tc>
          <w:tcPr>
            <w:tcW w:w="406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104"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pPr>
            <w:r>
              <w:rPr/>
              <w:t>​</w:t>
            </w:r>
          </w:p>
        </w:tc>
        <w:tc>
          <w:tcPr>
            <w:tcW w:w="3104"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431" w:type="dxa"/>
        <w:jc w:val="center"/>
        <w:tblInd w:w="0" w:type="dxa"/>
        <w:tblLayout w:type="fixed"/>
        <w:tblCellMar>
          <w:top w:w="0" w:type="dxa"/>
          <w:left w:w="0" w:type="dxa"/>
          <w:bottom w:w="0" w:type="dxa"/>
          <w:right w:w="0" w:type="dxa"/>
        </w:tblCellMar>
      </w:tblPr>
      <w:tblGrid>
        <w:gridCol w:w="451"/>
        <w:gridCol w:w="3826"/>
        <w:gridCol w:w="154"/>
      </w:tblGrid>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THE PRUDENTIAL INSURANCE</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COMPANY OF AMERICA</w:t>
            </w:r>
            <w:r>
              <w:rPr>
                <w:rFonts w:ascii="Times New Roman;Times;serif" w:hAnsi="Times New Roman;Times;serif"/>
                <w:sz w:val="22"/>
              </w:rPr>
              <w:t>, as a holder of</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Series B Notes, Series C-1 Notes, Series C-2</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Notes, Series C-3 Notes and Series D Notes</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vAlign w:val="center"/>
          </w:tcPr>
          <w:p>
            <w:pPr>
              <w:pStyle w:val="TableContents"/>
              <w:bidi w:val="0"/>
              <w:spacing w:before="0" w:after="0"/>
              <w:ind w:left="0" w:right="0" w:hanging="0"/>
              <w:jc w:val="left"/>
              <w:rPr/>
            </w:pPr>
            <w:r>
              <w:rPr/>
              <w:t>​</w:t>
            </w:r>
          </w:p>
        </w:tc>
        <w:tc>
          <w:tcPr>
            <w:tcW w:w="382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PRUCO LIFE INSURANCE</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COMPANY</w:t>
            </w:r>
            <w:r>
              <w:rPr>
                <w:rFonts w:ascii="Times New Roman;Times;serif" w:hAnsi="Times New Roman;Times;serif"/>
                <w:sz w:val="22"/>
              </w:rPr>
              <w:t>, as a holder of Series B Notes,</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Series C-2 Notes, Series C-3 Notes and</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Series D Notes</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vAlign w:val="center"/>
          </w:tcPr>
          <w:p>
            <w:pPr>
              <w:pStyle w:val="TableContents"/>
              <w:bidi w:val="0"/>
              <w:spacing w:before="0" w:after="0"/>
              <w:ind w:left="0" w:right="0" w:hanging="0"/>
              <w:jc w:val="left"/>
              <w:rPr/>
            </w:pPr>
            <w:r>
              <w:rPr/>
              <w:t>​</w:t>
            </w:r>
          </w:p>
        </w:tc>
        <w:tc>
          <w:tcPr>
            <w:tcW w:w="382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Assistant Vice President</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THE PRUDENTIAL LIFE INSURANCE</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COMPANY, LTD.</w:t>
            </w:r>
            <w:r>
              <w:rPr>
                <w:rFonts w:ascii="Times New Roman;Times;serif" w:hAnsi="Times New Roman;Times;serif"/>
                <w:sz w:val="22"/>
              </w:rPr>
              <w:t>, as a holder of</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Series C-1 Notes</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8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Prudential Investment Management</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(Japan), Inc., as Investment Manager</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Inc., as Sub-Adviser</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vAlign w:val="center"/>
          </w:tcPr>
          <w:p>
            <w:pPr>
              <w:pStyle w:val="TableContents"/>
              <w:bidi w:val="0"/>
              <w:spacing w:before="0" w:after="0"/>
              <w:ind w:left="0" w:right="0" w:hanging="0"/>
              <w:jc w:val="left"/>
              <w:rPr/>
            </w:pPr>
            <w:r>
              <w:rPr/>
              <w:t>​</w:t>
            </w:r>
          </w:p>
        </w:tc>
        <w:tc>
          <w:tcPr>
            <w:tcW w:w="382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GIBRALTAR LIFE INSURANCE CO.,</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LTD.</w:t>
            </w:r>
            <w:r>
              <w:rPr>
                <w:rFonts w:ascii="Times New Roman;Times;serif" w:hAnsi="Times New Roman;Times;serif"/>
                <w:sz w:val="22"/>
              </w:rPr>
              <w:t>, as a holder of Series C-1 Notes and</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Series C-3 Notes</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8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Prudential Investment Management</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Japan Co., Ltd., as Investment Manager</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Inc., as Sub-Adviser</w:t>
            </w:r>
          </w:p>
        </w:tc>
        <w:tc>
          <w:tcPr>
            <w:tcW w:w="154" w:type="dxa"/>
            <w:tcBorders/>
            <w:vAlign w:val="center"/>
          </w:tcPr>
          <w:p>
            <w:pPr>
              <w:pStyle w:val="TableContents"/>
              <w:bidi w:val="0"/>
              <w:spacing w:before="0" w:after="0"/>
              <w:ind w:left="0" w:right="0" w:hanging="0"/>
              <w:jc w:val="left"/>
              <w:rPr/>
            </w:pPr>
            <w:r>
              <w:rPr/>
              <w:t>​</w:t>
            </w:r>
          </w:p>
        </w:tc>
      </w:tr>
      <w:tr>
        <w:trPr/>
        <w:tc>
          <w:tcPr>
            <w:tcW w:w="427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1" w:type="dxa"/>
            <w:tcBorders/>
            <w:vAlign w:val="center"/>
          </w:tcPr>
          <w:p>
            <w:pPr>
              <w:pStyle w:val="TableContents"/>
              <w:bidi w:val="0"/>
              <w:spacing w:before="0" w:after="0"/>
              <w:ind w:left="0" w:right="0" w:hanging="0"/>
              <w:jc w:val="left"/>
              <w:rPr/>
            </w:pPr>
            <w:r>
              <w:rPr/>
              <w:t>​</w:t>
            </w:r>
          </w:p>
        </w:tc>
        <w:tc>
          <w:tcPr>
            <w:tcW w:w="382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962" w:type="dxa"/>
        <w:jc w:val="center"/>
        <w:tblInd w:w="0" w:type="dxa"/>
        <w:tblLayout w:type="fixed"/>
        <w:tblCellMar>
          <w:top w:w="0" w:type="dxa"/>
          <w:left w:w="0" w:type="dxa"/>
          <w:bottom w:w="0" w:type="dxa"/>
          <w:right w:w="0" w:type="dxa"/>
        </w:tblCellMar>
      </w:tblPr>
      <w:tblGrid>
        <w:gridCol w:w="1084"/>
        <w:gridCol w:w="3506"/>
        <w:gridCol w:w="109"/>
        <w:gridCol w:w="109"/>
        <w:gridCol w:w="154"/>
      </w:tblGrid>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PRUDENTIAL ANNUITIES LIFE</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ASSURANCE CORPORATION</w:t>
            </w:r>
            <w:r>
              <w:rPr>
                <w:rFonts w:ascii="Times New Roman;Times;serif" w:hAnsi="Times New Roman;Times;serif"/>
                <w:sz w:val="22"/>
              </w:rPr>
              <w:t>, as a</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holder of Series C-2 Notes</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Inc., as investment manager</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50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0"/>
              <w:ind w:left="0" w:right="0" w:hanging="0"/>
              <w:jc w:val="left"/>
              <w:rPr/>
            </w:pPr>
            <w:r>
              <w:rPr/>
              <w:t>​</w:t>
            </w:r>
          </w:p>
        </w:tc>
        <w:tc>
          <w:tcPr>
            <w:tcW w:w="350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PRUDENTIAL ARIZONA</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REINSURANCE UNIVERSAL</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COMPANY</w:t>
            </w:r>
            <w:r>
              <w:rPr>
                <w:rFonts w:ascii="Times New Roman;Times;serif" w:hAnsi="Times New Roman;Times;serif"/>
                <w:sz w:val="22"/>
              </w:rPr>
              <w:t>, as a holder of Series C-2</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Notes</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Inc., as investment manager</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50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0"/>
              <w:ind w:left="0" w:right="0" w:hanging="0"/>
              <w:jc w:val="left"/>
              <w:rPr/>
            </w:pPr>
            <w:r>
              <w:rPr/>
              <w:t>​</w:t>
            </w:r>
          </w:p>
        </w:tc>
        <w:tc>
          <w:tcPr>
            <w:tcW w:w="350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THE LINCOLN NATIONAL LIFE</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INSURANCE COMPANY,</w:t>
            </w:r>
            <w:r>
              <w:rPr>
                <w:rFonts w:ascii="Times New Roman;Times;serif" w:hAnsi="Times New Roman;Times;serif"/>
                <w:sz w:val="20"/>
              </w:rPr>
              <w:t xml:space="preserve"> </w:t>
            </w:r>
            <w:r>
              <w:rPr>
                <w:rFonts w:ascii="Times New Roman;Times;serif" w:hAnsi="Times New Roman;Times;serif"/>
                <w:sz w:val="22"/>
              </w:rPr>
              <w:t>as a holder of</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Series D Notes</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Prudential Private Placement Investors, L.P.</w:t>
              <w:br/>
              <w:t>(as Investment Advisor)</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vMerge w:val="restart"/>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Prudential Private Placement Investors, Inc.</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its General Partner)</w:t>
            </w:r>
          </w:p>
        </w:tc>
        <w:tc>
          <w:tcPr>
            <w:tcW w:w="109"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590" w:type="dxa"/>
            <w:gridSpan w:val="2"/>
            <w:vMerge w:val="continue"/>
            <w:tcBorders/>
            <w:vAlign w:val="center"/>
          </w:tcPr>
          <w:p>
            <w:pPr>
              <w:pStyle w:val="Normal"/>
              <w:bidi w:val="0"/>
              <w:jc w:val="left"/>
              <w:rPr/>
            </w:pPr>
            <w:r>
              <w:rPr/>
            </w:r>
          </w:p>
        </w:tc>
        <w:tc>
          <w:tcPr>
            <w:tcW w:w="218"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90"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50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0"/>
              <w:ind w:left="0" w:right="0" w:hanging="0"/>
              <w:jc w:val="left"/>
              <w:rPr/>
            </w:pPr>
            <w:r>
              <w:rPr/>
              <w:t>​</w:t>
            </w:r>
          </w:p>
        </w:tc>
        <w:tc>
          <w:tcPr>
            <w:tcW w:w="350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109" w:type="dxa"/>
            <w:tcBorders/>
            <w:vAlign w:val="center"/>
          </w:tcPr>
          <w:p>
            <w:pPr>
              <w:pStyle w:val="TableContents"/>
              <w:bidi w:val="0"/>
              <w:spacing w:before="0" w:after="0"/>
              <w:ind w:left="0" w:right="0" w:hanging="0"/>
              <w:jc w:val="left"/>
              <w:rPr/>
            </w:pPr>
            <w: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969" w:type="dxa"/>
        <w:jc w:val="center"/>
        <w:tblInd w:w="0" w:type="dxa"/>
        <w:tblLayout w:type="fixed"/>
        <w:tblCellMar>
          <w:top w:w="0" w:type="dxa"/>
          <w:left w:w="0" w:type="dxa"/>
          <w:bottom w:w="0" w:type="dxa"/>
          <w:right w:w="0" w:type="dxa"/>
        </w:tblCellMar>
      </w:tblPr>
      <w:tblGrid>
        <w:gridCol w:w="495"/>
        <w:gridCol w:w="4320"/>
        <w:gridCol w:w="154"/>
      </w:tblGrid>
      <w:tr>
        <w:trPr/>
        <w:tc>
          <w:tcPr>
            <w:tcW w:w="481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 xml:space="preserve">PRUDENTIAL LEGACY INSURANCE </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COMPANY OF NEW JERSEY</w:t>
            </w:r>
            <w:r>
              <w:rPr>
                <w:rFonts w:ascii="Times New Roman;Times;serif" w:hAnsi="Times New Roman;Times;serif"/>
                <w:sz w:val="22"/>
              </w:rPr>
              <w:t>, as a</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holder of Series D Notes </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Inc., as investment manager</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9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320"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95" w:type="dxa"/>
            <w:tcBorders/>
            <w:vAlign w:val="center"/>
          </w:tcPr>
          <w:p>
            <w:pPr>
              <w:pStyle w:val="TableContents"/>
              <w:bidi w:val="0"/>
              <w:spacing w:before="0" w:after="0"/>
              <w:ind w:left="0" w:right="0" w:hanging="0"/>
              <w:jc w:val="left"/>
              <w:rPr/>
            </w:pPr>
            <w:r>
              <w:rPr/>
              <w:t>​</w:t>
            </w:r>
          </w:p>
        </w:tc>
        <w:tc>
          <w:tcPr>
            <w:tcW w:w="4320"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PRUDENTIAL ARIZONA</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REINSURANCE TERM COMPANY</w:t>
            </w:r>
            <w:r>
              <w:rPr>
                <w:rFonts w:ascii="Times New Roman;Times;serif" w:hAnsi="Times New Roman;Times;serif"/>
                <w:sz w:val="22"/>
              </w:rPr>
              <w:t>, as</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 holder of Series D Notes</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PGIM, Inc., as investment manager</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9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320"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95" w:type="dxa"/>
            <w:tcBorders/>
            <w:vAlign w:val="center"/>
          </w:tcPr>
          <w:p>
            <w:pPr>
              <w:pStyle w:val="TableContents"/>
              <w:bidi w:val="0"/>
              <w:spacing w:before="0" w:after="0"/>
              <w:ind w:left="0" w:right="0" w:hanging="0"/>
              <w:jc w:val="left"/>
              <w:rPr/>
            </w:pPr>
            <w:r>
              <w:rPr/>
              <w:t>​</w:t>
            </w:r>
          </w:p>
        </w:tc>
        <w:tc>
          <w:tcPr>
            <w:tcW w:w="4320"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PENSIONSKASSE DES BUNDES</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PUBLICA,</w:t>
            </w:r>
            <w:r>
              <w:rPr>
                <w:rFonts w:ascii="Times New Roman;Times;serif" w:hAnsi="Times New Roman;Times;serif"/>
                <w:sz w:val="20"/>
              </w:rPr>
              <w:t xml:space="preserve"> </w:t>
            </w:r>
            <w:r>
              <w:rPr>
                <w:rFonts w:ascii="Times New Roman;Times;serif" w:hAnsi="Times New Roman;Times;serif"/>
                <w:sz w:val="22"/>
              </w:rPr>
              <w:t>as a holder of Series D Notes</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9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32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PGIM LIMITED, as Investment Manager</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Pricoa Capital Group Limited, as Sub-Advisor</w:t>
            </w:r>
          </w:p>
        </w:tc>
        <w:tc>
          <w:tcPr>
            <w:tcW w:w="154" w:type="dxa"/>
            <w:tcBorders/>
            <w:vAlign w:val="center"/>
          </w:tcPr>
          <w:p>
            <w:pPr>
              <w:pStyle w:val="TableContents"/>
              <w:bidi w:val="0"/>
              <w:spacing w:before="0" w:after="0"/>
              <w:ind w:left="0" w:right="0" w:hanging="0"/>
              <w:jc w:val="left"/>
              <w:rPr/>
            </w:pPr>
            <w:r>
              <w:rPr/>
              <w:t>​</w:t>
            </w:r>
          </w:p>
        </w:tc>
      </w:tr>
      <w:tr>
        <w:trPr/>
        <w:tc>
          <w:tcPr>
            <w:tcW w:w="481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9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320"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95" w:type="dxa"/>
            <w:tcBorders/>
            <w:vAlign w:val="center"/>
          </w:tcPr>
          <w:p>
            <w:pPr>
              <w:pStyle w:val="TableContents"/>
              <w:bidi w:val="0"/>
              <w:spacing w:before="0" w:after="0"/>
              <w:ind w:left="0" w:right="0" w:hanging="0"/>
              <w:jc w:val="left"/>
              <w:rPr/>
            </w:pPr>
            <w:r>
              <w:rPr/>
              <w:t>​</w:t>
            </w:r>
          </w:p>
        </w:tc>
        <w:tc>
          <w:tcPr>
            <w:tcW w:w="4320"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744" w:type="dxa"/>
        <w:jc w:val="center"/>
        <w:tblInd w:w="0" w:type="dxa"/>
        <w:tblLayout w:type="fixed"/>
        <w:tblCellMar>
          <w:top w:w="0" w:type="dxa"/>
          <w:left w:w="0" w:type="dxa"/>
          <w:bottom w:w="0" w:type="dxa"/>
          <w:right w:w="0" w:type="dxa"/>
        </w:tblCellMar>
      </w:tblPr>
      <w:tblGrid>
        <w:gridCol w:w="1085"/>
        <w:gridCol w:w="3505"/>
        <w:gridCol w:w="154"/>
      </w:tblGrid>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ZURICH AMERICAN LIFE</w:t>
            </w:r>
          </w:p>
        </w:tc>
        <w:tc>
          <w:tcPr>
            <w:tcW w:w="154" w:type="dxa"/>
            <w:tcBorders/>
            <w:vAlign w:val="center"/>
          </w:tcPr>
          <w:p>
            <w:pPr>
              <w:pStyle w:val="TableContents"/>
              <w:bidi w:val="0"/>
              <w:spacing w:before="0" w:after="0"/>
              <w:ind w:left="0" w:right="0" w:hanging="0"/>
              <w:jc w:val="left"/>
              <w:rPr/>
            </w:pPr>
            <w:r>
              <w:rPr/>
              <w:t>​</w:t>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INSURANCE COMPANY</w:t>
            </w:r>
            <w:r>
              <w:rPr>
                <w:rFonts w:ascii="Times New Roman;Times;serif" w:hAnsi="Times New Roman;Times;serif"/>
                <w:sz w:val="22"/>
              </w:rPr>
              <w:t>, as a holder of</w:t>
            </w:r>
          </w:p>
        </w:tc>
        <w:tc>
          <w:tcPr>
            <w:tcW w:w="154" w:type="dxa"/>
            <w:tcBorders/>
            <w:vAlign w:val="center"/>
          </w:tcPr>
          <w:p>
            <w:pPr>
              <w:pStyle w:val="TableContents"/>
              <w:bidi w:val="0"/>
              <w:spacing w:before="0" w:after="0"/>
              <w:ind w:left="0" w:right="0" w:hanging="0"/>
              <w:jc w:val="left"/>
              <w:rPr/>
            </w:pPr>
            <w:r>
              <w:rPr/>
              <w:t>​</w:t>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Series D Notes</w:t>
            </w:r>
          </w:p>
        </w:tc>
        <w:tc>
          <w:tcPr>
            <w:tcW w:w="154" w:type="dxa"/>
            <w:tcBorders/>
            <w:vAlign w:val="center"/>
          </w:tcPr>
          <w:p>
            <w:pPr>
              <w:pStyle w:val="TableContents"/>
              <w:bidi w:val="0"/>
              <w:spacing w:before="0" w:after="0"/>
              <w:ind w:left="0" w:right="0" w:hanging="0"/>
              <w:jc w:val="left"/>
              <w:rPr/>
            </w:pPr>
            <w:r>
              <w:rPr/>
              <w:t>​</w:t>
            </w:r>
          </w:p>
        </w:tc>
      </w:tr>
      <w:tr>
        <w:trPr/>
        <w:tc>
          <w:tcPr>
            <w:tcW w:w="459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Prudential Private Placement Investors, L.P.</w:t>
              <w:br/>
              <w:t>(as Investment Advisor)</w:t>
            </w:r>
          </w:p>
        </w:tc>
        <w:tc>
          <w:tcPr>
            <w:tcW w:w="154" w:type="dxa"/>
            <w:tcBorders/>
            <w:vAlign w:val="center"/>
          </w:tcPr>
          <w:p>
            <w:pPr>
              <w:pStyle w:val="TableContents"/>
              <w:bidi w:val="0"/>
              <w:spacing w:before="0" w:after="0"/>
              <w:ind w:left="0" w:right="0" w:hanging="0"/>
              <w:jc w:val="left"/>
              <w:rPr/>
            </w:pPr>
            <w:r>
              <w:rPr/>
              <w:t>​</w:t>
            </w:r>
          </w:p>
        </w:tc>
      </w:tr>
      <w:tr>
        <w:trPr/>
        <w:tc>
          <w:tcPr>
            <w:tcW w:w="459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9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Prudential Private Placement Investors, Inc.</w:t>
              <w:br/>
              <w:t>(as its General Partner)</w:t>
            </w:r>
          </w:p>
        </w:tc>
        <w:tc>
          <w:tcPr>
            <w:tcW w:w="154" w:type="dxa"/>
            <w:tcBorders/>
            <w:vAlign w:val="center"/>
          </w:tcPr>
          <w:p>
            <w:pPr>
              <w:pStyle w:val="TableContents"/>
              <w:bidi w:val="0"/>
              <w:spacing w:before="0" w:after="0"/>
              <w:ind w:left="0" w:right="0" w:hanging="0"/>
              <w:jc w:val="left"/>
              <w:rPr/>
            </w:pPr>
            <w:r>
              <w:rPr/>
              <w:t>​</w:t>
            </w:r>
          </w:p>
        </w:tc>
      </w:tr>
      <w:tr>
        <w:trPr/>
        <w:tc>
          <w:tcPr>
            <w:tcW w:w="459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8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505"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85" w:type="dxa"/>
            <w:tcBorders/>
            <w:vAlign w:val="center"/>
          </w:tcPr>
          <w:p>
            <w:pPr>
              <w:pStyle w:val="TableContents"/>
              <w:bidi w:val="0"/>
              <w:spacing w:before="0" w:after="0"/>
              <w:ind w:left="0" w:right="0" w:hanging="0"/>
              <w:jc w:val="left"/>
              <w:rPr/>
            </w:pPr>
            <w:r>
              <w:rPr/>
              <w:t>​</w:t>
            </w:r>
          </w:p>
        </w:tc>
        <w:tc>
          <w:tcPr>
            <w:tcW w:w="3505"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Each of the Guarantors hereby (a) consents to the amendments and other modifications effected in this Third Amended and Restated Note Purchase and Private Shelf Agreement and the other transactions contemplated hereby, (b) reaffirms its obligations under the Multiparty Guaranty (and any Joinder Agreement executed in connection therewith) and its waivers, as set forth in the Multiparty Guaranty, of each and every one of the possible defenses to such obligations, and (c) reaffirms that its obligations under the Multiparty Guaranty are separate and distinct from the respective obligations of the Company under the Third Amended and Restated Note Purchase and Private Shelf Agreement and the Notes (as defined therein).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MATSON NAVIGATION COMPANY, INC.</w:t>
      </w:r>
      <w:r>
        <w:rPr>
          <w:rFonts w:ascii="Times New Roman;Times;serif" w:hAnsi="Times New Roman;Times;serif"/>
          <w:sz w:val="22"/>
        </w:rPr>
        <w:t>, a Hawaii corporation</w:t>
      </w:r>
    </w:p>
    <w:p>
      <w:pPr>
        <w:pStyle w:val="TextBody"/>
        <w:bidi w:val="0"/>
        <w:spacing w:before="0" w:after="0"/>
        <w:ind w:left="0" w:right="0" w:hanging="0"/>
        <w:jc w:val="both"/>
        <w:rPr/>
      </w:pPr>
      <w:r>
        <w:rPr/>
        <w:t>​</w:t>
      </w:r>
    </w:p>
    <w:tbl>
      <w:tblPr>
        <w:tblW w:w="864" w:type="dxa"/>
        <w:jc w:val="center"/>
        <w:tblInd w:w="0" w:type="dxa"/>
        <w:tblLayout w:type="fixed"/>
        <w:tblCellMar>
          <w:top w:w="0" w:type="dxa"/>
          <w:left w:w="0" w:type="dxa"/>
          <w:bottom w:w="0" w:type="dxa"/>
          <w:right w:w="0" w:type="dxa"/>
        </w:tblCellMar>
      </w:tblPr>
      <w:tblGrid>
        <w:gridCol w:w="601"/>
        <w:gridCol w:w="109"/>
        <w:gridCol w:w="154"/>
      </w:tblGrid>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109" w:type="dxa"/>
            <w:tcBorders>
              <w:bottom w:val="single" w:sz="8" w:space="0" w:color="000000"/>
            </w:tcBorders>
            <w:tcMar>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MATSON LOGISTICS, INC</w:t>
      </w:r>
      <w:r>
        <w:rPr>
          <w:rFonts w:ascii="Times New Roman;Times;serif" w:hAnsi="Times New Roman;Times;serif"/>
          <w:sz w:val="22"/>
        </w:rPr>
        <w:t>., a Hawaii corporation</w:t>
      </w:r>
    </w:p>
    <w:p>
      <w:pPr>
        <w:pStyle w:val="TextBody"/>
        <w:bidi w:val="0"/>
        <w:spacing w:before="0" w:after="0"/>
        <w:ind w:left="0" w:right="0" w:hanging="0"/>
        <w:jc w:val="both"/>
        <w:rPr/>
      </w:pPr>
      <w:r>
        <w:rPr/>
        <w:t>​</w:t>
      </w:r>
    </w:p>
    <w:tbl>
      <w:tblPr>
        <w:tblW w:w="864" w:type="dxa"/>
        <w:jc w:val="center"/>
        <w:tblInd w:w="0" w:type="dxa"/>
        <w:tblLayout w:type="fixed"/>
        <w:tblCellMar>
          <w:top w:w="0" w:type="dxa"/>
          <w:left w:w="0" w:type="dxa"/>
          <w:bottom w:w="0" w:type="dxa"/>
          <w:right w:w="0" w:type="dxa"/>
        </w:tblCellMar>
      </w:tblPr>
      <w:tblGrid>
        <w:gridCol w:w="601"/>
        <w:gridCol w:w="109"/>
        <w:gridCol w:w="154"/>
      </w:tblGrid>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109" w:type="dxa"/>
            <w:tcBorders>
              <w:bottom w:val="single" w:sz="8" w:space="0" w:color="000000"/>
            </w:tcBorders>
            <w:tcMar>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MATSON VENTURES, INC.</w:t>
      </w:r>
      <w:r>
        <w:rPr>
          <w:rFonts w:ascii="Times New Roman;Times;serif" w:hAnsi="Times New Roman;Times;serif"/>
          <w:sz w:val="22"/>
        </w:rPr>
        <w:t>, a Hawaii corporation</w:t>
      </w:r>
    </w:p>
    <w:p>
      <w:pPr>
        <w:pStyle w:val="TextBody"/>
        <w:bidi w:val="0"/>
        <w:spacing w:before="0" w:after="0"/>
        <w:ind w:left="0" w:right="0" w:hanging="0"/>
        <w:jc w:val="both"/>
        <w:rPr/>
      </w:pPr>
      <w:r>
        <w:rPr/>
        <w:t>​</w:t>
      </w:r>
    </w:p>
    <w:tbl>
      <w:tblPr>
        <w:tblW w:w="864" w:type="dxa"/>
        <w:jc w:val="center"/>
        <w:tblInd w:w="0" w:type="dxa"/>
        <w:tblLayout w:type="fixed"/>
        <w:tblCellMar>
          <w:top w:w="0" w:type="dxa"/>
          <w:left w:w="0" w:type="dxa"/>
          <w:bottom w:w="0" w:type="dxa"/>
          <w:right w:w="0" w:type="dxa"/>
        </w:tblCellMar>
      </w:tblPr>
      <w:tblGrid>
        <w:gridCol w:w="601"/>
        <w:gridCol w:w="109"/>
        <w:gridCol w:w="154"/>
      </w:tblGrid>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109" w:type="dxa"/>
            <w:tcBorders>
              <w:bottom w:val="single" w:sz="8" w:space="0" w:color="000000"/>
            </w:tcBorders>
            <w:tcMar>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MATSON ALASKA, INC.</w:t>
      </w:r>
      <w:r>
        <w:rPr>
          <w:rFonts w:ascii="Times New Roman;Times;serif" w:hAnsi="Times New Roman;Times;serif"/>
          <w:sz w:val="22"/>
        </w:rPr>
        <w:t>, a Delaware corporation</w:t>
      </w:r>
    </w:p>
    <w:p>
      <w:pPr>
        <w:pStyle w:val="TextBody"/>
        <w:bidi w:val="0"/>
        <w:spacing w:before="0" w:after="0"/>
        <w:ind w:left="0" w:right="0" w:hanging="0"/>
        <w:jc w:val="both"/>
        <w:rPr/>
      </w:pPr>
      <w:r>
        <w:rPr/>
        <w:t>​</w:t>
      </w:r>
    </w:p>
    <w:tbl>
      <w:tblPr>
        <w:tblW w:w="864" w:type="dxa"/>
        <w:jc w:val="center"/>
        <w:tblInd w:w="0" w:type="dxa"/>
        <w:tblLayout w:type="fixed"/>
        <w:tblCellMar>
          <w:top w:w="0" w:type="dxa"/>
          <w:left w:w="0" w:type="dxa"/>
          <w:bottom w:w="0" w:type="dxa"/>
          <w:right w:w="0" w:type="dxa"/>
        </w:tblCellMar>
      </w:tblPr>
      <w:tblGrid>
        <w:gridCol w:w="601"/>
        <w:gridCol w:w="109"/>
        <w:gridCol w:w="154"/>
      </w:tblGrid>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109" w:type="dxa"/>
            <w:tcBorders>
              <w:bottom w:val="single" w:sz="8" w:space="0" w:color="000000"/>
            </w:tcBorders>
            <w:tcMar>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HORIZON LINES HOLDING CORP.</w:t>
      </w:r>
      <w:r>
        <w:rPr>
          <w:rFonts w:ascii="Times New Roman;Times;serif" w:hAnsi="Times New Roman;Times;serif"/>
          <w:sz w:val="22"/>
        </w:rPr>
        <w:t>, a Delaware corporation</w:t>
      </w:r>
    </w:p>
    <w:p>
      <w:pPr>
        <w:pStyle w:val="TextBody"/>
        <w:bidi w:val="0"/>
        <w:spacing w:before="0" w:after="0"/>
        <w:ind w:left="0" w:right="0" w:hanging="0"/>
        <w:jc w:val="both"/>
        <w:rPr/>
      </w:pPr>
      <w:r>
        <w:rPr/>
        <w:t>​</w:t>
      </w:r>
    </w:p>
    <w:tbl>
      <w:tblPr>
        <w:tblW w:w="864" w:type="dxa"/>
        <w:jc w:val="center"/>
        <w:tblInd w:w="0" w:type="dxa"/>
        <w:tblLayout w:type="fixed"/>
        <w:tblCellMar>
          <w:top w:w="0" w:type="dxa"/>
          <w:left w:w="0" w:type="dxa"/>
          <w:bottom w:w="0" w:type="dxa"/>
          <w:right w:w="0" w:type="dxa"/>
        </w:tblCellMar>
      </w:tblPr>
      <w:tblGrid>
        <w:gridCol w:w="601"/>
        <w:gridCol w:w="109"/>
        <w:gridCol w:w="154"/>
      </w:tblGrid>
      <w:tr>
        <w:trPr/>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109" w:type="dxa"/>
            <w:tcBorders>
              <w:bottom w:val="single" w:sz="8" w:space="0" w:color="000000"/>
            </w:tcBorders>
            <w:tcMar>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HORIZON LINES, LLC</w:t>
      </w:r>
      <w:r>
        <w:rPr>
          <w:rFonts w:ascii="Times New Roman;Times;serif" w:hAnsi="Times New Roman;Times;serif"/>
          <w:sz w:val="22"/>
        </w:rPr>
        <w:t>, a Delaware limited liability company</w:t>
      </w:r>
    </w:p>
    <w:p>
      <w:pPr>
        <w:pStyle w:val="TextBody"/>
        <w:bidi w:val="0"/>
        <w:spacing w:before="0" w:after="0"/>
        <w:ind w:left="0" w:right="0" w:hanging="0"/>
        <w:jc w:val="left"/>
        <w:rPr/>
      </w:pPr>
      <w:r>
        <w:rPr/>
        <w:t>​</w:t>
      </w:r>
    </w:p>
    <w:tbl>
      <w:tblPr>
        <w:tblW w:w="864" w:type="dxa"/>
        <w:jc w:val="center"/>
        <w:tblInd w:w="0" w:type="dxa"/>
        <w:tblLayout w:type="fixed"/>
        <w:tblCellMar>
          <w:top w:w="0" w:type="dxa"/>
          <w:left w:w="0" w:type="dxa"/>
          <w:bottom w:w="0" w:type="dxa"/>
          <w:right w:w="0" w:type="dxa"/>
        </w:tblCellMar>
      </w:tblPr>
      <w:tblGrid>
        <w:gridCol w:w="601"/>
        <w:gridCol w:w="109"/>
        <w:gridCol w:w="154"/>
      </w:tblGrid>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109" w:type="dxa"/>
            <w:tcBorders>
              <w:bottom w:val="single" w:sz="8" w:space="0" w:color="000000"/>
            </w:tcBorders>
            <w:tcMar>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MATSON NAVIGATION COMPANY OF ALASKA, LLC</w:t>
      </w:r>
      <w:r>
        <w:rPr>
          <w:rFonts w:ascii="Times New Roman;Times;serif" w:hAnsi="Times New Roman;Times;serif"/>
          <w:sz w:val="22"/>
        </w:rPr>
        <w:t>, a Delaware limited liability company</w:t>
      </w:r>
    </w:p>
    <w:p>
      <w:pPr>
        <w:pStyle w:val="TextBody"/>
        <w:bidi w:val="0"/>
        <w:spacing w:before="0" w:after="0"/>
        <w:ind w:left="0" w:right="0" w:hanging="0"/>
        <w:jc w:val="left"/>
        <w:rPr/>
      </w:pPr>
      <w:r>
        <w:rPr/>
        <w:t>​</w:t>
      </w:r>
    </w:p>
    <w:tbl>
      <w:tblPr>
        <w:tblW w:w="864" w:type="dxa"/>
        <w:jc w:val="center"/>
        <w:tblInd w:w="0" w:type="dxa"/>
        <w:tblLayout w:type="fixed"/>
        <w:tblCellMar>
          <w:top w:w="0" w:type="dxa"/>
          <w:left w:w="0" w:type="dxa"/>
          <w:bottom w:w="0" w:type="dxa"/>
          <w:right w:w="0" w:type="dxa"/>
        </w:tblCellMar>
      </w:tblPr>
      <w:tblGrid>
        <w:gridCol w:w="601"/>
        <w:gridCol w:w="109"/>
        <w:gridCol w:w="154"/>
      </w:tblGrid>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109" w:type="dxa"/>
            <w:tcBorders>
              <w:bottom w:val="single" w:sz="8" w:space="0" w:color="000000"/>
            </w:tcBorders>
            <w:tcMar>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HORIZON LINES ALASKA VESSELS, LLC</w:t>
      </w:r>
      <w:r>
        <w:rPr>
          <w:rFonts w:ascii="Times New Roman;Times;serif" w:hAnsi="Times New Roman;Times;serif"/>
          <w:sz w:val="22"/>
        </w:rPr>
        <w:t>, a Delaware limited liability company</w:t>
      </w:r>
    </w:p>
    <w:p>
      <w:pPr>
        <w:pStyle w:val="TextBody"/>
        <w:bidi w:val="0"/>
        <w:spacing w:before="0" w:after="0"/>
        <w:ind w:left="0" w:right="0" w:hanging="0"/>
        <w:jc w:val="left"/>
        <w:rPr/>
      </w:pPr>
      <w:r>
        <w:rPr/>
        <w:t>​</w:t>
      </w:r>
    </w:p>
    <w:tbl>
      <w:tblPr>
        <w:tblW w:w="864" w:type="dxa"/>
        <w:jc w:val="center"/>
        <w:tblInd w:w="0" w:type="dxa"/>
        <w:tblLayout w:type="fixed"/>
        <w:tblCellMar>
          <w:top w:w="0" w:type="dxa"/>
          <w:left w:w="0" w:type="dxa"/>
          <w:bottom w:w="0" w:type="dxa"/>
          <w:right w:w="0" w:type="dxa"/>
        </w:tblCellMar>
      </w:tblPr>
      <w:tblGrid>
        <w:gridCol w:w="601"/>
        <w:gridCol w:w="109"/>
        <w:gridCol w:w="154"/>
      </w:tblGrid>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109" w:type="dxa"/>
            <w:tcBorders>
              <w:bottom w:val="single" w:sz="8" w:space="0" w:color="000000"/>
            </w:tcBorders>
            <w:tcMar>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HORIZON LINES MERCHANT VESSELS, LLC</w:t>
      </w:r>
      <w:r>
        <w:rPr>
          <w:rFonts w:ascii="Times New Roman;Times;serif" w:hAnsi="Times New Roman;Times;serif"/>
          <w:sz w:val="22"/>
        </w:rPr>
        <w:t>, a Delaware limited liability company</w:t>
      </w:r>
    </w:p>
    <w:p>
      <w:pPr>
        <w:pStyle w:val="TextBody"/>
        <w:bidi w:val="0"/>
        <w:spacing w:before="0" w:after="0"/>
        <w:ind w:left="0" w:right="0" w:hanging="0"/>
        <w:jc w:val="left"/>
        <w:rPr/>
      </w:pPr>
      <w:r>
        <w:rPr/>
        <w:t>​</w:t>
      </w:r>
    </w:p>
    <w:tbl>
      <w:tblPr>
        <w:tblW w:w="864" w:type="dxa"/>
        <w:jc w:val="center"/>
        <w:tblInd w:w="0" w:type="dxa"/>
        <w:tblLayout w:type="fixed"/>
        <w:tblCellMar>
          <w:top w:w="0" w:type="dxa"/>
          <w:left w:w="0" w:type="dxa"/>
          <w:bottom w:w="0" w:type="dxa"/>
          <w:right w:w="0" w:type="dxa"/>
        </w:tblCellMar>
      </w:tblPr>
      <w:tblGrid>
        <w:gridCol w:w="601"/>
        <w:gridCol w:w="109"/>
        <w:gridCol w:w="154"/>
      </w:tblGrid>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109" w:type="dxa"/>
            <w:tcBorders>
              <w:bottom w:val="single" w:sz="8" w:space="0" w:color="000000"/>
            </w:tcBorders>
            <w:tcMar>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480" w:name="matx-20250630xex10d5.htm"/>
      <w:bookmarkStart w:id="1481" w:name="ksmatx20250630xex10d5"/>
      <w:bookmarkEnd w:id="1480"/>
      <w:bookmarkEnd w:id="1481"/>
      <w:r>
        <w:rPr/>
        <w:t>​</w:t>
      </w:r>
      <w:r>
        <w:br w:type="page"/>
      </w:r>
    </w:p>
    <w:p>
      <w:pPr>
        <w:pStyle w:val="TextBody"/>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Exhibit 10.5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The Noteholders signatory hereto</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One MetLife Way</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Whippany, New Jersey 07981</w:t>
      </w:r>
    </w:p>
    <w:p>
      <w:pPr>
        <w:pStyle w:val="TextBody"/>
        <w:bidi w:val="0"/>
        <w:spacing w:before="0" w:after="240"/>
        <w:ind w:left="0" w:right="0" w:hanging="0"/>
        <w:jc w:val="right"/>
        <w:rPr>
          <w:rFonts w:ascii="Times New Roman;Times;serif" w:hAnsi="Times New Roman;Times;serif"/>
          <w:sz w:val="22"/>
        </w:rPr>
      </w:pPr>
      <w:r>
        <w:rPr>
          <w:rFonts w:ascii="Times New Roman;Times;serif" w:hAnsi="Times New Roman;Times;serif"/>
          <w:sz w:val="22"/>
        </w:rPr>
        <w:t>As of July 23, 2025</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MATSON, INC.</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1411 Sand Island Parkway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Honolulu, Hawaii 96819</w:t>
      </w:r>
    </w:p>
    <w:tbl>
      <w:tblPr>
        <w:tblW w:w="6873" w:type="dxa"/>
        <w:jc w:val="left"/>
        <w:tblInd w:w="0" w:type="dxa"/>
        <w:tblLayout w:type="fixed"/>
        <w:tblCellMar>
          <w:top w:w="0" w:type="dxa"/>
          <w:left w:w="0" w:type="dxa"/>
          <w:bottom w:w="0" w:type="dxa"/>
          <w:right w:w="0" w:type="dxa"/>
        </w:tblCellMar>
      </w:tblPr>
      <w:tblGrid>
        <w:gridCol w:w="23"/>
        <w:gridCol w:w="335"/>
        <w:gridCol w:w="6515"/>
      </w:tblGrid>
      <w:tr>
        <w:trPr/>
        <w:tc>
          <w:tcPr>
            <w:tcW w:w="2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Re:</w:t>
            </w:r>
          </w:p>
        </w:tc>
        <w:tc>
          <w:tcPr>
            <w:tcW w:w="6515" w:type="dxa"/>
            <w:tcBorders/>
            <w:vAlign w:val="center"/>
          </w:tcPr>
          <w:p>
            <w:pPr>
              <w:pStyle w:val="TableContents"/>
              <w:bidi w:val="0"/>
              <w:spacing w:before="0" w:after="240"/>
              <w:jc w:val="left"/>
              <w:rPr>
                <w:rFonts w:ascii="Times New Roman;Times;serif" w:hAnsi="Times New Roman;Times;serif"/>
                <w:sz w:val="22"/>
                <w:u w:val="single"/>
              </w:rPr>
            </w:pPr>
            <w:r>
              <w:rPr>
                <w:rFonts w:ascii="Times New Roman;Times;serif" w:hAnsi="Times New Roman;Times;serif"/>
                <w:sz w:val="22"/>
                <w:u w:val="single"/>
              </w:rPr>
              <w:t>Fourth Amendment to December 21, 2016 Note Purchase Agreement</w:t>
            </w:r>
          </w:p>
        </w:tc>
      </w:tr>
    </w:tbl>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Ladies and Gentlemen:</w:t>
      </w:r>
    </w:p>
    <w:p>
      <w:pPr>
        <w:pStyle w:val="TextBody"/>
        <w:bidi w:val="0"/>
        <w:spacing w:before="0" w:after="240"/>
        <w:ind w:left="0" w:right="0" w:firstLine="726"/>
        <w:jc w:val="both"/>
        <w:rPr>
          <w:rFonts w:ascii="Times New Roman;Times;serif" w:hAnsi="Times New Roman;Times;serif"/>
          <w:sz w:val="20"/>
        </w:rPr>
      </w:pPr>
      <w:r>
        <w:rPr>
          <w:rFonts w:ascii="Times New Roman;Times;serif" w:hAnsi="Times New Roman;Times;serif"/>
          <w:sz w:val="22"/>
        </w:rPr>
        <w:t>Reference is made to that certain Note Purchase Agreement, dated as of December 21, 2016 (as amended or otherwise modified from time to time, the “</w:t>
      </w:r>
      <w:r>
        <w:rPr>
          <w:rFonts w:ascii="Times New Roman;Times;serif" w:hAnsi="Times New Roman;Times;serif"/>
          <w:b/>
          <w:sz w:val="22"/>
        </w:rPr>
        <w:t>Agreement</w:t>
      </w:r>
      <w:r>
        <w:rPr>
          <w:rFonts w:ascii="Times New Roman;Times;serif" w:hAnsi="Times New Roman;Times;serif"/>
          <w:sz w:val="20"/>
        </w:rPr>
        <w:t>”</w:t>
      </w:r>
      <w:r>
        <w:rPr>
          <w:rFonts w:ascii="Times New Roman;Times;serif" w:hAnsi="Times New Roman;Times;serif"/>
          <w:sz w:val="22"/>
        </w:rPr>
        <w:t>), by and among Matson, Inc., a Hawaii corporation (the “</w:t>
      </w:r>
      <w:r>
        <w:rPr>
          <w:rFonts w:ascii="Times New Roman;Times;serif" w:hAnsi="Times New Roman;Times;serif"/>
          <w:b/>
          <w:sz w:val="22"/>
        </w:rPr>
        <w:t>Company</w:t>
      </w:r>
      <w:r>
        <w:rPr>
          <w:rFonts w:ascii="Times New Roman;Times;serif" w:hAnsi="Times New Roman;Times;serif"/>
          <w:sz w:val="20"/>
        </w:rPr>
        <w:t>”</w:t>
      </w:r>
      <w:r>
        <w:rPr>
          <w:rFonts w:ascii="Times New Roman;Times;serif" w:hAnsi="Times New Roman;Times;serif"/>
          <w:sz w:val="22"/>
        </w:rPr>
        <w:t>), on the one hand, and the Purchasers named therein, on the other hand. Capitalized terms used and not otherwise defined in this letter agreement shall have the meanings provided in the Agreement (after giving effect to the amendments provided in this letter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rPr>
        <w:t>Pursuant to the provisions of paragraph 11C of the Agreement, and subject to the terms and conditions of this letter agreement, the undersigned holders of Notes (the “</w:t>
      </w:r>
      <w:r>
        <w:rPr>
          <w:rFonts w:ascii="Times New Roman;Times;serif" w:hAnsi="Times New Roman;Times;serif"/>
          <w:b/>
          <w:sz w:val="22"/>
        </w:rPr>
        <w:t>Noteholders</w:t>
      </w:r>
      <w:r>
        <w:rPr>
          <w:rFonts w:ascii="Times New Roman;Times;serif" w:hAnsi="Times New Roman;Times;serif"/>
          <w:sz w:val="20"/>
        </w:rPr>
        <w:t>”</w:t>
      </w:r>
      <w:r>
        <w:rPr>
          <w:rFonts w:ascii="Times New Roman;Times;serif" w:hAnsi="Times New Roman;Times;serif"/>
          <w:sz w:val="22"/>
        </w:rPr>
        <w:t xml:space="preserve">) and the Company agree that the Agreement is hereby amended to delete the stricken text (indicated textually in the same manner as the following example: </w:t>
      </w:r>
      <w:r>
        <w:rPr>
          <w:rFonts w:ascii="Times New Roman;Times;serif" w:hAnsi="Times New Roman;Times;serif"/>
          <w:color w:val="FF0000"/>
          <w:sz w:val="22"/>
        </w:rPr>
        <w:t>stricken text</w:t>
      </w:r>
      <w:r>
        <w:rPr>
          <w:rFonts w:ascii="Times New Roman;Times;serif" w:hAnsi="Times New Roman;Times;serif"/>
          <w:sz w:val="22"/>
        </w:rPr>
        <w:t xml:space="preserve">) and to add the double-underlined text (indicated textually in the same manner as the following example: </w:t>
      </w:r>
      <w:r>
        <w:rPr>
          <w:rFonts w:ascii="Times New Roman;Times;serif" w:hAnsi="Times New Roman;Times;serif"/>
          <w:color w:val="0000FF"/>
          <w:sz w:val="22"/>
          <w:u w:val="single"/>
        </w:rPr>
        <w:t>double-underlined text</w:t>
      </w:r>
      <w:r>
        <w:rPr>
          <w:rFonts w:ascii="Times New Roman;Times;serif" w:hAnsi="Times New Roman;Times;serif"/>
          <w:sz w:val="22"/>
        </w:rPr>
        <w:t xml:space="preserve">) as set forth in the amended Agreement attached as </w:t>
      </w:r>
      <w:r>
        <w:rPr>
          <w:rFonts w:ascii="Times New Roman;Times;serif" w:hAnsi="Times New Roman;Times;serif"/>
          <w:sz w:val="22"/>
          <w:u w:val="single"/>
        </w:rPr>
        <w:t>Exhibit A</w:t>
      </w:r>
      <w:r>
        <w:rPr>
          <w:rFonts w:ascii="Times New Roman;Times;serif" w:hAnsi="Times New Roman;Times;serif"/>
          <w:sz w:val="20"/>
        </w:rPr>
        <w:t xml:space="preserve"> </w:t>
      </w:r>
      <w:r>
        <w:rPr>
          <w:rFonts w:ascii="Times New Roman;Times;serif" w:hAnsi="Times New Roman;Times;serif"/>
          <w:sz w:val="22"/>
        </w:rPr>
        <w:t>hereto (the “</w:t>
      </w:r>
      <w:r>
        <w:rPr>
          <w:rFonts w:ascii="Times New Roman;Times;serif" w:hAnsi="Times New Roman;Times;serif"/>
          <w:b/>
          <w:sz w:val="22"/>
        </w:rPr>
        <w:t>Amended Agreement</w:t>
      </w:r>
      <w:r>
        <w:rPr>
          <w:rFonts w:ascii="Times New Roman;Times;serif" w:hAnsi="Times New Roman;Times;serif"/>
          <w:sz w:val="20"/>
        </w:rPr>
        <w:t>”</w:t>
      </w:r>
      <w:r>
        <w:rPr>
          <w:rFonts w:ascii="Times New Roman;Times;serif" w:hAnsi="Times New Roman;Times;serif"/>
          <w:sz w:val="22"/>
        </w:rPr>
        <w:t xml:space="preserve">), and any term or provision of the Agreement (including the Exhibits or Schedules thereto) which is different from that set forth on </w:t>
      </w:r>
      <w:r>
        <w:rPr>
          <w:rFonts w:ascii="Times New Roman;Times;serif" w:hAnsi="Times New Roman;Times;serif"/>
          <w:sz w:val="22"/>
          <w:u w:val="single"/>
        </w:rPr>
        <w:t>Exhibit A</w:t>
      </w:r>
      <w:r>
        <w:rPr>
          <w:rFonts w:ascii="Times New Roman;Times;serif" w:hAnsi="Times New Roman;Times;serif"/>
          <w:sz w:val="20"/>
        </w:rPr>
        <w:t xml:space="preserve"> </w:t>
      </w:r>
      <w:r>
        <w:rPr>
          <w:rFonts w:ascii="Times New Roman;Times;serif" w:hAnsi="Times New Roman;Times;serif"/>
          <w:sz w:val="22"/>
        </w:rPr>
        <w:t xml:space="preserve">hereto shall be replaced in all respects by the terms and provisions on </w:t>
      </w:r>
      <w:r>
        <w:rPr>
          <w:rFonts w:ascii="Times New Roman;Times;serif" w:hAnsi="Times New Roman;Times;serif"/>
          <w:sz w:val="22"/>
          <w:u w:val="single"/>
        </w:rPr>
        <w:t>Exhibit A</w:t>
      </w:r>
      <w:r>
        <w:rPr>
          <w:rFonts w:ascii="Times New Roman;Times;serif" w:hAnsi="Times New Roman;Times;serif"/>
          <w:sz w:val="20"/>
        </w:rPr>
        <w:t xml:space="preserve"> </w:t>
      </w:r>
      <w:r>
        <w:rPr>
          <w:rFonts w:ascii="Times New Roman;Times;serif" w:hAnsi="Times New Roman;Times;serif"/>
          <w:sz w:val="22"/>
        </w:rPr>
        <w: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Limitation of Modifications</w:t>
      </w:r>
      <w:r>
        <w:rPr>
          <w:rFonts w:ascii="Times New Roman;Times;serif" w:hAnsi="Times New Roman;Times;serif"/>
          <w:sz w:val="22"/>
        </w:rPr>
        <w:t>. The modifications effected in this letter agreement shall be limited precisely as written and shall not be deemed to be (a) an amendment, consent, waiver or other modification of any other terms or conditions of the Agreement or any other document related to the Agreement, or (b) a consent to any future amendment, consent, waiver or other modification. Except as expressly set forth in this letter agreement, each of the Agreement and the documents related to the Agreement shall continue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Representations and Warranties</w:t>
      </w:r>
      <w:r>
        <w:rPr>
          <w:rFonts w:ascii="Times New Roman;Times;serif" w:hAnsi="Times New Roman;Times;serif"/>
          <w:sz w:val="22"/>
        </w:rPr>
        <w:t>. The Company hereby represents and warrants as follows: (i) No Default or Event of Default has occurred and is continuing (both immediately before and immediately after giving effect to the effectiveness of this letter agreement); (ii) the Company’s entering into and performance of the Agreement, as modified by this letter agreement, has been duly authorized by all necessary corporate and other action and do not and will not require any registration with, consent or approval of, or notice to or action by, any Person (including any governmental authority) in order to be effective and enforceable; (iii) the Agreement, as modified by this letter agreement, constitutes the legal, valid and binding obligation of the Company, enforceable against the Company in accordance with its respective terms except as the enforceability thereof may be limited by bankruptcy, insolvency or other similar laws of general application relating to or affecting the enforcement of creditors’ rights or by general principles of equity; (iv) immediately after giving effect to this letter agreement, each of the representations and warranties of the Company set forth in the Agreement (other than the representation and warranty set forth in paragraph 8P of the Agreement) is true, correct and complete in all material respects (other than such representations and warranties as are expressly qualified by materiality (including Material Adverse Effect), which representations and warranties shall be true, correct and complete in all respects) as of the date hereof (except to the extent such representations and warranties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expressly relate to another date, in which case such representations and warranties are true, correct and complete in all material respects (other than such representations and warranties as are expressly qualified by materiality (including Material Adverse Effect), which representations and warranties shall be true, correct and complete in all respects) as of such other date); and (v) to the best knowledge of the Company, no legislation has been enacted or is reasonably likely to be enacted to either repeal or substantially modify Section 27 of the Merchant Marine Act, 1920, as amended to the date of this Agreement, commonly referred to as the Jones Act, in a manner that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w:t>
      </w:r>
      <w:r>
        <w:rPr>
          <w:rFonts w:ascii="Times New Roman;Times;serif" w:hAnsi="Times New Roman;Times;serif"/>
          <w:sz w:val="22"/>
          <w:u w:val="single"/>
        </w:rPr>
        <w:t>Effectiveness</w:t>
      </w:r>
      <w:r>
        <w:rPr>
          <w:rFonts w:ascii="Times New Roman;Times;serif" w:hAnsi="Times New Roman;Times;serif"/>
          <w:sz w:val="22"/>
        </w:rPr>
        <w:t>.This letter agreement shall become effective on the date on which:</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 the Noteholders shall have received a fully executed counterpart of this letter agreement from the Company;</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(ii) the Noteholders shall have received a counterpart signature page to this letter agreement from each of the Guarantors reaffirming their respective obligations under the Multiparty Guaranty;</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(iii) the Noteholders shall have received (a) a certificate of a Responsible Officer of each Credit Party, in form and substance satisfactory to the Required Holders attaching a certified copy of resolutions of the Credit Parties approving and adopting this letter agreement and authorizing the execution and delivery of this letter agreement and (b) such incumbency certificates and such other documents and certifications as the Required Holders may reasonably require to evidence that the Credit Parties are in good standing in their jurisdiction of organization;</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(iv) the Noteholders shall have received a fully executed copy of an amendment to the Bank Credit Agreement and a fully executed copy of an amendment to the Pru Note Agreement, each in form and substance reasonably satisfactory to the Required Holders;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(v) the Noteholders shall have received their ratable share of a modification fee in the aggregate amount equal to 10 basis points multiplied by the aggregate outstanding amount of the Notes as of the date hereof; and</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(vi) the Company shall have paid Vedder Price P.C. its accrued and unpaid legal fees and expenses, to the extent such fees and expenses have been invoiced.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w:t>
      </w:r>
      <w:r>
        <w:rPr>
          <w:rFonts w:ascii="Times New Roman;Times;serif" w:hAnsi="Times New Roman;Times;serif"/>
          <w:sz w:val="22"/>
          <w:u w:val="single"/>
        </w:rPr>
        <w:t>Miscellaneous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This document may be executed in multiple counterparts, which together shall constitute a single document. Delivery of executed counterparts of this letter agreement by telefacsimile or other secure electronic format (pdf) shall be effective as an original.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This letter agreement shall be construed and enforced in accordance with, and the rights of the parties shall be governed by, the laws of the State of New York, excluding choice-of-law principles of the law of such state that would permit the application of the laws of a jurisdiction other than such state.</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[Remainder of the page intentionally left blank]</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480"/>
        <w:ind w:left="0" w:right="0" w:firstLine="720"/>
        <w:jc w:val="both"/>
        <w:rPr>
          <w:rFonts w:ascii="Times New Roman;Times;serif" w:hAnsi="Times New Roman;Times;serif"/>
          <w:sz w:val="22"/>
        </w:rPr>
      </w:pPr>
      <w:r>
        <w:rPr>
          <w:rFonts w:ascii="Times New Roman;Times;serif" w:hAnsi="Times New Roman;Times;serif"/>
          <w:sz w:val="22"/>
        </w:rPr>
        <w:t>If you are in agreement with the foregoing, please sign the counterpart of this letter agreement in the space indicated below and return it to the Noteholders whereupon, subject to the conditions expressed herein, it shall become a binding agreement among each party named as a signatory hereto.</w:t>
      </w:r>
    </w:p>
    <w:tbl>
      <w:tblPr>
        <w:tblW w:w="1205" w:type="dxa"/>
        <w:jc w:val="left"/>
        <w:tblInd w:w="0" w:type="dxa"/>
        <w:tblLayout w:type="fixed"/>
        <w:tblCellMar>
          <w:top w:w="0" w:type="dxa"/>
          <w:left w:w="0" w:type="dxa"/>
          <w:bottom w:w="0" w:type="dxa"/>
          <w:right w:w="0" w:type="dxa"/>
        </w:tblCellMar>
      </w:tblPr>
      <w:tblGrid>
        <w:gridCol w:w="124"/>
        <w:gridCol w:w="1081"/>
      </w:tblGrid>
      <w:tr>
        <w:trPr/>
        <w:tc>
          <w:tcPr>
            <w:tcW w:w="124"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Sincerely,</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544" w:type="dxa"/>
        <w:jc w:val="left"/>
        <w:tblInd w:w="0" w:type="dxa"/>
        <w:tblLayout w:type="fixed"/>
        <w:tblCellMar>
          <w:top w:w="0" w:type="dxa"/>
          <w:left w:w="0" w:type="dxa"/>
          <w:bottom w:w="0" w:type="dxa"/>
          <w:right w:w="0" w:type="dxa"/>
        </w:tblCellMar>
      </w:tblPr>
      <w:tblGrid>
        <w:gridCol w:w="3400"/>
        <w:gridCol w:w="2990"/>
        <w:gridCol w:w="154"/>
      </w:tblGrid>
      <w:tr>
        <w:trPr/>
        <w:tc>
          <w:tcPr>
            <w:tcW w:w="3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59000" cy="175260"/>
                      <wp:effectExtent l="0" t="0" r="0" b="0"/>
                      <wp:wrapNone/>
                      <wp:docPr id="537" name="Frame537"/>
                      <a:graphic xmlns:a="http://schemas.openxmlformats.org/drawingml/2006/main">
                        <a:graphicData uri="http://schemas.microsoft.com/office/word/2010/wordprocessingShape">
                          <wps:wsp>
                            <wps:cNvSpPr txBox="1"/>
                            <wps:spPr>
                              <a:xfrm>
                                <a:off x="0" y="0"/>
                                <a:ext cx="2159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898650" cy="175260"/>
                      <wp:effectExtent l="0" t="0" r="0" b="0"/>
                      <wp:wrapNone/>
                      <wp:docPr id="538" name="Frame538"/>
                      <a:graphic xmlns:a="http://schemas.openxmlformats.org/drawingml/2006/main">
                        <a:graphicData uri="http://schemas.microsoft.com/office/word/2010/wordprocessingShape">
                          <wps:wsp>
                            <wps:cNvSpPr txBox="1"/>
                            <wps:spPr>
                              <a:xfrm>
                                <a:off x="0" y="0"/>
                                <a:ext cx="189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97790" cy="175260"/>
                      <wp:effectExtent l="0" t="0" r="0" b="0"/>
                      <wp:wrapNone/>
                      <wp:docPr id="539" name="Frame53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9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foregoing Agreement is hereby accepted as of the date first</w:t>
              <w:br/>
              <w:t>above written.</w:t>
            </w:r>
          </w:p>
        </w:tc>
        <w:tc>
          <w:tcPr>
            <w:tcW w:w="154" w:type="dxa"/>
            <w:tcBorders/>
            <w:vAlign w:val="center"/>
          </w:tcPr>
          <w:p>
            <w:pPr>
              <w:pStyle w:val="TableContents"/>
              <w:bidi w:val="0"/>
              <w:spacing w:before="0" w:after="0"/>
              <w:ind w:left="0" w:right="0" w:hanging="0"/>
              <w:jc w:val="left"/>
              <w:rPr/>
            </w:pPr>
            <w:r>
              <w:rPr/>
              <w:t>​</w:t>
            </w:r>
          </w:p>
        </w:tc>
      </w:tr>
      <w:tr>
        <w:trPr/>
        <w:tc>
          <w:tcPr>
            <w:tcW w:w="639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9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Metropolitan Life Insurance Company</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MetLife Investment Management, LLC, Its Investment Manager</w:t>
            </w:r>
          </w:p>
        </w:tc>
        <w:tc>
          <w:tcPr>
            <w:tcW w:w="154" w:type="dxa"/>
            <w:tcBorders/>
            <w:vAlign w:val="center"/>
          </w:tcPr>
          <w:p>
            <w:pPr>
              <w:pStyle w:val="TableContents"/>
              <w:bidi w:val="0"/>
              <w:spacing w:before="0" w:after="0"/>
              <w:ind w:left="0" w:right="0" w:hanging="0"/>
              <w:jc w:val="left"/>
              <w:rPr/>
            </w:pPr>
            <w:r>
              <w:rPr/>
              <w:t>​</w:t>
            </w:r>
          </w:p>
        </w:tc>
      </w:tr>
      <w:tr>
        <w:trPr/>
        <w:tc>
          <w:tcPr>
            <w:tcW w:w="639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9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Metropolitan Tower Life Insurance Company</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MetLife Investment Management, LLC, Its Investment Manager</w:t>
            </w:r>
          </w:p>
        </w:tc>
        <w:tc>
          <w:tcPr>
            <w:tcW w:w="154" w:type="dxa"/>
            <w:tcBorders/>
            <w:vAlign w:val="center"/>
          </w:tcPr>
          <w:p>
            <w:pPr>
              <w:pStyle w:val="TableContents"/>
              <w:bidi w:val="0"/>
              <w:spacing w:before="0" w:after="0"/>
              <w:ind w:left="0" w:right="0" w:hanging="0"/>
              <w:jc w:val="left"/>
              <w:rPr/>
            </w:pPr>
            <w:r>
              <w:rPr/>
              <w:t>​</w:t>
            </w:r>
          </w:p>
        </w:tc>
      </w:tr>
      <w:tr>
        <w:trPr/>
        <w:tc>
          <w:tcPr>
            <w:tcW w:w="639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9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MetLife Insurance K.K.</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MetLife Investment Management, LLC, Its Investment Manager</w:t>
            </w:r>
          </w:p>
        </w:tc>
        <w:tc>
          <w:tcPr>
            <w:tcW w:w="154" w:type="dxa"/>
            <w:tcBorders/>
            <w:vAlign w:val="center"/>
          </w:tcPr>
          <w:p>
            <w:pPr>
              <w:pStyle w:val="TableContents"/>
              <w:bidi w:val="0"/>
              <w:spacing w:before="0" w:after="0"/>
              <w:ind w:left="0" w:right="0" w:hanging="0"/>
              <w:jc w:val="left"/>
              <w:rPr/>
            </w:pPr>
            <w:r>
              <w:rPr/>
              <w:t>​</w:t>
            </w:r>
          </w:p>
        </w:tc>
      </w:tr>
      <w:tr>
        <w:trPr/>
        <w:tc>
          <w:tcPr>
            <w:tcW w:w="639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9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Brighthouse Life Insurance Company</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MetLife Investment Management, LLC, Its Investment Manager</w:t>
            </w:r>
          </w:p>
        </w:tc>
        <w:tc>
          <w:tcPr>
            <w:tcW w:w="154" w:type="dxa"/>
            <w:tcBorders/>
            <w:vAlign w:val="center"/>
          </w:tcPr>
          <w:p>
            <w:pPr>
              <w:pStyle w:val="TableContents"/>
              <w:bidi w:val="0"/>
              <w:spacing w:before="0" w:after="0"/>
              <w:ind w:left="0" w:right="0" w:hanging="0"/>
              <w:jc w:val="left"/>
              <w:rPr/>
            </w:pPr>
            <w:r>
              <w:rPr/>
              <w:t>​</w:t>
            </w:r>
          </w:p>
        </w:tc>
      </w:tr>
      <w:tr>
        <w:trPr/>
        <w:tc>
          <w:tcPr>
            <w:tcW w:w="639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9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New England Life Insurance Company</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MetLife Investment Management, LLC, Its Investment Manager</w:t>
            </w:r>
          </w:p>
        </w:tc>
        <w:tc>
          <w:tcPr>
            <w:tcW w:w="154" w:type="dxa"/>
            <w:tcBorders/>
            <w:vAlign w:val="center"/>
          </w:tcPr>
          <w:p>
            <w:pPr>
              <w:pStyle w:val="TableContents"/>
              <w:bidi w:val="0"/>
              <w:spacing w:before="0" w:after="0"/>
              <w:ind w:left="0" w:right="0" w:hanging="0"/>
              <w:jc w:val="left"/>
              <w:rPr/>
            </w:pPr>
            <w:r>
              <w:rPr/>
              <w:t>​</w:t>
            </w:r>
          </w:p>
        </w:tc>
      </w:tr>
      <w:tr>
        <w:trPr/>
        <w:tc>
          <w:tcPr>
            <w:tcW w:w="639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9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Erie Family Life Insurance Company</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MetLife Investment Management, LLC, Its Investment Manager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3006" w:type="dxa"/>
        <w:jc w:val="left"/>
        <w:tblInd w:w="0" w:type="dxa"/>
        <w:tblLayout w:type="fixed"/>
        <w:tblCellMar>
          <w:top w:w="0" w:type="dxa"/>
          <w:left w:w="0" w:type="dxa"/>
          <w:bottom w:w="0" w:type="dxa"/>
          <w:right w:w="0" w:type="dxa"/>
        </w:tblCellMar>
      </w:tblPr>
      <w:tblGrid>
        <w:gridCol w:w="736"/>
        <w:gridCol w:w="2116"/>
        <w:gridCol w:w="154"/>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2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Bill Bujake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21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Bill Bujake</w:t>
            </w:r>
          </w:p>
        </w:tc>
        <w:tc>
          <w:tcPr>
            <w:tcW w:w="154" w:type="dxa"/>
            <w:tcBorders/>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21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Authorized Signatory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Fourth Amendment to Matson/MetLife Note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951" w:type="dxa"/>
        <w:jc w:val="left"/>
        <w:tblInd w:w="0" w:type="dxa"/>
        <w:tblLayout w:type="fixed"/>
        <w:tblCellMar>
          <w:top w:w="0" w:type="dxa"/>
          <w:left w:w="0" w:type="dxa"/>
          <w:bottom w:w="0" w:type="dxa"/>
          <w:right w:w="0" w:type="dxa"/>
        </w:tblCellMar>
      </w:tblPr>
      <w:tblGrid>
        <w:gridCol w:w="511"/>
        <w:gridCol w:w="6286"/>
        <w:gridCol w:w="154"/>
      </w:tblGrid>
      <w:tr>
        <w:trPr/>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324485" cy="175260"/>
                      <wp:effectExtent l="0" t="0" r="0" b="0"/>
                      <wp:wrapNone/>
                      <wp:docPr id="540" name="Frame54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3991610" cy="175260"/>
                      <wp:effectExtent l="0" t="0" r="0" b="0"/>
                      <wp:wrapNone/>
                      <wp:docPr id="541" name="Frame541"/>
                      <a:graphic xmlns:a="http://schemas.openxmlformats.org/drawingml/2006/main">
                        <a:graphicData uri="http://schemas.microsoft.com/office/word/2010/wordprocessingShape">
                          <wps:wsp>
                            <wps:cNvSpPr txBox="1"/>
                            <wps:spPr>
                              <a:xfrm>
                                <a:off x="0" y="0"/>
                                <a:ext cx="399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97790" cy="175260"/>
                      <wp:effectExtent l="0" t="0" r="0" b="0"/>
                      <wp:wrapNone/>
                      <wp:docPr id="542" name="Frame54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97"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PENSIONSKASSE DES BUNDES PUBLICA</w:t>
            </w:r>
          </w:p>
        </w:tc>
        <w:tc>
          <w:tcPr>
            <w:tcW w:w="154" w:type="dxa"/>
            <w:tcBorders/>
            <w:vAlign w:val="center"/>
          </w:tcPr>
          <w:p>
            <w:pPr>
              <w:pStyle w:val="TableContents"/>
              <w:bidi w:val="0"/>
              <w:spacing w:before="0" w:after="0"/>
              <w:ind w:left="0" w:right="0" w:hanging="0"/>
              <w:jc w:val="left"/>
              <w:rPr/>
            </w:pPr>
            <w:r>
              <w:rPr/>
              <w:t>​</w:t>
            </w:r>
          </w:p>
        </w:tc>
      </w:tr>
      <w:tr>
        <w:trPr/>
        <w:tc>
          <w:tcPr>
            <w:tcW w:w="51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62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MetLife Investment Management Limited, as Investment Manager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3006" w:type="dxa"/>
        <w:jc w:val="left"/>
        <w:tblInd w:w="0" w:type="dxa"/>
        <w:tblLayout w:type="fixed"/>
        <w:tblCellMar>
          <w:top w:w="0" w:type="dxa"/>
          <w:left w:w="0" w:type="dxa"/>
          <w:bottom w:w="0" w:type="dxa"/>
          <w:right w:w="0" w:type="dxa"/>
        </w:tblCellMar>
      </w:tblPr>
      <w:tblGrid>
        <w:gridCol w:w="736"/>
        <w:gridCol w:w="2116"/>
        <w:gridCol w:w="154"/>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2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Glen Widdows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21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Glen Widdows</w:t>
            </w:r>
          </w:p>
        </w:tc>
        <w:tc>
          <w:tcPr>
            <w:tcW w:w="154" w:type="dxa"/>
            <w:tcBorders/>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21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Authorized Signatory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Fourth Amendment to Matson/MetLife Note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Accepted and agreed to</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as of the date first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appearing above: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MATSON, INC.</w:t>
      </w:r>
      <w:r>
        <w:rPr>
          <w:rFonts w:ascii="Times New Roman;Times;serif" w:hAnsi="Times New Roman;Times;serif"/>
          <w:sz w:val="22"/>
        </w:rPr>
        <w:t>, a Hawaii corporation</w:t>
      </w:r>
    </w:p>
    <w:p>
      <w:pPr>
        <w:pStyle w:val="TextBody"/>
        <w:bidi w:val="0"/>
        <w:spacing w:before="0" w:after="0"/>
        <w:ind w:left="0" w:right="0" w:hanging="0"/>
        <w:jc w:val="both"/>
        <w:rPr/>
      </w:pPr>
      <w:r>
        <w:rPr/>
        <w:t>​</w:t>
      </w:r>
    </w:p>
    <w:tbl>
      <w:tblPr>
        <w:tblW w:w="5450" w:type="dxa"/>
        <w:jc w:val="left"/>
        <w:tblInd w:w="0" w:type="dxa"/>
        <w:tblLayout w:type="fixed"/>
        <w:tblCellMar>
          <w:top w:w="0" w:type="dxa"/>
          <w:left w:w="0" w:type="dxa"/>
          <w:bottom w:w="28" w:type="dxa"/>
          <w:right w:w="0" w:type="dxa"/>
        </w:tblCellMar>
      </w:tblPr>
      <w:tblGrid>
        <w:gridCol w:w="5296"/>
        <w:gridCol w:w="154"/>
      </w:tblGrid>
      <w:tr>
        <w:trPr/>
        <w:tc>
          <w:tcPr>
            <w:tcW w:w="529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Matthew J. Cox</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529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Matthew J. Cox</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2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Its: Chairman of the Board and Chief Executive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tbl>
      <w:tblPr>
        <w:tblW w:w="5570" w:type="dxa"/>
        <w:jc w:val="left"/>
        <w:tblInd w:w="0" w:type="dxa"/>
        <w:tblLayout w:type="fixed"/>
        <w:tblCellMar>
          <w:top w:w="0" w:type="dxa"/>
          <w:left w:w="0" w:type="dxa"/>
          <w:bottom w:w="28" w:type="dxa"/>
          <w:right w:w="0" w:type="dxa"/>
        </w:tblCellMar>
      </w:tblPr>
      <w:tblGrid>
        <w:gridCol w:w="5416"/>
        <w:gridCol w:w="154"/>
      </w:tblGrid>
      <w:tr>
        <w:trPr/>
        <w:tc>
          <w:tcPr>
            <w:tcW w:w="541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Joel M. Wine</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541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Joel M. Wine</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4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Its: Executive Vice President and Chief Financial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Fourth Amendment to Matson/MetLife Note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Each of the Guarantors hereby (a) consents to the amendments and other modifications effected by this letter agreement and the other transactions contemplated hereby, (b) reaffirms its obligations under the Multiparty Guaranty (and any Joinder Agreement executed in connection therewith) and its waivers, as set forth in the Multiparty Guaranty, of each and every one of the possible defenses to such obligations, and (c) reaffirms that its obligations under the Multiparty Guaranty are separate and distinct from the respective obligations of the Company under the Agreement and the Notes.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MATSON NAVIGATION COMPANY, INC.</w:t>
      </w:r>
      <w:r>
        <w:rPr>
          <w:rFonts w:ascii="Times New Roman;Times;serif" w:hAnsi="Times New Roman;Times;serif"/>
          <w:sz w:val="20"/>
        </w:rPr>
        <w:t xml:space="preserve"> </w:t>
      </w:r>
      <w:r>
        <w:rPr>
          <w:rFonts w:ascii="Times New Roman;Times;serif" w:hAnsi="Times New Roman;Times;serif"/>
          <w:sz w:val="22"/>
        </w:rPr>
        <w:t>a Hawaii corporation</w:t>
      </w:r>
    </w:p>
    <w:p>
      <w:pPr>
        <w:pStyle w:val="TextBody"/>
        <w:bidi w:val="0"/>
        <w:spacing w:before="0" w:after="0"/>
        <w:ind w:left="0" w:right="0" w:hanging="0"/>
        <w:jc w:val="both"/>
        <w:rPr/>
      </w:pPr>
      <w:r>
        <w:rPr/>
        <w:t>​</w:t>
      </w:r>
    </w:p>
    <w:tbl>
      <w:tblPr>
        <w:tblW w:w="5570" w:type="dxa"/>
        <w:jc w:val="left"/>
        <w:tblInd w:w="0" w:type="dxa"/>
        <w:tblLayout w:type="fixed"/>
        <w:tblCellMar>
          <w:top w:w="0" w:type="dxa"/>
          <w:left w:w="0" w:type="dxa"/>
          <w:bottom w:w="28" w:type="dxa"/>
          <w:right w:w="0" w:type="dxa"/>
        </w:tblCellMar>
      </w:tblPr>
      <w:tblGrid>
        <w:gridCol w:w="5416"/>
        <w:gridCol w:w="154"/>
      </w:tblGrid>
      <w:tr>
        <w:trPr/>
        <w:tc>
          <w:tcPr>
            <w:tcW w:w="541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Joel M. Wine</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541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Joel M. Wine</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4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Its: Executive Vice President and Chief Financial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smallCaps/>
        </w:rPr>
      </w:pPr>
      <w:r>
        <w:rPr>
          <w:smallCaps/>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MATSON NAVIGATION COMPANY OF ALASKA, LLC</w:t>
      </w:r>
      <w:r>
        <w:rPr>
          <w:rFonts w:ascii="Times New Roman;Times;serif" w:hAnsi="Times New Roman;Times;serif"/>
          <w:sz w:val="22"/>
        </w:rPr>
        <w:t>, a Delaware limited liability company</w:t>
      </w:r>
    </w:p>
    <w:p>
      <w:pPr>
        <w:pStyle w:val="TextBody"/>
        <w:bidi w:val="0"/>
        <w:spacing w:before="0" w:after="0"/>
        <w:ind w:left="0" w:right="0" w:hanging="0"/>
        <w:jc w:val="both"/>
        <w:rPr/>
      </w:pPr>
      <w:r>
        <w:rPr/>
        <w:t>​</w:t>
      </w:r>
    </w:p>
    <w:tbl>
      <w:tblPr>
        <w:tblW w:w="5570" w:type="dxa"/>
        <w:jc w:val="left"/>
        <w:tblInd w:w="0" w:type="dxa"/>
        <w:tblLayout w:type="fixed"/>
        <w:tblCellMar>
          <w:top w:w="0" w:type="dxa"/>
          <w:left w:w="0" w:type="dxa"/>
          <w:bottom w:w="28" w:type="dxa"/>
          <w:right w:w="0" w:type="dxa"/>
        </w:tblCellMar>
      </w:tblPr>
      <w:tblGrid>
        <w:gridCol w:w="5416"/>
        <w:gridCol w:w="154"/>
      </w:tblGrid>
      <w:tr>
        <w:trPr/>
        <w:tc>
          <w:tcPr>
            <w:tcW w:w="541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Joel M. Wine</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541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Joel M. Wine</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4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Its: Executive Vice President and Chief Financial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SPAN-ALASKA TRANSPORTATION, LLC</w:t>
      </w:r>
      <w:r>
        <w:rPr>
          <w:rFonts w:ascii="Times New Roman;Times;serif" w:hAnsi="Times New Roman;Times;serif"/>
          <w:sz w:val="22"/>
        </w:rPr>
        <w:t>, an Alaska limited liability company</w:t>
      </w:r>
    </w:p>
    <w:p>
      <w:pPr>
        <w:pStyle w:val="TextBody"/>
        <w:bidi w:val="0"/>
        <w:spacing w:before="0" w:after="0"/>
        <w:ind w:left="0" w:right="0" w:hanging="0"/>
        <w:jc w:val="both"/>
        <w:rPr/>
      </w:pPr>
      <w:r>
        <w:rPr/>
        <w:t>​</w:t>
      </w:r>
    </w:p>
    <w:tbl>
      <w:tblPr>
        <w:tblW w:w="5570" w:type="dxa"/>
        <w:jc w:val="left"/>
        <w:tblInd w:w="0" w:type="dxa"/>
        <w:tblLayout w:type="fixed"/>
        <w:tblCellMar>
          <w:top w:w="0" w:type="dxa"/>
          <w:left w:w="0" w:type="dxa"/>
          <w:bottom w:w="28" w:type="dxa"/>
          <w:right w:w="0" w:type="dxa"/>
        </w:tblCellMar>
      </w:tblPr>
      <w:tblGrid>
        <w:gridCol w:w="5416"/>
        <w:gridCol w:w="154"/>
      </w:tblGrid>
      <w:tr>
        <w:trPr/>
        <w:tc>
          <w:tcPr>
            <w:tcW w:w="541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Joel M. Wine</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541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Joel M. Wine</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4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Its: Executive Vice President and Chief Financial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Fourth Amendment to Matson/MetLife Note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i/>
          <w:color w:val="0000FF"/>
          <w:sz w:val="22"/>
        </w:rPr>
      </w:pPr>
      <w:r>
        <w:rPr>
          <w:rFonts w:ascii="Times New Roman;Times;serif" w:hAnsi="Times New Roman;Times;serif"/>
          <w:i/>
          <w:color w:val="0000FF"/>
          <w:sz w:val="22"/>
        </w:rPr>
        <w:t>Conformed through Fourth Amendment</w:t>
      </w:r>
    </w:p>
    <w:p>
      <w:pPr>
        <w:pStyle w:val="TextBody"/>
        <w:bidi w:val="0"/>
        <w:spacing w:before="0" w:after="0"/>
        <w:ind w:left="0" w:right="0" w:hanging="0"/>
        <w:jc w:val="right"/>
        <w:rPr/>
      </w:pPr>
      <w:r>
        <w:rPr/>
        <w:t>​</w:t>
      </w:r>
    </w:p>
    <w:p>
      <w:pPr>
        <w:pStyle w:val="TextBody"/>
        <w:bidi w:val="0"/>
        <w:spacing w:before="0" w:after="0"/>
        <w:ind w:left="0" w:right="0" w:hanging="0"/>
        <w:jc w:val="left"/>
        <w:rPr>
          <w:rFonts w:ascii="Times New Roman;Times;serif" w:hAnsi="Times New Roman;Times;serif"/>
          <w:color w:val="FF0000"/>
          <w:sz w:val="22"/>
        </w:rPr>
      </w:pPr>
      <w:r>
        <w:rPr>
          <w:rFonts w:ascii="Times New Roman;Times;serif" w:hAnsi="Times New Roman;Times;serif"/>
          <w:color w:val="FF0000"/>
          <w:sz w:val="22"/>
        </w:rPr>
        <w:t>CONFORMED VERSION INCORPORATING EFFECTS OF FIRST, SECOND AND THIRD</w:t>
        <w:br/>
        <w:t>AMENDMENTS – THIS CONFORMED VERSION IS FOR CONVENIENCE OF</w:t>
        <w:br/>
        <w:t>REFERENCE ONLY – PLEASE REFER TO ACTUAL AGREEMENT AND AMENDMENTS</w:t>
        <w:br/>
        <w:t>THERETO FOR LEGALLY BINDING EXPRESSION OF THIS FINANCING AGREEMENT.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pBdr>
          <w:top w:val="single" w:sz="8" w:space="1" w:color="000000"/>
          <w:bottom w:val="single" w:sz="8" w:space="1" w:color="000000"/>
        </w:pBdr>
        <w:bidi w:val="0"/>
        <w:spacing w:before="0" w:after="720"/>
        <w:ind w:left="0" w:right="0" w:hanging="0"/>
        <w:jc w:val="center"/>
        <w:rPr/>
      </w:pPr>
      <w:r>
        <w:rPr/>
        <w:t>​</w:t>
      </w:r>
    </w:p>
    <w:p>
      <w:pPr>
        <w:pStyle w:val="TextBody"/>
        <w:bidi w:val="0"/>
        <w:spacing w:before="0" w:after="720"/>
        <w:ind w:left="0" w:right="0" w:hanging="0"/>
        <w:jc w:val="center"/>
        <w:rPr>
          <w:rFonts w:ascii="Times New Roman;Times;serif" w:hAnsi="Times New Roman;Times;serif"/>
          <w:b/>
          <w:sz w:val="22"/>
        </w:rPr>
      </w:pPr>
      <w:r>
        <w:rPr>
          <w:rFonts w:ascii="Times New Roman;Times;serif" w:hAnsi="Times New Roman;Times;serif"/>
          <w:b/>
          <w:sz w:val="22"/>
        </w:rPr>
        <w:t>MATSON,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$75,000,000 ORIGINAL PRINCIPAL AMOUNT OF 3.37% SERIES A SENIOR</w:t>
        <w:br/>
        <w:t>GUARANTEED NOTES DUE 2027</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NOTE PURCHASE AGREEMENT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480"/>
        <w:ind w:left="0" w:right="0" w:hanging="0"/>
        <w:jc w:val="center"/>
        <w:rPr>
          <w:rFonts w:ascii="Times New Roman;Times;serif" w:hAnsi="Times New Roman;Times;serif"/>
          <w:sz w:val="22"/>
        </w:rPr>
      </w:pPr>
      <w:r>
        <w:rPr>
          <w:rFonts w:ascii="Times New Roman;Times;serif" w:hAnsi="Times New Roman;Times;serif"/>
          <w:sz w:val="22"/>
        </w:rPr>
        <w:t>December 21, 2016</w:t>
      </w:r>
    </w:p>
    <w:p>
      <w:pPr>
        <w:pStyle w:val="TextBody"/>
        <w:pBdr>
          <w:top w:val="single" w:sz="8" w:space="1" w:color="000000"/>
          <w:bottom w:val="single" w:sz="8" w:space="1" w:color="000000"/>
        </w:pBdr>
        <w:bidi w:val="0"/>
        <w:spacing w:before="0" w:after="48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TABLE OF CONTENTS</w:t>
      </w:r>
    </w:p>
    <w:p>
      <w:pPr>
        <w:pStyle w:val="TextBody"/>
        <w:bidi w:val="0"/>
        <w:spacing w:before="0" w:after="0"/>
        <w:ind w:left="0" w:right="0" w:hanging="0"/>
        <w:jc w:val="left"/>
        <w:rPr/>
      </w:pPr>
      <w:r>
        <w:rPr/>
        <w:t>​</w:t>
      </w:r>
    </w:p>
    <w:tbl>
      <w:tblPr>
        <w:tblW w:w="6604" w:type="dxa"/>
        <w:jc w:val="center"/>
        <w:tblInd w:w="0" w:type="dxa"/>
        <w:tblLayout w:type="fixed"/>
        <w:tblCellMar>
          <w:top w:w="0" w:type="dxa"/>
          <w:left w:w="0" w:type="dxa"/>
          <w:bottom w:w="0" w:type="dxa"/>
          <w:right w:w="0" w:type="dxa"/>
        </w:tblCellMar>
      </w:tblPr>
      <w:tblGrid>
        <w:gridCol w:w="301"/>
        <w:gridCol w:w="451"/>
        <w:gridCol w:w="5221"/>
        <w:gridCol w:w="631"/>
      </w:tblGrid>
      <w:tr>
        <w:trPr/>
        <w:tc>
          <w:tcPr>
            <w:tcW w:w="301" w:type="dxa"/>
            <w:tcBorders/>
            <w:vAlign w:val="center"/>
          </w:tcPr>
          <w:p>
            <w:pPr>
              <w:pStyle w:val="TableContents"/>
              <w:bidi w:val="0"/>
              <w:spacing w:before="0" w:after="0"/>
              <w:ind w:left="0" w:right="0" w:hanging="0"/>
              <w:jc w:val="left"/>
              <w:rPr/>
            </w:pPr>
            <w:r>
              <w:rPr/>
              <w:t>​</w:t>
            </w:r>
          </w:p>
        </w:tc>
        <w:tc>
          <w:tcPr>
            <w:tcW w:w="5672" w:type="dxa"/>
            <w:gridSpan w:val="2"/>
            <w:tcBorders/>
            <w:vAlign w:val="center"/>
          </w:tcPr>
          <w:p>
            <w:pPr>
              <w:pStyle w:val="TableContents"/>
              <w:bidi w:val="0"/>
              <w:spacing w:before="0" w:after="0"/>
              <w:ind w:left="0" w:right="0" w:hanging="0"/>
              <w:jc w:val="left"/>
              <w:rPr/>
            </w:pPr>
            <w:r>
              <w:rPr/>
              <w:t>​</w:t>
            </w:r>
          </w:p>
        </w:tc>
        <w:tc>
          <w:tcPr>
            <w:tcW w:w="6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Page</w:t>
            </w:r>
          </w:p>
        </w:tc>
      </w:tr>
      <w:tr>
        <w:trPr/>
        <w:tc>
          <w:tcPr>
            <w:tcW w:w="3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w:t>
            </w:r>
          </w:p>
        </w:tc>
        <w:tc>
          <w:tcPr>
            <w:tcW w:w="567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AUTHORIZATION OF NOTES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w:t>
            </w:r>
          </w:p>
        </w:tc>
      </w:tr>
      <w:tr>
        <w:trPr/>
        <w:tc>
          <w:tcPr>
            <w:tcW w:w="301" w:type="dxa"/>
            <w:tcBorders/>
            <w:vAlign w:val="center"/>
          </w:tcPr>
          <w:p>
            <w:pPr>
              <w:pStyle w:val="TableContents"/>
              <w:bidi w:val="0"/>
              <w:spacing w:before="0" w:after="0"/>
              <w:ind w:left="0" w:right="0" w:hanging="0"/>
              <w:jc w:val="left"/>
              <w:rPr/>
            </w:pPr>
            <w:r>
              <w:rPr/>
              <w:t>​</w:t>
            </w:r>
          </w:p>
        </w:tc>
        <w:tc>
          <w:tcPr>
            <w:tcW w:w="5672" w:type="dxa"/>
            <w:gridSpan w:val="2"/>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3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w:t>
            </w:r>
          </w:p>
        </w:tc>
        <w:tc>
          <w:tcPr>
            <w:tcW w:w="567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PURCHASE AND SALE OF NOTES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w:t>
            </w:r>
          </w:p>
        </w:tc>
      </w:tr>
      <w:tr>
        <w:trPr/>
        <w:tc>
          <w:tcPr>
            <w:tcW w:w="301" w:type="dxa"/>
            <w:tcBorders/>
            <w:vAlign w:val="center"/>
          </w:tcPr>
          <w:p>
            <w:pPr>
              <w:pStyle w:val="TableContents"/>
              <w:bidi w:val="0"/>
              <w:spacing w:before="0" w:after="0"/>
              <w:ind w:left="0" w:right="0" w:hanging="0"/>
              <w:jc w:val="left"/>
              <w:rPr/>
            </w:pPr>
            <w:r>
              <w:rPr/>
              <w:t>​</w:t>
            </w:r>
          </w:p>
        </w:tc>
        <w:tc>
          <w:tcPr>
            <w:tcW w:w="5672" w:type="dxa"/>
            <w:gridSpan w:val="2"/>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3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w:t>
            </w:r>
          </w:p>
        </w:tc>
        <w:tc>
          <w:tcPr>
            <w:tcW w:w="567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CONDITIONS OF CLOSING</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3A.</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Certain Documents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3B.</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Representations and Warranties; No Default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3C.</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Purchase Permitted by Applicable Laws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3D.</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Fees and Expenses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3E.</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Private Placement Number</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3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4.</w:t>
            </w:r>
          </w:p>
        </w:tc>
        <w:tc>
          <w:tcPr>
            <w:tcW w:w="567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PREPAYMENTS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4A.</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Required Prepayments of Notes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4B.</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Optional Prepayment with Yield-Maintenance Amount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4C.</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Notice of Optional Prepayment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4D.</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Application of Prepayments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4E.</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Retirement of Notes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3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w:t>
            </w:r>
          </w:p>
        </w:tc>
        <w:tc>
          <w:tcPr>
            <w:tcW w:w="567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AFFIRMATIVE COVENANTS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5A.</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Financial Statements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5B.</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Inspection of Property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5C.</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Information Required by Rule 144A</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5D.</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Maintenance of Properties; Insurance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5E.</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United States Citizen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5F.</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Environmental and Safety Laws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5G.</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Equal and Ratable Liens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5H.</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Subsequent Guarantors; Release of Guarantors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5I.</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Collateral</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3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w:t>
            </w:r>
          </w:p>
        </w:tc>
        <w:tc>
          <w:tcPr>
            <w:tcW w:w="567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NEGATIVE COVENANTS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6A.</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Financial Covenants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6B.</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Restricted Payments Limitation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6C.</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Lien and Other Restrictions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6D.</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Economic Sanctions, Etc</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3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w:t>
            </w:r>
          </w:p>
        </w:tc>
        <w:tc>
          <w:tcPr>
            <w:tcW w:w="5672"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EVENTS OF DEFAULT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7A.</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Acceleration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7B.</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Rescission of Acceleration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7C.</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Notice of Acceleration or Rescission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w:t>
            </w:r>
          </w:p>
        </w:tc>
      </w:tr>
      <w:tr>
        <w:trPr/>
        <w:tc>
          <w:tcPr>
            <w:tcW w:w="30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7D.</w:t>
            </w:r>
          </w:p>
        </w:tc>
        <w:tc>
          <w:tcPr>
            <w:tcW w:w="52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 Remedies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TABLE OF CONTENTS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(continued)</w:t>
      </w:r>
    </w:p>
    <w:p>
      <w:pPr>
        <w:pStyle w:val="TextBody"/>
        <w:bidi w:val="0"/>
        <w:spacing w:before="0" w:after="0"/>
        <w:ind w:left="0" w:right="0" w:hanging="0"/>
        <w:jc w:val="left"/>
        <w:rPr/>
      </w:pPr>
      <w:r>
        <w:rPr/>
        <w:t>​</w:t>
      </w:r>
    </w:p>
    <w:tbl>
      <w:tblPr>
        <w:tblW w:w="7999" w:type="dxa"/>
        <w:jc w:val="left"/>
        <w:tblInd w:w="0" w:type="dxa"/>
        <w:tblLayout w:type="fixed"/>
        <w:tblCellMar>
          <w:top w:w="0" w:type="dxa"/>
          <w:left w:w="0" w:type="dxa"/>
          <w:bottom w:w="0" w:type="dxa"/>
          <w:right w:w="0" w:type="dxa"/>
        </w:tblCellMar>
      </w:tblPr>
      <w:tblGrid>
        <w:gridCol w:w="421"/>
        <w:gridCol w:w="571"/>
        <w:gridCol w:w="6616"/>
        <w:gridCol w:w="391"/>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67335" cy="175260"/>
                      <wp:effectExtent l="0" t="0" r="0" b="0"/>
                      <wp:wrapNone/>
                      <wp:docPr id="543" name="Frame54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362585" cy="175260"/>
                      <wp:effectExtent l="0" t="0" r="0" b="0"/>
                      <wp:wrapNone/>
                      <wp:docPr id="544" name="Frame5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201160" cy="175260"/>
                      <wp:effectExtent l="0" t="0" r="0" b="0"/>
                      <wp:wrapNone/>
                      <wp:docPr id="545" name="Frame545"/>
                      <a:graphic xmlns:a="http://schemas.openxmlformats.org/drawingml/2006/main">
                        <a:graphicData uri="http://schemas.microsoft.com/office/word/2010/wordprocessingShape">
                          <wps:wsp>
                            <wps:cNvSpPr txBox="1"/>
                            <wps:spPr>
                              <a:xfrm>
                                <a:off x="0" y="0"/>
                                <a:ext cx="420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48285" cy="321310"/>
                      <wp:effectExtent l="0" t="0" r="0" b="0"/>
                      <wp:wrapNone/>
                      <wp:docPr id="546" name="Frame546"/>
                      <a:graphic xmlns:a="http://schemas.openxmlformats.org/drawingml/2006/main">
                        <a:graphicData uri="http://schemas.microsoft.com/office/word/2010/wordprocessingShape">
                          <wps:wsp>
                            <wps:cNvSpPr txBox="1"/>
                            <wps:spPr>
                              <a:xfrm>
                                <a:off x="0" y="0"/>
                                <a:ext cx="248285" cy="32131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Page</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w:t>
            </w:r>
          </w:p>
        </w:tc>
        <w:tc>
          <w:tcPr>
            <w:tcW w:w="718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REPRESENTATIONS, COVENANTS AND WARRANTIES</w:t>
            </w:r>
          </w:p>
        </w:tc>
        <w:tc>
          <w:tcPr>
            <w:tcW w:w="391" w:type="dxa"/>
            <w:tcBorders>
              <w:top w:val="single" w:sz="8"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8A.</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Organization</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8B.</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Financial Statements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8C.</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Actions Pending</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8D.</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Outstanding Debt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8E.</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 to Properties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8F.</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Taxes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8G.</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Conflicting Agreements and Other Matters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8H.</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Offering of the Notes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8I.</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Use of Proceeds; Regulation U, Etc</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8J.</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ERISA</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8K.</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Governmental Consent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8L.</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Holding Company and Investment Company Status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8M.</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Possession of Franchises, Licenses, Etc</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8N.</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Environmental and Safety Matters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8O.</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Employee Relations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8P.</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Shipping-Related Legislation</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8Q.</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Disclosure</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8R.</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Foreign Assets Control Regulations, Etc</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661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w:t>
            </w:r>
          </w:p>
        </w:tc>
        <w:tc>
          <w:tcPr>
            <w:tcW w:w="718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REPRESENTATIONS OF THE PURCHASERS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9A.</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Nature of Purchase</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9B.</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Source of Funds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23</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9C.</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Experience and Information</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9D.</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Rule 144</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25</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9E.</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Legends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25</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661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w:t>
            </w:r>
          </w:p>
        </w:tc>
        <w:tc>
          <w:tcPr>
            <w:tcW w:w="718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DEFINITIONS; ACCOUNTING MATTERS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25</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10A.</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Yield-Maintenance Terms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25</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10B.</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 Terms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27</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10C.</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Accounting Principles, Terms and Determinations; Changes in GAAP</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37</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661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w:t>
            </w:r>
          </w:p>
        </w:tc>
        <w:tc>
          <w:tcPr>
            <w:tcW w:w="718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MISCELLANEOUS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11A.</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Note Payments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11B.</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Expenses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11C.</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Consent to Amendments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39</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11D.</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Registration, Transfer and Exchange of Notes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39</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11E.</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Persons Deemed Owners; Participations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11F.</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Survival of Representations and Warranties; Entire Agreement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11G.</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Successors and Assigns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11H.</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Independence of Covenants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w:t>
            </w:r>
          </w:p>
        </w:tc>
      </w:tr>
      <w:tr>
        <w:trPr/>
        <w:tc>
          <w:tcPr>
            <w:tcW w:w="42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11I.</w:t>
            </w:r>
          </w:p>
        </w:tc>
        <w:tc>
          <w:tcPr>
            <w:tcW w:w="6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Notices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TABLE OF CONTENTS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(continued)</w:t>
      </w:r>
    </w:p>
    <w:p>
      <w:pPr>
        <w:pStyle w:val="TextBody"/>
        <w:bidi w:val="0"/>
        <w:spacing w:before="0" w:after="0"/>
        <w:ind w:left="0" w:right="0" w:hanging="0"/>
        <w:jc w:val="left"/>
        <w:rPr/>
      </w:pPr>
      <w:r>
        <w:rPr/>
        <w:t>​</w:t>
      </w:r>
    </w:p>
    <w:tbl>
      <w:tblPr>
        <w:tblW w:w="5482" w:type="dxa"/>
        <w:jc w:val="left"/>
        <w:tblInd w:w="0" w:type="dxa"/>
        <w:tblLayout w:type="fixed"/>
        <w:tblCellMar>
          <w:top w:w="0" w:type="dxa"/>
          <w:left w:w="0" w:type="dxa"/>
          <w:bottom w:w="0" w:type="dxa"/>
          <w:right w:w="0" w:type="dxa"/>
        </w:tblCellMar>
      </w:tblPr>
      <w:tblGrid>
        <w:gridCol w:w="124"/>
        <w:gridCol w:w="601"/>
        <w:gridCol w:w="4366"/>
        <w:gridCol w:w="39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78740" cy="175260"/>
                      <wp:effectExtent l="0" t="0" r="0" b="0"/>
                      <wp:wrapNone/>
                      <wp:docPr id="547" name="Frame54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381635" cy="175260"/>
                      <wp:effectExtent l="0" t="0" r="0" b="0"/>
                      <wp:wrapNone/>
                      <wp:docPr id="548" name="Frame54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772410" cy="175260"/>
                      <wp:effectExtent l="0" t="0" r="0" b="0"/>
                      <wp:wrapNone/>
                      <wp:docPr id="549" name="Frame549"/>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48285" cy="321310"/>
                      <wp:effectExtent l="0" t="0" r="0" b="0"/>
                      <wp:wrapNone/>
                      <wp:docPr id="550" name="Frame550"/>
                      <a:graphic xmlns:a="http://schemas.openxmlformats.org/drawingml/2006/main">
                        <a:graphicData uri="http://schemas.microsoft.com/office/word/2010/wordprocessingShape">
                          <wps:wsp>
                            <wps:cNvSpPr txBox="1"/>
                            <wps:spPr>
                              <a:xfrm>
                                <a:off x="0" y="0"/>
                                <a:ext cx="248285" cy="32131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Page</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11J.</w:t>
            </w:r>
          </w:p>
        </w:tc>
        <w:tc>
          <w:tcPr>
            <w:tcW w:w="4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Descriptive Headings</w:t>
            </w:r>
          </w:p>
        </w:tc>
        <w:tc>
          <w:tcPr>
            <w:tcW w:w="391" w:type="dxa"/>
            <w:tcBorders>
              <w:top w:val="single" w:sz="8"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41</w:t>
            </w:r>
          </w:p>
        </w:tc>
      </w:tr>
      <w:tr>
        <w:trPr/>
        <w:tc>
          <w:tcPr>
            <w:tcW w:w="124"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11K.</w:t>
            </w:r>
          </w:p>
        </w:tc>
        <w:tc>
          <w:tcPr>
            <w:tcW w:w="4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Satisfaction Requirement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41</w:t>
            </w:r>
          </w:p>
        </w:tc>
      </w:tr>
      <w:tr>
        <w:trPr/>
        <w:tc>
          <w:tcPr>
            <w:tcW w:w="124"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11L.</w:t>
            </w:r>
          </w:p>
        </w:tc>
        <w:tc>
          <w:tcPr>
            <w:tcW w:w="4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Governing Law</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41</w:t>
            </w:r>
          </w:p>
        </w:tc>
      </w:tr>
      <w:tr>
        <w:trPr/>
        <w:tc>
          <w:tcPr>
            <w:tcW w:w="124"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11M.</w:t>
            </w:r>
          </w:p>
        </w:tc>
        <w:tc>
          <w:tcPr>
            <w:tcW w:w="4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Payments Due on Non-Business Days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41</w:t>
            </w:r>
          </w:p>
        </w:tc>
      </w:tr>
      <w:tr>
        <w:trPr/>
        <w:tc>
          <w:tcPr>
            <w:tcW w:w="124"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11N.</w:t>
            </w:r>
          </w:p>
        </w:tc>
        <w:tc>
          <w:tcPr>
            <w:tcW w:w="4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Severability</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41</w:t>
            </w:r>
          </w:p>
        </w:tc>
      </w:tr>
      <w:tr>
        <w:trPr/>
        <w:tc>
          <w:tcPr>
            <w:tcW w:w="124"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11O.</w:t>
            </w:r>
          </w:p>
        </w:tc>
        <w:tc>
          <w:tcPr>
            <w:tcW w:w="4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Jurisdiction and Process; Waiver of Jury Trial</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42</w:t>
            </w:r>
          </w:p>
        </w:tc>
      </w:tr>
      <w:tr>
        <w:trPr/>
        <w:tc>
          <w:tcPr>
            <w:tcW w:w="124"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11P.</w:t>
            </w:r>
          </w:p>
        </w:tc>
        <w:tc>
          <w:tcPr>
            <w:tcW w:w="4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Counterparts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w:t>
            </w:r>
          </w:p>
        </w:tc>
      </w:tr>
      <w:tr>
        <w:trPr/>
        <w:tc>
          <w:tcPr>
            <w:tcW w:w="124"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11Q.</w:t>
            </w:r>
          </w:p>
        </w:tc>
        <w:tc>
          <w:tcPr>
            <w:tcW w:w="4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Binding Agreement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w:t>
            </w:r>
          </w:p>
        </w:tc>
      </w:tr>
      <w:tr>
        <w:trPr/>
        <w:tc>
          <w:tcPr>
            <w:tcW w:w="124"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11R.</w:t>
            </w:r>
          </w:p>
        </w:tc>
        <w:tc>
          <w:tcPr>
            <w:tcW w:w="4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Confidentiality</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Schedules and Exhibits</w:t>
      </w:r>
    </w:p>
    <w:p>
      <w:pPr>
        <w:pStyle w:val="TextBody"/>
        <w:bidi w:val="0"/>
        <w:spacing w:before="0" w:after="0"/>
        <w:ind w:left="0" w:right="0" w:hanging="0"/>
        <w:jc w:val="left"/>
        <w:rPr/>
      </w:pPr>
      <w:r>
        <w:rPr/>
        <w:t>​</w:t>
      </w:r>
    </w:p>
    <w:tbl>
      <w:tblPr>
        <w:tblW w:w="6978" w:type="dxa"/>
        <w:jc w:val="left"/>
        <w:tblInd w:w="0" w:type="dxa"/>
        <w:tblLayout w:type="fixed"/>
        <w:tblCellMar>
          <w:top w:w="0" w:type="dxa"/>
          <w:left w:w="0" w:type="dxa"/>
          <w:bottom w:w="0" w:type="dxa"/>
          <w:right w:w="0" w:type="dxa"/>
        </w:tblCellMar>
      </w:tblPr>
      <w:tblGrid>
        <w:gridCol w:w="1576"/>
        <w:gridCol w:w="346"/>
        <w:gridCol w:w="5056"/>
      </w:tblGrid>
      <w:tr>
        <w:trPr/>
        <w:tc>
          <w:tcPr>
            <w:tcW w:w="6978" w:type="dxa"/>
            <w:gridSpan w:val="3"/>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Purchaser Schedules</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A</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Note</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B</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Funding Instruction Letter</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C-1</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Multiparty Guaranty</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C-2</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Indemnity and Contribution Agreement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C-3</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Hull No. 29 Security Agreement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C-4</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Hull No. 30 Security Agreement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6C(1)</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Existing Liens</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8A</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Material Subsidiaries/Material Domestic Subsidiaries</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8G</w:t>
            </w:r>
          </w:p>
        </w:tc>
        <w:tc>
          <w:tcPr>
            <w:tcW w:w="346" w:type="dxa"/>
            <w:tcBorders/>
            <w:vAlign w:val="center"/>
          </w:tcPr>
          <w:p>
            <w:pPr>
              <w:pStyle w:val="TableContents"/>
              <w:bidi w:val="0"/>
              <w:spacing w:before="0" w:after="0"/>
              <w:ind w:left="0" w:right="0" w:hanging="0"/>
              <w:jc w:val="left"/>
              <w:rPr/>
            </w:pPr>
            <w:r>
              <w:rPr/>
              <w:t>—</w:t>
            </w:r>
          </w:p>
        </w:tc>
        <w:tc>
          <w:tcPr>
            <w:tcW w:w="50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Agreements Restricting Incurrence of Debt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MATSON,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1411 Sand Island Parkway</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Honolulu, Hawaii 96819</w:t>
      </w:r>
    </w:p>
    <w:p>
      <w:pPr>
        <w:pStyle w:val="TextBody"/>
        <w:bidi w:val="0"/>
        <w:spacing w:before="0" w:after="240"/>
        <w:ind w:left="0" w:right="0" w:hanging="0"/>
        <w:jc w:val="right"/>
        <w:rPr>
          <w:rFonts w:ascii="Times New Roman;Times;serif" w:hAnsi="Times New Roman;Times;serif"/>
          <w:sz w:val="22"/>
        </w:rPr>
      </w:pPr>
      <w:r>
        <w:rPr>
          <w:rFonts w:ascii="Times New Roman;Times;serif" w:hAnsi="Times New Roman;Times;serif"/>
          <w:sz w:val="22"/>
        </w:rPr>
        <w:t>As of December 21, 2016</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Purchasers named in the Purchaser Schedules hereto</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c/o Metropolitan Life Insurance Company</w:t>
        <w:br/>
        <w:t>One MetLife Way</w:t>
        <w:br/>
        <w:t>Whippany, New Jersey 07981</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Ladies and Gentlemen: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The undersigned, Matson, Inc., a Hawaii corporation (the “</w:t>
      </w:r>
      <w:r>
        <w:rPr>
          <w:rFonts w:ascii="Times New Roman;Times;serif" w:hAnsi="Times New Roman;Times;serif"/>
          <w:b/>
          <w:sz w:val="22"/>
        </w:rPr>
        <w:t>Company</w:t>
      </w:r>
      <w:r>
        <w:rPr>
          <w:rFonts w:ascii="Times New Roman;Times;serif" w:hAnsi="Times New Roman;Times;serif"/>
          <w:sz w:val="20"/>
        </w:rPr>
        <w:t>”</w:t>
      </w:r>
      <w:r>
        <w:rPr>
          <w:rFonts w:ascii="Times New Roman;Times;serif" w:hAnsi="Times New Roman;Times;serif"/>
          <w:sz w:val="22"/>
        </w:rPr>
        <w:t>), hereby agrees with you as set forth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1A.</w:t>
      </w:r>
      <w:r>
        <w:rPr>
          <w:rFonts w:ascii="Times New Roman;Times;serif" w:hAnsi="Times New Roman;Times;serif"/>
          <w:b/>
          <w:sz w:val="22"/>
        </w:rPr>
        <w:t>AUTHORIZATION OF NOTES</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The Company has authorized the issue and sale of its 3.37% series A senior guaranteed promissory notes due December 21, 2027 (as amended, restated, supplemented or otherwise modified from time to time, the “</w:t>
      </w:r>
      <w:r>
        <w:rPr>
          <w:rFonts w:ascii="Times New Roman;Times;serif" w:hAnsi="Times New Roman;Times;serif"/>
          <w:b/>
          <w:sz w:val="22"/>
        </w:rPr>
        <w:t>Notes</w:t>
      </w:r>
      <w:r>
        <w:rPr>
          <w:rFonts w:ascii="Times New Roman;Times;serif" w:hAnsi="Times New Roman;Times;serif"/>
          <w:sz w:val="20"/>
        </w:rPr>
        <w:t>”</w:t>
      </w:r>
      <w:r>
        <w:rPr>
          <w:rFonts w:ascii="Times New Roman;Times;serif" w:hAnsi="Times New Roman;Times;serif"/>
          <w:sz w:val="22"/>
        </w:rPr>
        <w:t xml:space="preserve">, such term to include any such notes issued in substitution or exchange therefor pursuant to paragraph 11D of this Agreement) in the aggregate principal amount of $75,000,000, to be dated the date of issue thereof, and to be substantially in the form of </w:t>
      </w:r>
      <w:r>
        <w:rPr>
          <w:rFonts w:ascii="Times New Roman;Times;serif" w:hAnsi="Times New Roman;Times;serif"/>
          <w:sz w:val="22"/>
          <w:u w:val="single"/>
        </w:rPr>
        <w:t>Exhibit A</w:t>
      </w:r>
      <w:r>
        <w:rPr>
          <w:rFonts w:ascii="Times New Roman;Times;serif" w:hAnsi="Times New Roman;Times;serif"/>
          <w:sz w:val="20"/>
        </w:rPr>
        <w:t xml:space="preserve"> </w:t>
      </w:r>
      <w:r>
        <w:rPr>
          <w:rFonts w:ascii="Times New Roman;Times;serif" w:hAnsi="Times New Roman;Times;serif"/>
          <w:sz w:val="22"/>
        </w:rPr>
        <w:t>attached hereto. Certain capitalized terms used in this Agreement are defined in paragraph 10; references to a “paragraph” are, unless otherwise specified, to one of the paragraphs of this Agreement, and references to an “Exhibit” or “Schedule” are, unless otherwise specified, to one of the exhibits or schedules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1B.</w:t>
      </w:r>
      <w:r>
        <w:rPr>
          <w:rFonts w:ascii="Times New Roman;Times;serif" w:hAnsi="Times New Roman;Times;serif"/>
          <w:b/>
          <w:sz w:val="22"/>
        </w:rPr>
        <w:t>INTEREST ENHANCEMENT PAYMENTS</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In addition to interest (including, if applicable, the default rate) accruing on each Note, the Company agrees to pay from time to time to the holder of such Note a fee (any payment from time to time of such fee being referred to as an “</w:t>
      </w:r>
      <w:r>
        <w:rPr>
          <w:rFonts w:ascii="Times New Roman;Times;serif" w:hAnsi="Times New Roman;Times;serif"/>
          <w:b/>
          <w:sz w:val="22"/>
        </w:rPr>
        <w:t>Interest Enhancement Payment</w:t>
      </w:r>
      <w:r>
        <w:rPr>
          <w:rFonts w:ascii="Times New Roman;Times;serif" w:hAnsi="Times New Roman;Times;serif"/>
          <w:sz w:val="20"/>
        </w:rPr>
        <w:t>”</w:t>
      </w:r>
      <w:r>
        <w:rPr>
          <w:rFonts w:ascii="Times New Roman;Times;serif" w:hAnsi="Times New Roman;Times;serif"/>
          <w:sz w:val="22"/>
        </w:rPr>
        <w:t>) with respect to each fiscal quarter. Payment of each Interest Enhancement Payment shall be made in the manner specified in this Agreement for interest payments upon such Note. Each Interest Enhancement Payment shall be a dollar amount equal to (a) the product obtained by multiplying (i) the Applicable Number (as defined below) for such fiscal quarter times (ii) the Weighted Dollar Average (as defined below) of the principal balance of such Note during the fiscal quarter to which the Interest Enhancement Payment relates and (b) dividing the product thus obtained by four. The Interest Enhancement Payment for each applicable fiscal quarter shall be payable in arrears (and shall be fully earned and non-refundable) upon the earlier of (I) fifteen days after the date upon which the financial statements (and the Officer’s Certificate required to accompany such financial statements, which Officer’s Certificate shall, in addition to the other matters certified therein, set forth a computation of the Interest Enhancement Payment for each Note for the applicable fiscal quarter) for such fiscal quarter are required to be delivered under paragraph 5A(i) (or paragraph 5A(ii) if the applicable fiscal quarter is the last fiscal quarter in a fiscal year) and (II) the actual delivery date of such financial statements and such Officer’s Certificate for such fiscal quarter. If the Company fails to deliver financial statements (or the accompanying Officer’s Certificate)</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under paragraphs 5A(i) or (ii) for any fiscal quarter or fiscal year by the fifteenth day after the date such delivery is due, then the Company shall be deemed to owe the Interest Enhancement Payment for the applicable fiscal quarter (based on the Applicable Number, as determined in the next succeeding paragraph) assuming that the Consolidated Leverage Ratio was greater than 3.25 to 1.00 at the end of such fiscal quarter or fiscal year, and shall make the payment required for such fiscal quarter on the date due pursuant to the immediately preceding sentence.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As used in this paragraph 1B: (a) the “</w:t>
      </w:r>
      <w:r>
        <w:rPr>
          <w:rFonts w:ascii="Times New Roman;Times;serif" w:hAnsi="Times New Roman;Times;serif"/>
          <w:b/>
          <w:sz w:val="22"/>
        </w:rPr>
        <w:t>Applicable Number</w:t>
      </w:r>
      <w:r>
        <w:rPr>
          <w:rFonts w:ascii="Times New Roman;Times;serif" w:hAnsi="Times New Roman;Times;serif"/>
          <w:sz w:val="20"/>
        </w:rPr>
        <w:t xml:space="preserve">” </w:t>
      </w:r>
      <w:r>
        <w:rPr>
          <w:rFonts w:ascii="Times New Roman;Times;serif" w:hAnsi="Times New Roman;Times;serif"/>
          <w:sz w:val="22"/>
        </w:rPr>
        <w:t>shall mean (i) .0025 if the Consolidated Leverage Ratio was greater than 3.25 to 1.00 at the end of such fiscal quarter, or (ii) zero if the Consolidated Leverage Ratio was equal to or less than 3.25 to 1.00 at the end of such fiscal quarter; and (b) the “</w:t>
      </w:r>
      <w:r>
        <w:rPr>
          <w:rFonts w:ascii="Times New Roman;Times;serif" w:hAnsi="Times New Roman;Times;serif"/>
          <w:b/>
          <w:sz w:val="22"/>
        </w:rPr>
        <w:t>Weighted Dollar Average</w:t>
      </w:r>
      <w:r>
        <w:rPr>
          <w:rFonts w:ascii="Times New Roman;Times;serif" w:hAnsi="Times New Roman;Times;serif"/>
          <w:sz w:val="20"/>
        </w:rPr>
        <w:t xml:space="preserve">” </w:t>
      </w:r>
      <w:r>
        <w:rPr>
          <w:rFonts w:ascii="Times New Roman;Times;serif" w:hAnsi="Times New Roman;Times;serif"/>
          <w:sz w:val="22"/>
        </w:rPr>
        <w:t xml:space="preserve">shall mean, for any Note with respect to any fiscal quarter, (i) the sum of the principal amounts outstanding of such Note at the end of each calendar day during such fiscal quarter, </w:t>
      </w:r>
      <w:r>
        <w:rPr>
          <w:rFonts w:ascii="Times New Roman;Times;serif" w:hAnsi="Times New Roman;Times;serif"/>
          <w:sz w:val="22"/>
          <w:u w:val="single"/>
        </w:rPr>
        <w:t>divided by</w:t>
      </w:r>
      <w:r>
        <w:rPr>
          <w:rFonts w:ascii="Times New Roman;Times;serif" w:hAnsi="Times New Roman;Times;serif"/>
          <w:sz w:val="20"/>
        </w:rPr>
        <w:t xml:space="preserve"> </w:t>
      </w:r>
      <w:r>
        <w:rPr>
          <w:rFonts w:ascii="Times New Roman;Times;serif" w:hAnsi="Times New Roman;Times;serif"/>
          <w:sz w:val="22"/>
        </w:rPr>
        <w:t>(ii) the number of calendar days during such fiscal quarter.</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Notwithstanding anything to the contrary in the preceding portions of this paragraph 1B: (i) concurrent with the time when the remaining outstanding principal amount of such Note has become due and payable (whether at the scheduled final maturity thereof, upon any acceleration of the maturity thereof or otherwise) the Interest Enhancement Payment shall be payable in arrears (and shall be fully earned and non-refundable) for (a) the full fiscal quarter immediately preceding such time (but only if the Interest Enhancement Payment has not otherwise become payable at such time pursuant to the first paragraph of this paragraph 1B) based on the most recent Applicable Number available at such time, and (b) the portion of the current fiscal quarter through such time based on the most recent Applicable Number available at such time, and ratably adjusted for the portion of such fiscal quarter that has elapsed at such time; (ii) if any such Officer’s Certificate erroneously indicates (as reasonably determined by the Required Holders) an Applicable Number more favorable to the Company (due to an incorrect calculation of the Consolidated Leverage Ratio) than should be afforded by the actual calculation of such Consolidated Leverage Ratio, then the Company shall promptly pay such additional Interest Enhancement Payment as is required to correct such error; and (iii) the acceptance of any Interest Enhancement Payment by any holder of a Note shall not constitute a waiver of any Default or Event of Default, including any breach of the Consolidated Leverage Ratio.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w:t>
      </w:r>
      <w:r>
        <w:rPr>
          <w:rFonts w:ascii="Times New Roman;Times;serif" w:hAnsi="Times New Roman;Times;serif"/>
          <w:b/>
          <w:caps/>
          <w:sz w:val="22"/>
        </w:rPr>
        <w:t>PURCHASE AND SALE OF NOTES</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The Company hereby agrees to sell to each Purchaser and, subject to the terms and conditions herein set forth, each Purchaser agrees to purchase from the Company the aggregate principal amount of Notes set forth opposite such Purchaser’s name in the Purchaser Schedules attached hereto at 100% of such aggregate principal amount. At a closing on December 21, 2016 (the “</w:t>
      </w:r>
      <w:r>
        <w:rPr>
          <w:rFonts w:ascii="Times New Roman;Times;serif" w:hAnsi="Times New Roman;Times;serif"/>
          <w:b/>
          <w:sz w:val="22"/>
        </w:rPr>
        <w:t>Closing Day</w:t>
      </w:r>
      <w:r>
        <w:rPr>
          <w:rFonts w:ascii="Times New Roman;Times;serif" w:hAnsi="Times New Roman;Times;serif"/>
          <w:sz w:val="20"/>
        </w:rPr>
        <w:t>”</w:t>
      </w:r>
      <w:r>
        <w:rPr>
          <w:rFonts w:ascii="Times New Roman;Times;serif" w:hAnsi="Times New Roman;Times;serif"/>
          <w:sz w:val="22"/>
        </w:rPr>
        <w:t>) the Company will deliver to each Purchaser, at the offices of Vedder Price P.C. at 275 Battery Street, Suite 2464, San Francisco, CA 94111, one or more Notes, registered in such Purchaser’s name (or, if specified in the Purchaser Schedule, in the name of the nominee for such Purchaser specified in the Purchaser Schedule), evidencing the aggregate principal amount of Notes to be purchased by such Purchaser and in the denomination or denominations specified with respect to such Purchaser in the Purchaser Schedule against payment of the purchase price thereof by transfer of immediately available funds, for credit to such account or accounts as shall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be specified in a letter on the Company’s letterhead, in substantially the form of </w:t>
      </w:r>
      <w:r>
        <w:rPr>
          <w:rFonts w:ascii="Times New Roman;Times;serif" w:hAnsi="Times New Roman;Times;serif"/>
          <w:sz w:val="22"/>
          <w:u w:val="single"/>
        </w:rPr>
        <w:t>Exhibit B</w:t>
      </w:r>
      <w:r>
        <w:rPr>
          <w:rFonts w:ascii="Times New Roman;Times;serif" w:hAnsi="Times New Roman;Times;serif"/>
          <w:sz w:val="20"/>
        </w:rPr>
        <w:t xml:space="preserve"> </w:t>
      </w:r>
      <w:r>
        <w:rPr>
          <w:rFonts w:ascii="Times New Roman;Times;serif" w:hAnsi="Times New Roman;Times;serif"/>
          <w:sz w:val="22"/>
        </w:rPr>
        <w:t>attached hereto, from the Company to the Purchasers delivered prior to the Closing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w:t>
      </w:r>
      <w:r>
        <w:rPr>
          <w:rFonts w:ascii="Times New Roman;Times;serif" w:hAnsi="Times New Roman;Times;serif"/>
          <w:b/>
          <w:caps/>
          <w:sz w:val="22"/>
        </w:rPr>
        <w:t>CONDITIONS OF CLOSING</w:t>
      </w:r>
      <w:r>
        <w:rPr>
          <w:rFonts w:ascii="Times New Roman;Times;serif" w:hAnsi="Times New Roman;Times;serif"/>
          <w:sz w:val="22"/>
        </w:rPr>
        <w:t>. Each Purchaser’s obligation to purchase and pay for the Notes to be sold to such Purchaser on the Closing Day is subject to the fulfillment to such Purchaser’s satisfaction, on or before the Closing Day, of the following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3A.</w:t>
      </w:r>
      <w:r>
        <w:rPr>
          <w:rFonts w:ascii="Times New Roman;Times;serif" w:hAnsi="Times New Roman;Times;serif"/>
          <w:b/>
          <w:sz w:val="22"/>
        </w:rPr>
        <w:t>Certain Documents</w:t>
      </w:r>
      <w:r>
        <w:rPr>
          <w:rFonts w:ascii="Times New Roman;Times;serif" w:hAnsi="Times New Roman;Times;serif"/>
          <w:sz w:val="22"/>
        </w:rPr>
        <w:t>. Such Purchaser shall have received the following, each dated the Closing Day (unless otherwise specified):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the Note(s) to be purchased by such Purchaser;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the Multiparty Guaranty, dated as of the date hereof, made by the Guarantors in favor of the holders of the Notes, in the form of </w:t>
      </w:r>
      <w:r>
        <w:rPr>
          <w:rFonts w:ascii="Times New Roman;Times;serif" w:hAnsi="Times New Roman;Times;serif"/>
          <w:sz w:val="22"/>
          <w:u w:val="single"/>
        </w:rPr>
        <w:t>Exhibit C-1</w:t>
      </w:r>
      <w:r>
        <w:rPr>
          <w:rFonts w:ascii="Times New Roman;Times;serif" w:hAnsi="Times New Roman;Times;serif"/>
          <w:sz w:val="20"/>
        </w:rPr>
        <w:t xml:space="preserve"> </w:t>
      </w:r>
      <w:r>
        <w:rPr>
          <w:rFonts w:ascii="Times New Roman;Times;serif" w:hAnsi="Times New Roman;Times;serif"/>
          <w:sz w:val="22"/>
        </w:rPr>
        <w:t>(as amended, restated, supplemented or otherwise modified from time to time, the “</w:t>
      </w:r>
      <w:r>
        <w:rPr>
          <w:rFonts w:ascii="Times New Roman;Times;serif" w:hAnsi="Times New Roman;Times;serif"/>
          <w:b/>
          <w:sz w:val="22"/>
        </w:rPr>
        <w:t>Multiparty Guaranty</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 xml:space="preserve">the Indemnity, Contribution and Subordination Agreement, dated as of the date hereof, by and among the Credit Parties, in the form of </w:t>
      </w:r>
      <w:r>
        <w:rPr>
          <w:rFonts w:ascii="Times New Roman;Times;serif" w:hAnsi="Times New Roman;Times;serif"/>
          <w:sz w:val="22"/>
          <w:u w:val="single"/>
        </w:rPr>
        <w:t>Exhibit C-2</w:t>
      </w:r>
      <w:r>
        <w:rPr>
          <w:rFonts w:ascii="Times New Roman;Times;serif" w:hAnsi="Times New Roman;Times;serif"/>
          <w:sz w:val="20"/>
        </w:rPr>
        <w:t xml:space="preserve"> </w:t>
      </w:r>
      <w:r>
        <w:rPr>
          <w:rFonts w:ascii="Times New Roman;Times;serif" w:hAnsi="Times New Roman;Times;serif"/>
          <w:sz w:val="22"/>
        </w:rPr>
        <w:t>(as amended, restated, supplemented or otherwise modified from time to time, the “</w:t>
      </w:r>
      <w:r>
        <w:rPr>
          <w:rFonts w:ascii="Times New Roman;Times;serif" w:hAnsi="Times New Roman;Times;serif"/>
          <w:b/>
          <w:sz w:val="22"/>
        </w:rPr>
        <w:t>Indemnity and Contribution Agreement</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a copy of the Company’s written designation of the holders of the Notes as “Additional Creditors” (as defined in the Intercreditor Agreement), together with a Counterpart (as defined in the Intercreditor Agreement) executed by each such holder, with each of the foregoing having been prepared and delivered in accordance with Section 10 of the Intercreditor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a favorable opinion of (a) Gibson, Dunn &amp; Crutcher LLP, special counsel to the Credit Parties, in form and substance satisfactory to such Purchaser, and (b) Goodsill Anderson Quinn &amp; Stifel, special counsel to the Credit Parties, in form and substance satisfactory to such Purchaser (the Company hereby directs each such counsel to deliver such opinion, agrees that the issuance and sale of the Notes will constitute a reconfirmation of such direction, and understands and agrees that each Purchaser receiving such an opinion is hereby authorized to rely on such opinion);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a favorable opinion of Vedder Price P.C., special counsel to the Purchasers, satisfactory to such Purchaser as to such matters incident to the matters herein contemplated as it may reasonably request;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w:t>
      </w:r>
      <w:r>
        <w:rPr>
          <w:rFonts w:ascii="Times New Roman;Times;serif" w:hAnsi="Times New Roman;Times;serif"/>
          <w:sz w:val="22"/>
        </w:rPr>
        <w:t>certified copies of the resolutions of the Board of Directors (or Board of Managers or other similar authorizing body) of each Credit Party authorizing the execution and delivery of the Transaction Documents to which such Person is a party (including, in the case of the Company, the issuance, execution and delivery of the Notes), and of all documents evidencing other necessary corporate or similar action and governmental approvals, if any, with respect to this Agreement, the Notes and the other Transaction Documents;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(viii)</w:t>
      </w:r>
      <w:r>
        <w:rPr>
          <w:rFonts w:ascii="Times New Roman;Times;serif" w:hAnsi="Times New Roman;Times;serif"/>
          <w:sz w:val="22"/>
        </w:rPr>
        <w:t>a certificate of the Secretary or an Assistant Secretary and one other officer of each Credit Party certifying the names and true signatures of the officers of such Person authorized to sign the Transaction Documents to which such Person is a party and the other documents to be delivered 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(ix)</w:t>
      </w:r>
      <w:r>
        <w:rPr>
          <w:rFonts w:ascii="Times New Roman;Times;serif" w:hAnsi="Times New Roman;Times;serif"/>
          <w:sz w:val="22"/>
        </w:rPr>
        <w:t>certified copies of the articles of incorporation and bylaws (or similar constitutive documents) of each Credit Party;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w:t>
      </w:r>
      <w:r>
        <w:rPr>
          <w:rFonts w:ascii="Times New Roman;Times;serif" w:hAnsi="Times New Roman;Times;serif"/>
          <w:sz w:val="22"/>
        </w:rPr>
        <w:t>a good standing certificate for each Credit Party from the secretary of state of the state of its formation (and, in the case of Matson Navigation, the State of California), in each case dated as of a recent date and such other evidence of the status of each Credit Party as such Purchaser may reasonably request;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(xi)</w:t>
      </w:r>
      <w:r>
        <w:rPr>
          <w:rFonts w:ascii="Times New Roman;Times;serif" w:hAnsi="Times New Roman;Times;serif"/>
          <w:sz w:val="22"/>
        </w:rPr>
        <w:t>additional documents or certificates with respect to legal matters or corporate or other proceedings related to the transactions contemplated hereby as may be reasonably requested by such Purchaser.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3B.</w:t>
      </w:r>
      <w:r>
        <w:rPr>
          <w:rFonts w:ascii="Times New Roman;Times;serif" w:hAnsi="Times New Roman;Times;serif"/>
          <w:b/>
          <w:sz w:val="22"/>
        </w:rPr>
        <w:t>Representations and Warranties; No Default</w:t>
      </w:r>
      <w:r>
        <w:rPr>
          <w:rFonts w:ascii="Times New Roman;Times;serif" w:hAnsi="Times New Roman;Times;serif"/>
          <w:sz w:val="22"/>
        </w:rPr>
        <w:t>. The representations and warranties of each Credit Party contained in paragraph 8 hereof and in each other Transaction Document shall be true on and as of the Closing Day (except to the extent such representations and warranties expressly refer to an earlier date, in which case they shall be true on and as of such earlier date); there shall exist on the Closing Day no Event of Default or Default; and the Company shall have delivered to each Purchaser an Officer’s Certificate, dated the Closing Day, to such effects.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3C.</w:t>
      </w:r>
      <w:r>
        <w:rPr>
          <w:rFonts w:ascii="Times New Roman;Times;serif" w:hAnsi="Times New Roman;Times;serif"/>
          <w:b/>
          <w:sz w:val="22"/>
        </w:rPr>
        <w:t>Purchase Permitted by Applicable Laws.</w:t>
      </w:r>
      <w:r>
        <w:rPr>
          <w:rFonts w:ascii="Times New Roman;Times;serif" w:hAnsi="Times New Roman;Times;serif"/>
          <w:sz w:val="20"/>
        </w:rPr>
        <w:t xml:space="preserve"> </w:t>
      </w:r>
      <w:r>
        <w:rPr>
          <w:rFonts w:ascii="Times New Roman;Times;serif" w:hAnsi="Times New Roman;Times;serif"/>
          <w:sz w:val="22"/>
        </w:rPr>
        <w:t>The purchase of and payment for the Notes to be purchased by each Purchaser on the terms and conditions herein provided (including the use of the proceeds of the Notes by the Company) shall not violate any applicable law or governmental regulation (including, without limitation, Section 5 of the Securities Act or Regulation T, U or X of the Board of Governors of the Federal Reserve System) and shall not subject such Purchaser to any tax, penalty, liability or other onerous condition under or pursuant to any applicable law or governmental regulation, and such Purchaser shall have received such certificates or other evidence as it may request to establish compliance with this condition. This paragraph 3C is a closing condition and shall not be construed as a tax indemnity.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3D.</w:t>
      </w:r>
      <w:r>
        <w:rPr>
          <w:rFonts w:ascii="Times New Roman;Times;serif" w:hAnsi="Times New Roman;Times;serif"/>
          <w:b/>
          <w:sz w:val="22"/>
        </w:rPr>
        <w:t>Fees and Expenses</w:t>
      </w:r>
      <w:r>
        <w:rPr>
          <w:rFonts w:ascii="Times New Roman;Times;serif" w:hAnsi="Times New Roman;Times;serif"/>
          <w:sz w:val="22"/>
        </w:rPr>
        <w:t>. Without limiting the provisions of paragraph 11B hereof, the Company shall have paid the reasonable and documented fees, charges and disbursements of special counsel to the Purchasers to the extent invoiced by no later than one (1) day prior to the Closing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3E.</w:t>
      </w:r>
      <w:r>
        <w:rPr>
          <w:rFonts w:ascii="Times New Roman;Times;serif" w:hAnsi="Times New Roman;Times;serif"/>
          <w:b/>
          <w:sz w:val="22"/>
        </w:rPr>
        <w:t>Private Placement Number</w:t>
      </w:r>
      <w:r>
        <w:rPr>
          <w:rFonts w:ascii="Times New Roman;Times;serif" w:hAnsi="Times New Roman;Times;serif"/>
          <w:sz w:val="22"/>
        </w:rPr>
        <w:t>. A Private Placement Number issued by Standard &amp; Poor’s CUSIP Service Bureau (in cooperation with the SVO) shall have been obtained for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w:t>
      </w:r>
      <w:r>
        <w:rPr>
          <w:rFonts w:ascii="Times New Roman;Times;serif" w:hAnsi="Times New Roman;Times;serif"/>
          <w:b/>
          <w:caps/>
          <w:sz w:val="22"/>
        </w:rPr>
        <w:t>PREPAYMENTS</w:t>
      </w:r>
      <w:r>
        <w:rPr>
          <w:rFonts w:ascii="Times New Roman;Times;serif" w:hAnsi="Times New Roman;Times;serif"/>
          <w:sz w:val="22"/>
        </w:rPr>
        <w:t>. The Notes shall be subject to required prepayment as and to the extent provided in paragraph 4A. The Notes shall also be subject to prepayment under the circumstances set forth in paragraph 4B. Any prepayment made by the Company pursuant to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other provision of this paragraph 4 shall not reduce or otherwise affect its obligation to make any required prepayment as specified in paragraph 4A.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4A.</w:t>
      </w:r>
      <w:r>
        <w:rPr>
          <w:rFonts w:ascii="Times New Roman;Times;serif" w:hAnsi="Times New Roman;Times;serif"/>
          <w:b/>
          <w:sz w:val="22"/>
        </w:rPr>
        <w:t>Required Prepayments of Notes.</w:t>
      </w:r>
      <w:r>
        <w:rPr>
          <w:rFonts w:ascii="Times New Roman;Times;serif" w:hAnsi="Times New Roman;Times;serif"/>
          <w:sz w:val="20"/>
        </w:rPr>
        <w:t xml:space="preserve"> </w:t>
      </w:r>
      <w:r>
        <w:rPr>
          <w:rFonts w:ascii="Times New Roman;Times;serif" w:hAnsi="Times New Roman;Times;serif"/>
          <w:sz w:val="22"/>
        </w:rPr>
        <w:t>Until the Notes shall be paid in full, the Company shall apply to the prepayment thereof, without premium, the sum of $5,769,230.77 on December 21, 2021 and on each June 21 and December 21 thereafter through and including June 21, 2027, inclusive, and such principal amounts of the Notes, together with interest thereon to the prepayment dates, shall become due on such prepayment dates. The remaining outstanding principal amount of the Notes, together with any accrued and unpaid interest thereon, shall become due on December 21, 2027, the maturity date of the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4B.</w:t>
      </w:r>
      <w:r>
        <w:rPr>
          <w:rFonts w:ascii="Times New Roman;Times;serif" w:hAnsi="Times New Roman;Times;serif"/>
          <w:b/>
          <w:sz w:val="22"/>
        </w:rPr>
        <w:t>Optional Prepayment with Yield-Maintenance Amount</w:t>
      </w:r>
      <w:r>
        <w:rPr>
          <w:rFonts w:ascii="Times New Roman;Times;serif" w:hAnsi="Times New Roman;Times;serif"/>
          <w:sz w:val="22"/>
        </w:rPr>
        <w:t>. The Notes shall be subject to prepayment, in whole at any time or from time to time in part (in integral multiples of $100,000 and in a minimum amount of $1,000,000), at the option of the Company, at 100% of the principal amount so prepaid plus interest thereon to the prepayment date and the Yield-Maintenance Amount, if any, with respect to each such Note. Any partial prepayment of the Notes pursuant to this paragraph 4B shall be applied in satisfaction of required payments of principal in inverse order of their scheduled due dates.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4C.</w:t>
      </w:r>
      <w:r>
        <w:rPr>
          <w:rFonts w:ascii="Times New Roman;Times;serif" w:hAnsi="Times New Roman;Times;serif"/>
          <w:b/>
          <w:sz w:val="22"/>
        </w:rPr>
        <w:t>Notice of Optional Prepayment</w:t>
      </w:r>
      <w:r>
        <w:rPr>
          <w:rFonts w:ascii="Times New Roman;Times;serif" w:hAnsi="Times New Roman;Times;serif"/>
          <w:sz w:val="22"/>
        </w:rPr>
        <w:t>. The Company shall give the holder of each Note to be prepaid pursuant to paragraph 4B irrevocable written notice of such prepayment not less than five Business Days prior to the prepayment date, specifying such prepayment date, the aggregate principal amount of the Notes to be prepaid on such date, the principal amount of the Notes held by such holder to be prepaid on that date and that such prepayment is to be made pursuant to paragraph 4B. Notice of prepayment having been given as aforesaid, the principal amount of the Notes specified in such notice, together with interest thereon to the prepayment date and together with the Yield-Maintenance Amount, if any, herein provided, shall become due and payable on such prepayment date. The Company shall, on or before the day on which it gives written notice of any prepayment pursuant to paragraph 4B, give telephonic notice of the principal amount of the Notes to be prepaid and the prepayment date to each Significant Holder which shall have designated a recipient for such notices in the Purchaser Schedule attached hereto or by notice in writing to the Company. Notwithstanding the foregoing, any notice of prepayment of the Notes in whole given by the Company may state that such prepayment notice is conditioned upon the effectiveness of other credit facilities or capital raising, in which case such notice may be revoked by the Company (by notice to the holders on or prior to the specified effective date) if such condition is not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4D.</w:t>
      </w:r>
      <w:r>
        <w:rPr>
          <w:rFonts w:ascii="Times New Roman;Times;serif" w:hAnsi="Times New Roman;Times;serif"/>
          <w:b/>
          <w:sz w:val="22"/>
        </w:rPr>
        <w:t>Application of Prepayments</w:t>
      </w:r>
      <w:r>
        <w:rPr>
          <w:rFonts w:ascii="Times New Roman;Times;serif" w:hAnsi="Times New Roman;Times;serif"/>
          <w:sz w:val="22"/>
        </w:rPr>
        <w:t>. In the case of each prepayment of less than the entire unpaid principal amount of all outstanding Notes pursuant to paragraph 4A or 4B, the amount to be prepaid shall be applied pro rata to all outstanding Notes (including, in the case of prepayments pursuant to paragraph 4A for the purpose of this paragraph 4D only, all Notes prepaid or otherwise retired or purchased or otherwise acquired by the Company or any of its Subsidiaries or any other Affiliates other than by prepayment pursuant to paragraph 4A or 4B) according to the respective unpaid principal amounts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4E.</w:t>
      </w:r>
      <w:r>
        <w:rPr>
          <w:rFonts w:ascii="Times New Roman;Times;serif" w:hAnsi="Times New Roman;Times;serif"/>
          <w:b/>
          <w:sz w:val="22"/>
        </w:rPr>
        <w:t>Retirement of Notes</w:t>
      </w:r>
      <w:r>
        <w:rPr>
          <w:rFonts w:ascii="Times New Roman;Times;serif" w:hAnsi="Times New Roman;Times;serif"/>
          <w:sz w:val="22"/>
        </w:rPr>
        <w:t>. The Company shall not, and shall not permit any of its Subsidiaries or any other Affiliates to, prepay or otherwise retire in whole or in part prior to their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stated final maturity (other than by prepayment pursuant to paragraphs 4A or 4B, or upon acceleration of such final maturity pursuant to paragraph 7A), or purchase or otherwise acquire, directly or indirectly, Notes held by any holder unless the Company or such Subsidiary or Affiliate shall have offered to prepay or otherwise retire or purchase or otherwise acquire, as the case may be, the same proportion of the aggregate principal amount of Notes held by each other holder of Notes at the time outstanding upon the same terms and conditions. Any Notes so prepaid or otherwise retired or purchased or otherwise acquired by the Company or any of its Subsidiaries or other Affiliates shall not be deemed to be outstanding for any purpose under this Agreement, except as provided in paragraph 4D.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w:t>
      </w:r>
      <w:r>
        <w:rPr>
          <w:rFonts w:ascii="Times New Roman;Times;serif" w:hAnsi="Times New Roman;Times;serif"/>
          <w:b/>
          <w:caps/>
          <w:sz w:val="22"/>
        </w:rPr>
        <w:t>AFFIRMATIVE COVENANTS</w:t>
      </w:r>
      <w:r>
        <w:rPr>
          <w:rFonts w:ascii="Times New Roman;Times;serif" w:hAnsi="Times New Roman;Times;serif"/>
          <w:sz w:val="22"/>
        </w:rPr>
        <w:t>. On and after the Closing Day so long as any Note or amount due hereunder or under any other Transaction Document (other than any contingent indemnification obligation) is outstanding or unpaid, the Company covenants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5A.</w:t>
      </w:r>
      <w:r>
        <w:rPr>
          <w:rFonts w:ascii="Times New Roman;Times;serif" w:hAnsi="Times New Roman;Times;serif"/>
          <w:b/>
          <w:sz w:val="22"/>
        </w:rPr>
        <w:t>Financial Statements</w:t>
      </w:r>
      <w:r>
        <w:rPr>
          <w:rFonts w:ascii="Times New Roman;Times;serif" w:hAnsi="Times New Roman;Times;serif"/>
          <w:sz w:val="22"/>
        </w:rPr>
        <w:t>. The Company covenants that it will deliver to each holder of the Notes: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as soon as practicable and in any event within 60 days after the end of each quarterly period (other than the last quarterly period) in each fiscal year (or if earlier, 5 days after the date required to be filed with the SEC), consolidated statements of income and cash flows of the Company and its Subsidiaries for the period from the beginning of the current fiscal year to the end of such quarterly period, and a consolidated balance sheet of the Company and its Subsidiaries as at the end of such quarterly period, setting forth in each case in comparative form figures for the corresponding period in the preceding fiscal year, all in reasonable detail and certified by an authorized financial officer of the Company, subject only to changes resulting from year-end adjustments;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as soon as practicable and in any event within 120 days after the end of each fiscal year (or if earlier, 5 days after the date required to be filed with the SEC), consolidated statements of income and cash flows of the Company and its Subsidiaries for such year and a consolidated balance sheet of the Company and its Subsidiaries as at the end of such year, setting forth in each case in comparative form corresponding figures from the preceding annual audit, certified by independent public accountants of recognized national standing whose opinion shall be prepared in accordance with generally accepted auditing standards and shall not be subject to any “going concern” or like qualification or exception or any qualification or exception as to the scope of such audit,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so long as the Bank Credit Agreement shall have a similar provision, it shall not be a violation of this clause (ii) if the opinion accompanying the financial statements for the last fiscal year prior to the Maturity Date (as defined in the Bank Credit Agreement) is subject to a “going concern” or like qualification solely as a result of the impending maturity of the Loans (as defined in the Bank Credit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promptly upon transmission thereof, copies of all such financial, proxy and information statements, notices and other reports as are sent to the Company’s public stockholders and copies of all registration statements (without exhibits) and all reports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which are filed with the Securities and Exchange Commission (or any governmental body or agency succeeding to the functions of the Securities and Exchange Commission);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promptly upon receipt thereof, a copy of each other material report submitted to the Company or any of its Subsidiaries by independent accountants in connection with any material annual, interim or special audit made by them of the books of the Company or such Subsidiary;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promptly after the furnishing thereof, copies of any certificate, statement or report furnished to any other lender to, or holder of the debt securities of, the Company pursuant to the terms of any indenture, loan, credit or similar agreement or instrument and not otherwise required to be furnished to the holders of the Notes pursuant to any other clause of this paragraph 5A;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with reasonable promptness, such other financial data as any holder of Notes may reasonably request.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documents required to be delivered by clauses (i), (ii) and (iii) above (to the extent any such documents are included in materials otherwise filed with the SEC) may be delivered electronically and if so delivered, shall be deemed to have been delivered on the date on which the Company shall provide each holder of Notes (by electronic mail at such holder’s electronic mail address as set forth on the Purchaser Schedule for such holder or at such other electronic mail address as any such Purchaser shall have specified to the Company in writing) with an electronic link to such documents.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Together with each delivery of financial statements required by clauses (i) and (ii) above, the Company will deliver to each holder of Notes an Officers’ Certificate (a) demonstrating (with computations in reasonable detail) compliance with the covenants in paragraphs 6A(1), 6A(2), 6A(3), 6C(4) and 6C(6) (including with respect to each such covenant, where applicable, a reconciliation from GAAP, as reflected in the financial statements then being furnished, to the calculation of such financial covenants, after giving effect to any change in accounting for Capitalized Lease Obligations which has occurred after December 21, 2016), (b) listing each Material Subsidiary (and identifying whether or not such Material Subsidiary is a Domestic Material Subsidiary) as of the end of the applicable period to which the accompanying financial statements pertain and (c) stating that there exists no Default or Event of Default, or if any Default or Event of Default exists, specifying the nature and period of existence thereof and what action the Company proposes to take with respect thereto.</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Company also covenants that forthwith upon a Responsible Officer of the Company obtaining actual knowledge of an Event of Default or Default, it will deliver to each holder of Notes an Officers’ Certificate specifying the nature and period of existence thereof and what action the Company proposes to take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5B.</w:t>
      </w:r>
      <w:r>
        <w:rPr>
          <w:rFonts w:ascii="Times New Roman;Times;serif" w:hAnsi="Times New Roman;Times;serif"/>
          <w:b/>
          <w:sz w:val="22"/>
        </w:rPr>
        <w:t>Inspection of Property</w:t>
      </w:r>
      <w:r>
        <w:rPr>
          <w:rFonts w:ascii="Times New Roman;Times;serif" w:hAnsi="Times New Roman;Times;serif"/>
          <w:sz w:val="22"/>
        </w:rPr>
        <w:t>. The Company covenants that it will permit any Person designated by any Significant Holder in writing, at such Significant Holder’s expense, to visit and inspect any of the properties of the Company and its Subsidiaries, to examine their books and financial records and to make copies thereof or extracts therefrom and to discuss their affairs,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finances and accounts with the principal officers and the Company’s independent certified public accountants, all at such reasonable times and as often as such Significant Holder may reasonably request;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 principal financial officer of the Company shall have reasonable prior notice of, and may elect to be present during, discussions with the Company’s independent public accountants.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5C.</w:t>
      </w:r>
      <w:r>
        <w:rPr>
          <w:rFonts w:ascii="Times New Roman;Times;serif" w:hAnsi="Times New Roman;Times;serif"/>
          <w:b/>
          <w:sz w:val="22"/>
        </w:rPr>
        <w:t>Information Required by Rule </w:t>
      </w:r>
      <w:r>
        <w:rPr>
          <w:rFonts w:ascii="Times New Roman;Times;serif" w:hAnsi="Times New Roman;Times;serif"/>
          <w:b/>
          <w:caps/>
          <w:sz w:val="22"/>
        </w:rPr>
        <w:t>144A</w:t>
      </w:r>
      <w:r>
        <w:rPr>
          <w:rFonts w:ascii="Times New Roman;Times;serif" w:hAnsi="Times New Roman;Times;serif"/>
          <w:sz w:val="22"/>
        </w:rPr>
        <w:t>. The Company covenants that it will, upon the request of the holder of any Note, provide such holder, and any qualified institutional buyer designated by such holder, such financial and other information as such holder may reasonably determine to be necessary in order to permit compliance with the information requirements of Rule 144A under the Securities Act in connection with the resale of Notes, except at such times as the Company is subject to and in compliance with the reporting requirements of section 13 or 15(d) of the Exchange Act. For the purpose of this paragraph 5C, the term “</w:t>
      </w:r>
      <w:r>
        <w:rPr>
          <w:rFonts w:ascii="Times New Roman;Times;serif" w:hAnsi="Times New Roman;Times;serif"/>
          <w:b/>
          <w:sz w:val="22"/>
        </w:rPr>
        <w:t>qualified institutional buyer</w:t>
      </w:r>
      <w:r>
        <w:rPr>
          <w:rFonts w:ascii="Times New Roman;Times;serif" w:hAnsi="Times New Roman;Times;serif"/>
          <w:sz w:val="20"/>
        </w:rPr>
        <w:t xml:space="preserve">” </w:t>
      </w:r>
      <w:r>
        <w:rPr>
          <w:rFonts w:ascii="Times New Roman;Times;serif" w:hAnsi="Times New Roman;Times;serif"/>
          <w:sz w:val="22"/>
        </w:rPr>
        <w:t>shall have the meaning specified in Rule 144A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5D.</w:t>
      </w:r>
      <w:r>
        <w:rPr>
          <w:rFonts w:ascii="Times New Roman;Times;serif" w:hAnsi="Times New Roman;Times;serif"/>
          <w:b/>
          <w:sz w:val="22"/>
        </w:rPr>
        <w:t>Maintenance of Properties; Insurance</w:t>
      </w:r>
      <w:r>
        <w:rPr>
          <w:rFonts w:ascii="Times New Roman;Times;serif" w:hAnsi="Times New Roman;Times;serif"/>
          <w:sz w:val="22"/>
        </w:rPr>
        <w:t>. The Company covenants that it shall, and shall cause its Subsidiaries to (i) maintain or cause to be maintained in good repair, working order and condition all material properties used or useful at that time in its business and from time to time will make or cause to be made all appropriate repairs, renewals and replacements thereof and (ii) maintain insurance with reputable and financially sound insurers in such amounts and against such liabilities and hazards as is customarily maintained by other companies operating similar businesses.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5E.</w:t>
      </w:r>
      <w:r>
        <w:rPr>
          <w:rFonts w:ascii="Times New Roman;Times;serif" w:hAnsi="Times New Roman;Times;serif"/>
          <w:b/>
          <w:sz w:val="22"/>
        </w:rPr>
        <w:t>United States Citizen</w:t>
      </w:r>
      <w:r>
        <w:rPr>
          <w:rFonts w:ascii="Times New Roman;Times;serif" w:hAnsi="Times New Roman;Times;serif"/>
          <w:sz w:val="22"/>
        </w:rPr>
        <w:t>. The Company covenants that it will, and will cause each of its Subsidiaries that owns or operates any Vessel, at all times to preserve and maintain its status as a Section 2 Citizen.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5F.</w:t>
      </w:r>
      <w:r>
        <w:rPr>
          <w:rFonts w:ascii="Times New Roman;Times;serif" w:hAnsi="Times New Roman;Times;serif"/>
          <w:b/>
          <w:sz w:val="22"/>
        </w:rPr>
        <w:t>Environmental and Safety Laws</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Company shall deliver promptly to each holder of any Notes notice of (i) any material enforcement, cleanup, removal or other material governmental or regulatory action instituted or, to the Company’s best knowledge, threatened against the Company or any Material Subsidiary pursuant to any Environmental and Safety Laws, (ii) all material Environmental Liabilities and Costs against or in respect of the Company or any Material Subsidiary or any of their respective material properties and (iii) the Company’s or any Material Subsidiary’s discovery of any occurrence or condition on any material real property adjoining or in the vicinity of any of its properties that the Company or such Material Subsidiary has reason to believe would cause such property or any material part thereof to be subject to any material restrictions on its ownership, occupancy, transferability or use under any Environmental and Safety Laws.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Company shall, and shall cause its Material Subsidiaries to, keep and maintain its properties and conduct its and their operations in compliance in all material respects with all applicable Environmental and Safety Laws except where the failure to do so would not reasonably be expected to have a Material Adverse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5G.</w:t>
      </w:r>
      <w:r>
        <w:rPr>
          <w:rFonts w:ascii="Times New Roman;Times;serif" w:hAnsi="Times New Roman;Times;serif"/>
          <w:b/>
          <w:sz w:val="22"/>
        </w:rPr>
        <w:t>Equal and Ratable Liens.</w:t>
      </w:r>
      <w:r>
        <w:rPr>
          <w:rFonts w:ascii="Times New Roman;Times;serif" w:hAnsi="Times New Roman;Times;serif"/>
          <w:sz w:val="20"/>
        </w:rPr>
        <w:t xml:space="preserve"> </w:t>
      </w:r>
      <w:r>
        <w:rPr>
          <w:rFonts w:ascii="Times New Roman;Times;serif" w:hAnsi="Times New Roman;Times;serif"/>
          <w:sz w:val="22"/>
        </w:rPr>
        <w:t>If the Company or any of its Subsidiaries shall create, assume or otherwise incur any Lien upon any of its property or assets, whether now owned or hereafter acquired, other than Liens permitted by the provisions of paragraph 6C(1) (including in such permitted Liens, without limitation, Liens securing Title XI Debt to the extent such Title XI Debt is permitted Priority Debt), then the Company will make, or will cause its Subsidiaries to make, effective provision whereby the obligations evidenced by the Notes and under the other Transaction Documents will be secured by such Liens equally and ratably with any and all other Debt thereby secured so long as any such other Debt shall be so secured pursuant to an agreement or agreements (including security agreements and similar collateral documents and an intercreditor agreement) reasonably acceptable to the Required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5H.</w:t>
      </w:r>
      <w:r>
        <w:rPr>
          <w:rFonts w:ascii="Times New Roman;Times;serif" w:hAnsi="Times New Roman;Times;serif"/>
          <w:b/>
          <w:sz w:val="22"/>
        </w:rPr>
        <w:t>Subsequent Guarantors; Release of Guarantors</w:t>
      </w:r>
      <w:r>
        <w:rPr>
          <w:rFonts w:ascii="Times New Roman;Times;serif" w:hAnsi="Times New Roman;Times;serif"/>
          <w:sz w:val="22"/>
        </w:rPr>
        <w:t>. (a) Together with each delivery of financial statements required by paragraphs 5A(i) or (ii), the Company shall notify the holders of the Notes in writing if any Subsidiary has become a Material Domestic Subsidiary. The Company covenants that, upon the earlier of (i) 30 days after any notice referred to in the immediately preceding sentence (or such longer period as determined in writing by the Required Holders in their sole discretion) if such Subsidiary is not a Guarantor at such time, and (ii) such time as any Person becomes a guarantor or other obligor under the Bank Credit Agreement or any Other Note Agreement, the Company shall cause such Person to (1) become a party to each of the Multiparty Guaranty and the Indemnity and Contribution Agreement by executing and delivering to the holders of the Notes a joinder or counterpart to the Multiparty Guaranty and the Indemnity and Contribution Agreement, and (2) deliver to the holders of the Notes such organization documents, resolutions and favorable opinions of counsel, all in form, content and scope similar to those delivered on the Closing Day or otherwise reasonably satisfactory to the Required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If (i) any Guarantor ceases to be a Material Domestic Subsidiary (based on the most recent financial statements delivered to the holders of the Notes pursuant to paragraphs 5A(i) or (ii)), or (ii) if any Person which has become a Guarantor by virtue of clause (ii) of the second sentence of paragraph 5H(a) (and which is not at the applicable time of determination a Material Domestic Subsidiary (based on the most recent financial statements delivered to the holders of the Notes pursuant to paragraphs 5A(i) or (ii))) ceases to be required to be a guarantor or other obligor of the credit facilities under the Bank Credit Agreement and each Other Note Agreement, and if, in the case of either of the immediately preceding clause (i) or (ii), after giving effect to the release of such Guarantor of its obligations under the Multiparty Guaranty, no Default or Event of Default would exist, then the Company may deliver to each holder of Notes a certificate of a Responsible Officer as to the foregoing requirements and, upon the later of (x) such delivery and (y) concurrently with such time as that Guarantor has been released from all of its obligations as a guarantor or other obligor of the credit facilities under the Bank Credit Agreement and each Other Note Agreement, that Guarantor shall be released automatically from all of its obligations under the Multiparty Guaranty and the Indemnity and Contribution Agreement, without further approval or action by any holder of Notes;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any consideration is given to any party to the Bank Credit Agreement or any Other Note Agreement for such release of such Guarantor, then the holders of the Notes shall be paid an amount equal to their ratable share of such consideration concurrently therewith.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5I.</w:t>
      </w:r>
      <w:r>
        <w:rPr>
          <w:rFonts w:ascii="Times New Roman;Times;serif" w:hAnsi="Times New Roman;Times;serif"/>
          <w:b/>
          <w:sz w:val="22"/>
        </w:rPr>
        <w:t>Collateral</w:t>
      </w:r>
      <w:r>
        <w:rPr>
          <w:rFonts w:ascii="Times New Roman;Times;serif" w:hAnsi="Times New Roman;Times;serif"/>
          <w:sz w:val="22"/>
        </w:rPr>
        <w:t>. At any time and from time to time, at the written election of the Company delivered to the holders of the Notes (a “</w:t>
      </w:r>
      <w:r>
        <w:rPr>
          <w:rFonts w:ascii="Times New Roman;Times;serif" w:hAnsi="Times New Roman;Times;serif"/>
          <w:b/>
          <w:sz w:val="22"/>
        </w:rPr>
        <w:t>Collateral Election</w:t>
      </w:r>
      <w:r>
        <w:rPr>
          <w:rFonts w:ascii="Times New Roman;Times;serif" w:hAnsi="Times New Roman;Times;serif"/>
          <w:sz w:val="20"/>
        </w:rPr>
        <w:t>”</w:t>
      </w:r>
      <w:r>
        <w:rPr>
          <w:rFonts w:ascii="Times New Roman;Times;serif" w:hAnsi="Times New Roman;Times;serif"/>
          <w:sz w:val="22"/>
        </w:rPr>
        <w:t>), the Company shall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deliver to the Collateral Agent, or shall cause Matson Navigation and/or one or more other Guarantors, as applicable, to deliver to the Collateral Agent, effective on such date or on a Business Day thereafter as specified in the Collateral Election: (i) one or more Security Agreements (each duly executed by the applicable grantor under such Security Agreement) and such other documents as are necessary for the due perfection of the Collateral Agent’s Lien in the applicable Collateral; and (ii) upon the original execution of each Security Agreement, resolutions in form and substance relating thereto reasonably satisfactory to the Required Holders and the Collateral Agent</w:t>
      </w:r>
      <w:r>
        <w:rPr>
          <w:rFonts w:ascii="Times New Roman;Times;serif" w:hAnsi="Times New Roman;Times;serif"/>
          <w:color w:val="0000FF"/>
          <w:sz w:val="22"/>
          <w:u w:val="single"/>
        </w:rPr>
        <w:t>; provided that at any time the Credit Parties have granted a Lien on the Collateral under the Bank Credit Agreement, the Company shall be required to deliver such documentation as is necessary to perfect the Collateral Agent’s Lien on such Collateral on a pari passu basis</w:t>
      </w:r>
      <w:r>
        <w:rPr>
          <w:rFonts w:ascii="Times New Roman;Times;serif" w:hAnsi="Times New Roman;Times;serif"/>
          <w:sz w:val="22"/>
        </w:rPr>
        <w:t>. In addition, from time to time on or after the date hereof the Company may enter into additional note purchase and/or credit agreements with lenders which are not party to the Intercreditor Agreement as of the date hereof for purpose of such additional note purchase and/or credit agreements, and the Company may designate, at the written election of the Company delivered to the holders of the Notes, such lenders to become parties to the Intercreditor Agreement. Notwithstanding the foregoing, so long as no Default has occurred and is continuing, the Company may, at any time and from time to time, by written notice thereof of the Company delivered to the holders of the Notes, elect to revoke, or cause Matson Navigation and/or one or more other Guarantors, as applicable, to revoke any prior Collateral Election with respect to one or more (as applicable) Security Agreements, and the holders of the Notes hereby consent to the Collateral Agent’s delivering, at the expense of the Company, such releases as are necessary to evidence the termination of the applicable Liens</w:t>
      </w:r>
      <w:r>
        <w:rPr>
          <w:rFonts w:ascii="Times New Roman;Times;serif" w:hAnsi="Times New Roman;Times;serif"/>
          <w:color w:val="FF0000"/>
          <w:sz w:val="22"/>
        </w:rPr>
        <w:t>.</w:t>
      </w:r>
      <w:r>
        <w:rPr>
          <w:rFonts w:ascii="Times New Roman;Times;serif" w:hAnsi="Times New Roman;Times;serif"/>
          <w:color w:val="0000FF"/>
          <w:sz w:val="22"/>
          <w:u w:val="single"/>
        </w:rPr>
        <w:t>; provided, however, that any such revocation shall not be effective unless a corresponding revocation is made with respect to each other note purchase and/or credit agreements (including, without limitation, the Bank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5J.</w:t>
      </w:r>
      <w:r>
        <w:rPr>
          <w:rFonts w:ascii="Times New Roman;Times;serif" w:hAnsi="Times New Roman;Times;serif"/>
          <w:b/>
          <w:sz w:val="22"/>
        </w:rPr>
        <w:t>Rating Confirmation</w:t>
      </w:r>
      <w:r>
        <w:rPr>
          <w:rFonts w:ascii="Times New Roman;Times;serif" w:hAnsi="Times New Roman;Times;serif"/>
          <w:sz w:val="22"/>
        </w:rPr>
        <w:t>. The Company covenants that it will obtain, by not later than the earlier of June 30, 2018 and the beginning of the Special Relief Period, and thereafter use its reasonable best efforts to cause to be maintained at all times until December 31, 2021, but only if the Consolidated Leverage Ratio is 2.50:1.00 or less as of such date (as reflected in the Officer’s Certificate required to accompany the financial statements for December 31, 2021 delivered pursuant to paragraph 5A(ii)), and otherwise until December 31, 2022, at its sole cost and expense, a Credit Rating from at least one Rating Agency. On or before November 30 of each year when a Credit Rating is required to be maintained the Company further covenants and agrees it will provide a notice to each of the holders of the Notes sent in the manner provided in paragraph 11I with respect to any then current Credit Ratings.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5K.</w:t>
      </w:r>
      <w:r>
        <w:rPr>
          <w:rFonts w:ascii="Times New Roman;Times;serif" w:hAnsi="Times New Roman;Times;serif"/>
          <w:b/>
          <w:sz w:val="22"/>
        </w:rPr>
        <w:t>Most-Favored Lender</w:t>
      </w:r>
      <w:r>
        <w:rPr>
          <w:rFonts w:ascii="Times New Roman;Times;serif" w:hAnsi="Times New Roman;Times;serif"/>
          <w:sz w:val="22"/>
        </w:rPr>
        <w:t>. If the Company shall at any time on or after March 31, 2020 enter into any modification, amendment or restatement of any of the Bank Credit Agreement, the Pru Note Agreement or the NYL Note Agreements in any manner which (a) has added or subsequently adds additional financial or negative covenants and/or events of default for the benefit of the lenders under any of such other financing agreements or (b) has made or subsequently makes the financial or negative covenants and/or events of default set forth therein more restrictive on the Company or any Subsidiary than the covenants and/or events of default contained in this Agreement, then such additional or more restrictive financial or negative covenants, events of default and any related definitions (the “</w:t>
      </w:r>
      <w:r>
        <w:rPr>
          <w:rFonts w:ascii="Times New Roman;Times;serif" w:hAnsi="Times New Roman;Times;serif"/>
          <w:b/>
          <w:sz w:val="22"/>
        </w:rPr>
        <w:t>Additional Provisions</w:t>
      </w:r>
      <w:r>
        <w:rPr>
          <w:rFonts w:ascii="Times New Roman;Times;serif" w:hAnsi="Times New Roman;Times;serif"/>
          <w:sz w:val="20"/>
        </w:rPr>
        <w:t>”</w:t>
      </w:r>
      <w:r>
        <w:rPr>
          <w:rFonts w:ascii="Times New Roman;Times;serif" w:hAnsi="Times New Roman;Times;serif"/>
          <w:sz w:val="22"/>
        </w:rPr>
        <w:t>) shall automatically be deemed to be incorporated into this Agreement by reference and this Agreement shall be deemed to be amended to include such Additional Provisions from the time any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modification, amendment or restatement of such applicable other financing agreement becomes binding upon the Company. Promptly but in no event more than five (5) Business Days following the execution of any agreement providing for Additional Provisions, the Company shall furnish the holders of the Notes with a copy of such agreement. Upon written request of the Required Holders, the Company will enter into an amendment to this Agreement pursuant to which this Agreement will be formally amended to incorporate the Additional Provisions on the terms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w:t>
      </w:r>
      <w:r>
        <w:rPr>
          <w:rFonts w:ascii="Times New Roman;Times;serif" w:hAnsi="Times New Roman;Times;serif"/>
          <w:b/>
          <w:caps/>
          <w:sz w:val="22"/>
        </w:rPr>
        <w:t>NEGATIVE COVENANTS</w:t>
      </w:r>
      <w:r>
        <w:rPr>
          <w:rFonts w:ascii="Times New Roman;Times;serif" w:hAnsi="Times New Roman;Times;serif"/>
          <w:sz w:val="22"/>
        </w:rPr>
        <w:t>. On and after the Closing Day so long as any Note or amount due hereunder or under any other Transaction Document (other than any contingent indemnification obligation) is outstanding or unpaid, the Company covenants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6A.</w:t>
      </w:r>
      <w:r>
        <w:rPr>
          <w:rFonts w:ascii="Times New Roman;Times;serif" w:hAnsi="Times New Roman;Times;serif"/>
          <w:b/>
          <w:sz w:val="22"/>
        </w:rPr>
        <w:t>Financial Covenants</w:t>
      </w:r>
      <w:r>
        <w:rPr>
          <w:rFonts w:ascii="Times New Roman;Times;serif" w:hAnsi="Times New Roman;Times;serif"/>
          <w:sz w:val="22"/>
        </w:rPr>
        <w:t>. The Company will not permit: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6A(1).</w:t>
      </w:r>
      <w:r>
        <w:rPr>
          <w:rFonts w:ascii="Times New Roman;Times;serif" w:hAnsi="Times New Roman;Times;serif"/>
          <w:b/>
          <w:color w:val="FF0000"/>
          <w:sz w:val="22"/>
        </w:rPr>
        <w:t>Consolidated Interest Coverage Ratio</w:t>
      </w:r>
      <w:r>
        <w:rPr>
          <w:rFonts w:ascii="Times New Roman;Times;serif" w:hAnsi="Times New Roman;Times;serif"/>
          <w:color w:val="FF0000"/>
          <w:sz w:val="22"/>
        </w:rPr>
        <w:t>. The Consolidated Interest Coverage Ratio as of the end of any fiscal quarter of the Company to be less than 3.50 to 1.00</w:t>
      </w:r>
      <w:r>
        <w:rPr>
          <w:rFonts w:ascii="Times New Roman;Times;serif" w:hAnsi="Times New Roman;Times;serif"/>
          <w:b/>
          <w:color w:val="0000FF"/>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6A(2).</w:t>
      </w:r>
      <w:r>
        <w:rPr>
          <w:rFonts w:ascii="Times New Roman;Times;serif" w:hAnsi="Times New Roman;Times;serif"/>
          <w:b/>
          <w:sz w:val="22"/>
        </w:rPr>
        <w:t>Consolidated Leverage Ratio</w:t>
      </w:r>
      <w:r>
        <w:rPr>
          <w:rFonts w:ascii="Times New Roman;Times;serif" w:hAnsi="Times New Roman;Times;serif"/>
          <w:sz w:val="22"/>
        </w:rPr>
        <w:t>. The ratio (the “</w:t>
      </w:r>
      <w:r>
        <w:rPr>
          <w:rFonts w:ascii="Times New Roman;Times;serif" w:hAnsi="Times New Roman;Times;serif"/>
          <w:b/>
          <w:sz w:val="22"/>
        </w:rPr>
        <w:t>Consolidated Leverage Ratio</w:t>
      </w:r>
      <w:r>
        <w:rPr>
          <w:rFonts w:ascii="Times New Roman;Times;serif" w:hAnsi="Times New Roman;Times;serif"/>
          <w:sz w:val="20"/>
        </w:rPr>
        <w:t>”</w:t>
      </w:r>
      <w:r>
        <w:rPr>
          <w:rFonts w:ascii="Times New Roman;Times;serif" w:hAnsi="Times New Roman;Times;serif"/>
          <w:sz w:val="22"/>
        </w:rPr>
        <w:t xml:space="preserve">) of (a) all Debt of the Company and Subsidiaries on a consolidated basis at any time to (b) Consolidated EBITDA for the period of four consecutive fiscal quarters then or most recently ended to exceed 3.50 to 1.00;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in connection with any Acquisition that is not a Hostile Acquisition and that is in an Eligible Business Line for which the aggregate purchase consideration equals or exceeds $75,000,000, the maximum permitted Consolidated Leverage Ratio, at the election of the Company, with prior written notice from the Company to the holders of the Notes, shall increase to 4.00 to 1.00, on one occasion during the term of this Agreement, for the period beginning on the date of the consummation of such Acquisition and continuing until the fourth consecutive fiscal quarter end which occurs on or after the date of the consummation of such Acquisition,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coupon (including the applicable default rate) for the Notes shall automatically, without further consent or other action of any Person, be deemed to be increased by 0.50% per annum during such period (which increase shall (i) be in addition to the applicable Interest Enhancement Payment that applies during such period or any portion thereof, and (ii) automatically, without further consent or other action of any Person, be deemed to return to the original coupon (including (i) the applicable Interest Enhancement Payment, and (ii) the applicable default rate) after the end of such period);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6A(3).</w:t>
      </w:r>
      <w:r>
        <w:rPr>
          <w:rFonts w:ascii="Times New Roman;Times;serif" w:hAnsi="Times New Roman;Times;serif"/>
          <w:b/>
          <w:sz w:val="22"/>
        </w:rPr>
        <w:t>Priority Debt</w:t>
      </w:r>
      <w:r>
        <w:rPr>
          <w:rFonts w:ascii="Times New Roman;Times;serif" w:hAnsi="Times New Roman;Times;serif"/>
          <w:sz w:val="22"/>
        </w:rPr>
        <w:t xml:space="preserve">. The Company shall not permit: (i) the principal amount of Priority Debt at any time to exceed 20% of Consolidated Tangible Assets as of the most recently ended fiscal quarter with respect to which financial statements have been delivered pursuant to the requirements of paragraphs 5A(i) or (ii) of this Agreement; </w:t>
      </w:r>
      <w:r>
        <w:rPr>
          <w:rFonts w:ascii="Times New Roman;Times;serif" w:hAnsi="Times New Roman;Times;serif"/>
          <w:color w:val="FF0000"/>
          <w:sz w:val="22"/>
          <w:u w:val="single"/>
        </w:rPr>
        <w:t>provided</w:t>
      </w:r>
      <w:r>
        <w:rPr>
          <w:rFonts w:ascii="Times New Roman;Times;serif" w:hAnsi="Times New Roman;Times;serif"/>
          <w:color w:val="FF0000"/>
          <w:sz w:val="22"/>
        </w:rPr>
        <w:t>, that such maximum permitted percentage amount of Priority Debt shall be reduced to 17.5% upon the earlier to occur of (a) such time, if any, as the Company or any of its Subsidiaries acquires two new vessels for which the aggregate purchase consideration for each vessel exceeds $100,000,000 and (b) December 31, 2017;</w:t>
      </w:r>
      <w:r>
        <w:rPr>
          <w:rFonts w:ascii="Times New Roman;Times;serif" w:hAnsi="Times New Roman;Times;serif"/>
          <w:sz w:val="20"/>
        </w:rPr>
        <w:t xml:space="preserve"> </w:t>
      </w:r>
      <w:r>
        <w:rPr>
          <w:rFonts w:ascii="Times New Roman;Times;serif" w:hAnsi="Times New Roman;Times;serif"/>
          <w:sz w:val="22"/>
        </w:rPr>
        <w:t>and (ii) the principal amount of Priority Debt that is not Title XI Debt at any time to exceed 10% of Consolidated Tangible Assets as of the most recently ended fiscal quarter with respect to which financial statements have been delivered pursuant to the requirements of paragraphs 5A(i) or (ii)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6B.</w:t>
      </w:r>
      <w:r>
        <w:rPr>
          <w:rFonts w:ascii="Times New Roman;Times;serif" w:hAnsi="Times New Roman;Times;serif"/>
          <w:b/>
          <w:sz w:val="22"/>
        </w:rPr>
        <w:t>Restricted Payments Limitation</w:t>
      </w:r>
      <w:r>
        <w:rPr>
          <w:rFonts w:ascii="Times New Roman;Times;serif" w:hAnsi="Times New Roman;Times;serif"/>
          <w:sz w:val="22"/>
        </w:rPr>
        <w:t>. The Company covenants that it will not pay or declare any dividend on any class of stock or make any other distribution on account of any class of its stock, or redeem, purchase or otherwise acquire (or permit any Subsidiary to redeem, purchase or otherwise acquire), directly or indirectly, any shares of the Company’s stock (all of the foregoing being herein called “</w:t>
      </w:r>
      <w:r>
        <w:rPr>
          <w:rFonts w:ascii="Times New Roman;Times;serif" w:hAnsi="Times New Roman;Times;serif"/>
          <w:b/>
          <w:sz w:val="22"/>
        </w:rPr>
        <w:t>Restricted Payments</w:t>
      </w:r>
      <w:r>
        <w:rPr>
          <w:rFonts w:ascii="Times New Roman;Times;serif" w:hAnsi="Times New Roman;Times;serif"/>
          <w:sz w:val="20"/>
        </w:rPr>
        <w:t>”</w:t>
      </w:r>
      <w:r>
        <w:rPr>
          <w:rFonts w:ascii="Times New Roman;Times;serif" w:hAnsi="Times New Roman;Times;serif"/>
          <w:sz w:val="22"/>
        </w:rPr>
        <w:t>) if at the time any proposed Restricted Payment is to be made, or after giving effect to any proposed Restricted Payment, a Default or an Event of Default exists or would exist.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6C.</w:t>
      </w:r>
      <w:r>
        <w:rPr>
          <w:rFonts w:ascii="Times New Roman;Times;serif" w:hAnsi="Times New Roman;Times;serif"/>
          <w:b/>
          <w:sz w:val="22"/>
        </w:rPr>
        <w:t>Lien and Other Restrictions</w:t>
      </w:r>
      <w:r>
        <w:rPr>
          <w:rFonts w:ascii="Times New Roman;Times;serif" w:hAnsi="Times New Roman;Times;serif"/>
          <w:sz w:val="22"/>
        </w:rPr>
        <w:t>. The Company covenants that it will not and will not permit any Subsidiary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6C(1).</w:t>
      </w:r>
      <w:r>
        <w:rPr>
          <w:rFonts w:ascii="Times New Roman;Times;serif" w:hAnsi="Times New Roman;Times;serif"/>
          <w:b/>
          <w:sz w:val="22"/>
        </w:rPr>
        <w:t>Liens</w:t>
      </w:r>
      <w:r>
        <w:rPr>
          <w:rFonts w:ascii="Times New Roman;Times;serif" w:hAnsi="Times New Roman;Times;serif"/>
          <w:sz w:val="22"/>
        </w:rPr>
        <w:t>. Create, assume or suffer to exist any Lien upon any of its property or assets, whether now owned or hereafter acquired (whether or not provision is made for the equal and ratable securing of the obligations evidenced by the Notes and under the other Transaction Documents in accordance with the provisions of paragraph 5G), except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Liens for taxes not yet delinquent or which are being actively contested in good faith by appropriate proceedings and for which adequate reserves have been established to the extent required by GAAP,</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Liens (other than Liens pursuant to ERISA) incidental to the conduct of its business or the ownership of its property and assets which were not incurred in connection with the borrowing of money or the obtaining of advances or credit (including, without limitation, Liens on vessels or equipment (a) for crew and stevedores wages, (b) for salvage and general average, (c) arising by operation of law in the ordinary course of business in operating, maintaining or repairing vessels, and (d) for damages arising from maritime torts which are unclaimed, or which are claimed and are covered by insurance and any deductible applicable thereto), and which do not in the aggregate materially detract from the value of its property or assets or materially impair the use thereof in the operation of its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Liens on property or assets of a Subsidiary securing obligations of such Subsidiary to the Company or another Subsidiary,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Liens encumbering the CCF to the extent incurred to secure the financing by the Company or Matson Navigation of “qualified vessels” as defined in Section 607 of the Merchant Marine Act, 1936, as amended,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 xml:space="preserve">Liens existing on the date of this Agreement and listed on </w:t>
      </w:r>
      <w:r>
        <w:rPr>
          <w:rFonts w:ascii="Times New Roman;Times;serif" w:hAnsi="Times New Roman;Times;serif"/>
          <w:sz w:val="22"/>
          <w:u w:val="single"/>
        </w:rPr>
        <w:t>Schedule 6C(1)</w:t>
      </w:r>
      <w:r>
        <w:rPr>
          <w:rFonts w:ascii="Times New Roman;Times;serif" w:hAnsi="Times New Roman;Times;serif"/>
          <w:sz w:val="22"/>
        </w:rPr>
        <w:t xml:space="preserve">, and any renewals or extensions thereof,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property covered thereby is not changed (except for accessions to such property and the proceeds and the products therefrom) and the principal amount of any indebtedness secured thereby is not increased,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 xml:space="preserve">Liens in cash collateral securing contingent reimbursement obligations under standby letters of credit issued pursuant to the Bank Credit Agreement (but excluding any such Liens required pursuant to Section 8.02(c) of the Bank Credit Agreement, as such section was in effect on </w:t>
      </w:r>
      <w:r>
        <w:rPr>
          <w:rFonts w:ascii="Times New Roman;Times;serif" w:hAnsi="Times New Roman;Times;serif"/>
          <w:color w:val="FF0000"/>
          <w:sz w:val="22"/>
        </w:rPr>
        <w:t>June 4</w:t>
      </w:r>
      <w:r>
        <w:rPr>
          <w:rFonts w:ascii="Times New Roman;Times;serif" w:hAnsi="Times New Roman;Times;serif"/>
          <w:color w:val="0000FF"/>
          <w:sz w:val="22"/>
          <w:u w:val="single"/>
        </w:rPr>
        <w:t>July 23</w:t>
      </w:r>
      <w:r>
        <w:rPr>
          <w:rFonts w:ascii="Times New Roman;Times;serif" w:hAnsi="Times New Roman;Times;serif"/>
          <w:sz w:val="22"/>
        </w:rPr>
        <w:t xml:space="preserve">, </w:t>
      </w:r>
      <w:r>
        <w:rPr>
          <w:rFonts w:ascii="Times New Roman;Times;serif" w:hAnsi="Times New Roman;Times;serif"/>
          <w:color w:val="FF0000"/>
          <w:sz w:val="22"/>
        </w:rPr>
        <w:t>2012</w:t>
      </w:r>
      <w:r>
        <w:rPr>
          <w:rFonts w:ascii="Times New Roman;Times;serif" w:hAnsi="Times New Roman;Times;serif"/>
          <w:color w:val="0000FF"/>
          <w:sz w:val="22"/>
          <w:u w:val="single"/>
        </w:rPr>
        <w:t>2025</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 no Event of Default or Event of Default (as defined in the Bank Credit Agreement) exists, (b) the aggregate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amount of all such cash collateral does not at any time exceed $20,000,000, and (c) such cash collateral does not secure such standby letters of credit for more than 60 consecutive days,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w:t>
      </w:r>
      <w:r>
        <w:rPr>
          <w:rFonts w:ascii="Times New Roman;Times;serif" w:hAnsi="Times New Roman;Times;serif"/>
          <w:sz w:val="22"/>
        </w:rPr>
        <w:t xml:space="preserve">other Liens securing Debt and other obligations not otherwise permitted by clauses (i) through (vi) above, inclusive;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aggregate amount of all Priority Debt does not, at any time, exceed the level prohibited by paragraph 6A(3), </w:t>
      </w:r>
      <w:r>
        <w:rPr>
          <w:rFonts w:ascii="Times New Roman;Times;serif" w:hAnsi="Times New Roman;Times;serif"/>
          <w:sz w:val="22"/>
          <w:u w:val="single"/>
        </w:rPr>
        <w:t>provided further</w:t>
      </w:r>
      <w:r>
        <w:rPr>
          <w:rFonts w:ascii="Times New Roman;Times;serif" w:hAnsi="Times New Roman;Times;serif"/>
          <w:sz w:val="20"/>
        </w:rPr>
        <w:t xml:space="preserve"> </w:t>
      </w:r>
      <w:r>
        <w:rPr>
          <w:rFonts w:ascii="Times New Roman;Times;serif" w:hAnsi="Times New Roman;Times;serif"/>
          <w:sz w:val="22"/>
        </w:rPr>
        <w:t xml:space="preserve">that, notwithstanding the foregoing, the Company shall not, and shall not permit any Subsidiary to, create or permit to exist any Lien on any property securing Debt or letters of credit (to the extent any letters of credit otherwise would not constitute Debt pursuant to the definition of such term) outstanding or issued under the Bank Credit Agreement (other than </w:t>
      </w:r>
      <w:r>
        <w:rPr>
          <w:rFonts w:ascii="Times New Roman;Times;serif" w:hAnsi="Times New Roman;Times;serif"/>
          <w:color w:val="FF0000"/>
          <w:sz w:val="22"/>
        </w:rPr>
        <w:t>(x) Collateral and/or (y)</w:t>
      </w:r>
      <w:r>
        <w:rPr>
          <w:rFonts w:ascii="Times New Roman;Times;serif" w:hAnsi="Times New Roman;Times;serif"/>
          <w:sz w:val="20"/>
        </w:rPr>
        <w:t xml:space="preserve"> </w:t>
      </w:r>
      <w:r>
        <w:rPr>
          <w:rFonts w:ascii="Times New Roman;Times;serif" w:hAnsi="Times New Roman;Times;serif"/>
          <w:sz w:val="22"/>
        </w:rPr>
        <w:t xml:space="preserve">Liens permitted pursuant to clause (vi) of this paragraph 6C(1)) unless and until the Notes shall be secured equally and ratably with such Debt and letters of credit pursuant to an agreement or agreements (including security agreements and similar collateral documents and an intercreditor agreement) reasonably acceptable to the Required Holders, </w:t>
      </w:r>
      <w:r>
        <w:rPr>
          <w:rFonts w:ascii="Times New Roman;Times;serif" w:hAnsi="Times New Roman;Times;serif"/>
          <w:sz w:val="22"/>
          <w:u w:val="single"/>
        </w:rPr>
        <w:t>provided further still</w:t>
      </w:r>
      <w:r>
        <w:rPr>
          <w:rFonts w:ascii="Times New Roman;Times;serif" w:hAnsi="Times New Roman;Times;serif"/>
          <w:sz w:val="20"/>
        </w:rPr>
        <w:t xml:space="preserve"> </w:t>
      </w:r>
      <w:r>
        <w:rPr>
          <w:rFonts w:ascii="Times New Roman;Times;serif" w:hAnsi="Times New Roman;Times;serif"/>
          <w:sz w:val="22"/>
        </w:rPr>
        <w:t>that, notwithstanding anything to the contrary in the immediately preceding proviso, (1) any cash which otherwise would secure the Notes, the notes issued under any Other Note Agreements, and contingent reimbursement obligations under letters of credit issued pursuant to the Bank Credit Agreement may, at the option of the Company, separately secure the Notes, the notes issued under any Other Note Agreements, and the contingent reimbursement obligations under letters of credit issued pursuant to the Bank Credit Agreement so long as the amount of cash which separately secures the Notes at all times equals the amount of cash securing the contingent reimbursement obligations under letters of credit issued under the Bank Credit Agreement and (2) the amount of any cash securing the Notes at any time pursuant to the immediately preceding clause (1) shall not be required to exceed the principal amount of the Notes outstanding at such time,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(viii)</w:t>
      </w:r>
      <w:r>
        <w:rPr>
          <w:rFonts w:ascii="Times New Roman;Times;serif" w:hAnsi="Times New Roman;Times;serif"/>
          <w:sz w:val="22"/>
        </w:rPr>
        <w:t xml:space="preserve">(a) other Liens securing obligations that do not constitute Debt,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aggregate amount of such obligations </w:t>
      </w:r>
      <w:r>
        <w:rPr>
          <w:rFonts w:ascii="Times New Roman;Times;serif" w:hAnsi="Times New Roman;Times;serif"/>
          <w:color w:val="0000FF"/>
          <w:sz w:val="22"/>
          <w:u w:val="single"/>
        </w:rPr>
        <w:t>at any time outstanding</w:t>
      </w:r>
      <w:r>
        <w:rPr>
          <w:rFonts w:ascii="Times New Roman;Times;serif" w:hAnsi="Times New Roman;Times;serif"/>
          <w:sz w:val="20"/>
        </w:rPr>
        <w:t xml:space="preserve"> </w:t>
      </w:r>
      <w:r>
        <w:rPr>
          <w:rFonts w:ascii="Times New Roman;Times;serif" w:hAnsi="Times New Roman;Times;serif"/>
          <w:sz w:val="22"/>
        </w:rPr>
        <w:t xml:space="preserve">does not exceed </w:t>
      </w:r>
      <w:r>
        <w:rPr>
          <w:rFonts w:ascii="Times New Roman;Times;serif" w:hAnsi="Times New Roman;Times;serif"/>
          <w:color w:val="0000FF"/>
          <w:sz w:val="22"/>
          <w:u w:val="single"/>
        </w:rPr>
        <w:t>the greater of (x)</w:t>
      </w:r>
      <w:r>
        <w:rPr>
          <w:rFonts w:ascii="Times New Roman;Times;serif" w:hAnsi="Times New Roman;Times;serif"/>
          <w:sz w:val="20"/>
        </w:rPr>
        <w:t xml:space="preserve"> </w:t>
      </w:r>
      <w:r>
        <w:rPr>
          <w:rFonts w:ascii="Times New Roman;Times;serif" w:hAnsi="Times New Roman;Times;serif"/>
          <w:sz w:val="22"/>
        </w:rPr>
        <w:t>$</w:t>
      </w:r>
      <w:r>
        <w:rPr>
          <w:rFonts w:ascii="Times New Roman;Times;serif" w:hAnsi="Times New Roman;Times;serif"/>
          <w:color w:val="FF0000"/>
          <w:sz w:val="22"/>
        </w:rPr>
        <w:t>25,000,000 at any time</w:t>
      </w:r>
      <w:r>
        <w:rPr>
          <w:rFonts w:ascii="Times New Roman;Times;serif" w:hAnsi="Times New Roman;Times;serif"/>
          <w:color w:val="0000FF"/>
          <w:sz w:val="22"/>
          <w:u w:val="single"/>
        </w:rPr>
        <w:t>50,000,000 and (y) 5% of Consolidated EBITDA for the most recently ended four fiscal quarters of the Company for which financial statements have been delivered pursuant to this Agreement</w:t>
      </w:r>
      <w:r>
        <w:rPr>
          <w:rFonts w:ascii="Times New Roman;Times;serif" w:hAnsi="Times New Roman;Times;serif"/>
          <w:sz w:val="20"/>
        </w:rPr>
        <w:t xml:space="preserve"> </w:t>
      </w:r>
      <w:r>
        <w:rPr>
          <w:rFonts w:ascii="Times New Roman;Times;serif" w:hAnsi="Times New Roman;Times;serif"/>
          <w:sz w:val="22"/>
        </w:rPr>
        <w:t xml:space="preserve">and (b) other Liens securing obligations that do not constitute Debt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aggregate fair market value (as reasonably determined by the Company acting in good faith) of all assets subject to such </w:t>
      </w:r>
      <w:r>
        <w:rPr>
          <w:rFonts w:ascii="Times New Roman;Times;serif" w:hAnsi="Times New Roman;Times;serif"/>
          <w:color w:val="FF0000"/>
          <w:sz w:val="22"/>
        </w:rPr>
        <w:t>Lien</w:t>
      </w:r>
      <w:r>
        <w:rPr>
          <w:rFonts w:ascii="Times New Roman;Times;serif" w:hAnsi="Times New Roman;Times;serif"/>
          <w:color w:val="0000FF"/>
          <w:sz w:val="22"/>
          <w:u w:val="single"/>
        </w:rPr>
        <w:t>Liens</w:t>
      </w:r>
      <w:r>
        <w:rPr>
          <w:rFonts w:ascii="Times New Roman;Times;serif" w:hAnsi="Times New Roman;Times;serif"/>
          <w:sz w:val="20"/>
        </w:rPr>
        <w:t xml:space="preserve"> </w:t>
      </w:r>
      <w:r>
        <w:rPr>
          <w:rFonts w:ascii="Times New Roman;Times;serif" w:hAnsi="Times New Roman;Times;serif"/>
          <w:sz w:val="22"/>
        </w:rPr>
        <w:t xml:space="preserve">does not </w:t>
      </w:r>
      <w:r>
        <w:rPr>
          <w:rFonts w:ascii="Times New Roman;Times;serif" w:hAnsi="Times New Roman;Times;serif"/>
          <w:color w:val="FF0000"/>
          <w:sz w:val="22"/>
        </w:rPr>
        <w:t>exceed $25,000,000</w:t>
      </w:r>
      <w:r>
        <w:rPr>
          <w:rFonts w:ascii="Times New Roman;Times;serif" w:hAnsi="Times New Roman;Times;serif"/>
          <w:color w:val="0000FF"/>
          <w:sz w:val="22"/>
          <w:u w:val="single"/>
        </w:rPr>
        <w:t>at any time exceed the greater of (x) $50,000,000 and (y) 5% of Consolidated EBITDA for the most recently ended four fiscal quarters of the Company for which financial statements have been delivered pursuant to this Agreement</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(ix)</w:t>
      </w:r>
      <w:r>
        <w:rPr>
          <w:rFonts w:ascii="Times New Roman;Times;serif" w:hAnsi="Times New Roman;Times;serif"/>
          <w:sz w:val="22"/>
        </w:rPr>
        <w:t xml:space="preserve">any Lien securing obligations </w:t>
      </w:r>
      <w:r>
        <w:rPr>
          <w:rFonts w:ascii="Times New Roman;Times;serif" w:hAnsi="Times New Roman;Times;serif"/>
          <w:color w:val="FF0000"/>
          <w:sz w:val="22"/>
        </w:rPr>
        <w:t>that do not constitute Debt</w:t>
      </w:r>
      <w:r>
        <w:rPr>
          <w:rFonts w:ascii="Times New Roman;Times;serif" w:hAnsi="Times New Roman;Times;serif"/>
          <w:sz w:val="20"/>
        </w:rPr>
        <w:t xml:space="preserve"> </w:t>
      </w:r>
      <w:r>
        <w:rPr>
          <w:rFonts w:ascii="Times New Roman;Times;serif" w:hAnsi="Times New Roman;Times;serif"/>
          <w:sz w:val="22"/>
        </w:rPr>
        <w:t xml:space="preserve">existing on any property of any Person at the time it becomes a Subsidiary, or existing prior to the time of acquisition upon any property acquired by the Company or any Subsidiary through purchase, merger or consolidation or otherwise, whether or not assumed by the Company or such Subsidiary;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w:t>
      </w:r>
      <w:r>
        <w:rPr>
          <w:rFonts w:ascii="Times New Roman;Times;serif" w:hAnsi="Times New Roman;Times;serif"/>
          <w:color w:val="0000FF"/>
          <w:sz w:val="22"/>
          <w:u w:val="single"/>
        </w:rPr>
        <w:t>(i)</w:t>
      </w:r>
      <w:r>
        <w:rPr>
          <w:rFonts w:ascii="Times New Roman;Times;serif" w:hAnsi="Times New Roman;Times;serif"/>
          <w:sz w:val="20"/>
        </w:rPr>
        <w:t xml:space="preserve"> </w:t>
      </w:r>
      <w:r>
        <w:rPr>
          <w:rFonts w:ascii="Times New Roman;Times;serif" w:hAnsi="Times New Roman;Times;serif"/>
          <w:sz w:val="22"/>
        </w:rPr>
        <w:t>any such Lien shall not encumber any other property of the Company or such Subsidiary (other than proceeds of such acquired property),</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(ii) the obligations secured by such Lien were not incurred in connection with, or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color w:val="0000FF"/>
          <w:sz w:val="22"/>
          <w:u w:val="single"/>
        </w:rPr>
      </w:pPr>
      <w:r>
        <w:rPr>
          <w:rFonts w:ascii="Times New Roman;Times;serif" w:hAnsi="Times New Roman;Times;serif"/>
          <w:color w:val="0000FF"/>
          <w:sz w:val="22"/>
          <w:u w:val="single"/>
        </w:rPr>
        <w:t>anticipation or contemplation of, such acquisition or such Person becoming a Subsidiary, and (iii) any such Lien shall not secure the Bank Credit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w:t>
      </w:r>
      <w:r>
        <w:rPr>
          <w:rFonts w:ascii="Times New Roman;Times;serif" w:hAnsi="Times New Roman;Times;serif"/>
          <w:sz w:val="22"/>
        </w:rPr>
        <w:t xml:space="preserve">any Lien existing on any property or assets of Matson Alaska or its Subsidiaries immediately prior to the Horizon Acquisition that secures the Horizon Notes;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Lien shall secure only those obligations that it secures on the date of the Horizon Acquisition, and extensions, renewals and replacements thereof that do not increase the outstanding principal amount thereof,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(xi)</w:t>
      </w:r>
      <w:r>
        <w:rPr>
          <w:rFonts w:ascii="Times New Roman;Times;serif" w:hAnsi="Times New Roman;Times;serif"/>
          <w:sz w:val="22"/>
        </w:rPr>
        <w:t>any Lien created pursuant to any Collateral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6C(2).</w:t>
      </w:r>
      <w:r>
        <w:rPr>
          <w:rFonts w:ascii="Times New Roman;Times;serif" w:hAnsi="Times New Roman;Times;serif"/>
          <w:b/>
          <w:sz w:val="22"/>
        </w:rPr>
        <w:t>Sole Borrower Under Bank Credit Agreement.</w:t>
      </w:r>
      <w:r>
        <w:rPr>
          <w:rFonts w:ascii="Times New Roman;Times;serif" w:hAnsi="Times New Roman;Times;serif"/>
          <w:sz w:val="20"/>
        </w:rPr>
        <w:t xml:space="preserve"> </w:t>
      </w:r>
      <w:r>
        <w:rPr>
          <w:rFonts w:ascii="Times New Roman;Times;serif" w:hAnsi="Times New Roman;Times;serif"/>
          <w:sz w:val="22"/>
        </w:rPr>
        <w:t>Modify the Bank Credit Agreement in any manner that would result in any Person other than the Company being a borrower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6C(3).</w:t>
      </w:r>
      <w:r>
        <w:rPr>
          <w:rFonts w:ascii="Times New Roman;Times;serif" w:hAnsi="Times New Roman;Times;serif"/>
          <w:b/>
          <w:sz w:val="22"/>
        </w:rPr>
        <w:t>Merger</w:t>
      </w:r>
      <w:r>
        <w:rPr>
          <w:rFonts w:ascii="Times New Roman;Times;serif" w:hAnsi="Times New Roman;Times;serif"/>
          <w:sz w:val="22"/>
        </w:rPr>
        <w:t xml:space="preserve">. Enter into any transaction of merger, consolidation or other combination with any other Person;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the Company or any Subsidiary may consummate any merger or consolidation or other combination the sole consequence of which is to (i) reincorporate or reorganize in another jurisdiction in the United States or (ii) with respect to any Subsidiary, change the form of entity;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any Subsidiary may merge with the Company;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Company shall be the continuing or surviving corporation and immediately after such merger no Event of Default shall exist,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 xml:space="preserve">any Subsidiary may merge with another Subsidiary;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a Material Domestic Subsidiary merges with a Foreign Subsidiary, such Material Domestic Subsidiary shall be the surviving Person and immediately after such merger no Event of Default shall exist,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 xml:space="preserve">the Company or any Subsidiary may merge, consolidate or combine with any other Person in connection with an Acquisition permitted by paragraph 6C(6)(ii);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 immediately after such merger, consolidation or combination, no Event of Default shall exist and (b) if the Company is a party to such transaction, the Company will be the continuing or surviving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6C(4).</w:t>
      </w:r>
      <w:r>
        <w:rPr>
          <w:rFonts w:ascii="Times New Roman;Times;serif" w:hAnsi="Times New Roman;Times;serif"/>
          <w:b/>
          <w:sz w:val="22"/>
        </w:rPr>
        <w:t>Sale of Capital Assets</w:t>
      </w:r>
      <w:r>
        <w:rPr>
          <w:rFonts w:ascii="Times New Roman;Times;serif" w:hAnsi="Times New Roman;Times;serif"/>
          <w:sz w:val="22"/>
        </w:rPr>
        <w:t>. Sell, lease or transfer or otherwise dispose of any Capital Asset to any Person, except that (i) any Credit Party may sell or otherwise dispose of any Capital Asset to any other Credit Party, (ii) any Subsidiary that is not a Credit Party may sell or otherwise dispose of any Capital Asset to the Company or any other Subsidiary</w:t>
      </w:r>
      <w:r>
        <w:rPr>
          <w:rFonts w:ascii="Times New Roman;Times;serif" w:hAnsi="Times New Roman;Times;serif"/>
          <w:color w:val="FF0000"/>
          <w:sz w:val="20"/>
        </w:rPr>
        <w:t xml:space="preserve"> </w:t>
      </w:r>
      <w:r>
        <w:rPr>
          <w:rFonts w:ascii="Times New Roman;Times;serif" w:hAnsi="Times New Roman;Times;serif"/>
          <w:color w:val="FF0000"/>
          <w:sz w:val="22"/>
        </w:rPr>
        <w:t>and</w:t>
      </w:r>
      <w:r>
        <w:rPr>
          <w:rFonts w:ascii="Times New Roman;Times;serif" w:hAnsi="Times New Roman;Times;serif"/>
          <w:color w:val="0000FF"/>
          <w:sz w:val="22"/>
          <w:u w:val="single"/>
        </w:rPr>
        <w:t>,</w:t>
      </w:r>
      <w:r>
        <w:rPr>
          <w:rFonts w:ascii="Times New Roman;Times;serif" w:hAnsi="Times New Roman;Times;serif"/>
          <w:sz w:val="20"/>
        </w:rPr>
        <w:t xml:space="preserve"> </w:t>
      </w:r>
      <w:r>
        <w:rPr>
          <w:rFonts w:ascii="Times New Roman;Times;serif" w:hAnsi="Times New Roman;Times;serif"/>
          <w:sz w:val="22"/>
        </w:rPr>
        <w:t>(iii</w:t>
      </w:r>
      <w:r>
        <w:rPr>
          <w:rFonts w:ascii="Times New Roman;Times;serif" w:hAnsi="Times New Roman;Times;serif"/>
          <w:color w:val="0000FF"/>
          <w:sz w:val="22"/>
          <w:u w:val="single"/>
        </w:rPr>
        <w:t>) the Company or any Subsidiary may sell or dispose of any obsolete, worn out or surplus property in the ordinary course of business (other than Vessels) and (iv</w:t>
      </w:r>
      <w:r>
        <w:rPr>
          <w:rFonts w:ascii="Times New Roman;Times;serif" w:hAnsi="Times New Roman;Times;serif"/>
          <w:sz w:val="22"/>
        </w:rPr>
        <w:t xml:space="preserve">) during any rolling twelve-month period, the Company or any Subsidiary may sell or otherwise dispose of Capital Assets which constituted up to 10% of the total value of the consolidated assets of Matson Navigation and its Subsidiaries as of December 31, </w:t>
      </w:r>
      <w:r>
        <w:rPr>
          <w:rFonts w:ascii="Times New Roman;Times;serif" w:hAnsi="Times New Roman;Times;serif"/>
          <w:color w:val="FF0000"/>
          <w:sz w:val="22"/>
        </w:rPr>
        <w:t>2020</w:t>
      </w:r>
      <w:r>
        <w:rPr>
          <w:rFonts w:ascii="Times New Roman;Times;serif" w:hAnsi="Times New Roman;Times;serif"/>
          <w:color w:val="0000FF"/>
          <w:sz w:val="22"/>
          <w:u w:val="single"/>
        </w:rPr>
        <w:t>2024</w:t>
      </w:r>
      <w:r>
        <w:rPr>
          <w:rFonts w:ascii="Times New Roman;Times;serif" w:hAnsi="Times New Roman;Times;serif"/>
          <w:sz w:val="22"/>
        </w:rPr>
        <w:t xml:space="preserve">, so long as such Capital Assets, when considered together with all other Capital Assets sold or otherwise disposed of subsequent to December 31, </w:t>
      </w:r>
      <w:r>
        <w:rPr>
          <w:rFonts w:ascii="Times New Roman;Times;serif" w:hAnsi="Times New Roman;Times;serif"/>
          <w:color w:val="FF0000"/>
          <w:sz w:val="22"/>
        </w:rPr>
        <w:t>2020</w:t>
      </w:r>
      <w:r>
        <w:rPr>
          <w:rFonts w:ascii="Times New Roman;Times;serif" w:hAnsi="Times New Roman;Times;serif"/>
          <w:color w:val="0000FF"/>
          <w:sz w:val="22"/>
          <w:u w:val="single"/>
        </w:rPr>
        <w:t>2024</w:t>
      </w:r>
      <w:r>
        <w:rPr>
          <w:rFonts w:ascii="Times New Roman;Times;serif" w:hAnsi="Times New Roman;Times;serif"/>
          <w:sz w:val="22"/>
        </w:rPr>
        <w:t>, do not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constitute in excess of 30% of the total value of the consolidated assets of Matson Navigation and its Subsidiaries as of December 31, </w:t>
      </w:r>
      <w:r>
        <w:rPr>
          <w:rFonts w:ascii="Times New Roman;Times;serif" w:hAnsi="Times New Roman;Times;serif"/>
          <w:color w:val="FF0000"/>
          <w:sz w:val="22"/>
        </w:rPr>
        <w:t>2020</w:t>
      </w:r>
      <w:r>
        <w:rPr>
          <w:rFonts w:ascii="Times New Roman;Times;serif" w:hAnsi="Times New Roman;Times;serif"/>
          <w:color w:val="0000FF"/>
          <w:sz w:val="22"/>
          <w:u w:val="single"/>
        </w:rPr>
        <w:t>2024</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to the extent that the Company and its Subsidiaries have reinvested the net cash proceeds from any such sale in Capital Assets within </w:t>
      </w:r>
      <w:r>
        <w:rPr>
          <w:rFonts w:ascii="Times New Roman;Times;serif" w:hAnsi="Times New Roman;Times;serif"/>
          <w:color w:val="FF0000"/>
          <w:sz w:val="22"/>
        </w:rPr>
        <w:t>twelve</w:t>
      </w:r>
      <w:r>
        <w:rPr>
          <w:rFonts w:ascii="Times New Roman;Times;serif" w:hAnsi="Times New Roman;Times;serif"/>
          <w:color w:val="0000FF"/>
          <w:sz w:val="22"/>
          <w:u w:val="single"/>
        </w:rPr>
        <w:t>eighteen</w:t>
      </w:r>
      <w:r>
        <w:rPr>
          <w:rFonts w:ascii="Times New Roman;Times;serif" w:hAnsi="Times New Roman;Times;serif"/>
          <w:sz w:val="20"/>
        </w:rPr>
        <w:t xml:space="preserve"> </w:t>
      </w:r>
      <w:r>
        <w:rPr>
          <w:rFonts w:ascii="Times New Roman;Times;serif" w:hAnsi="Times New Roman;Times;serif"/>
          <w:sz w:val="22"/>
        </w:rPr>
        <w:t>(</w:t>
      </w:r>
      <w:r>
        <w:rPr>
          <w:rFonts w:ascii="Times New Roman;Times;serif" w:hAnsi="Times New Roman;Times;serif"/>
          <w:color w:val="FF0000"/>
          <w:sz w:val="22"/>
        </w:rPr>
        <w:t>12</w:t>
      </w:r>
      <w:r>
        <w:rPr>
          <w:rFonts w:ascii="Times New Roman;Times;serif" w:hAnsi="Times New Roman;Times;serif"/>
          <w:color w:val="0000FF"/>
          <w:sz w:val="22"/>
          <w:u w:val="single"/>
        </w:rPr>
        <w:t>18</w:t>
      </w:r>
      <w:r>
        <w:rPr>
          <w:rFonts w:ascii="Times New Roman;Times;serif" w:hAnsi="Times New Roman;Times;serif"/>
          <w:sz w:val="22"/>
        </w:rPr>
        <w:t xml:space="preserve">) months of the date of such sale, or have committed to so reinvest such net cash proceeds by the end of such </w:t>
      </w:r>
      <w:r>
        <w:rPr>
          <w:rFonts w:ascii="Times New Roman;Times;serif" w:hAnsi="Times New Roman;Times;serif"/>
          <w:color w:val="FF0000"/>
          <w:sz w:val="22"/>
        </w:rPr>
        <w:t>twelve-month</w:t>
      </w:r>
      <w:r>
        <w:rPr>
          <w:rFonts w:ascii="Times New Roman;Times;serif" w:hAnsi="Times New Roman;Times;serif"/>
          <w:color w:val="0000FF"/>
          <w:sz w:val="22"/>
          <w:u w:val="single"/>
        </w:rPr>
        <w:t>eighteen-month</w:t>
      </w:r>
      <w:r>
        <w:rPr>
          <w:rFonts w:ascii="Times New Roman;Times;serif" w:hAnsi="Times New Roman;Times;serif"/>
          <w:sz w:val="20"/>
        </w:rPr>
        <w:t xml:space="preserve"> </w:t>
      </w:r>
      <w:r>
        <w:rPr>
          <w:rFonts w:ascii="Times New Roman;Times;serif" w:hAnsi="Times New Roman;Times;serif"/>
          <w:sz w:val="22"/>
        </w:rPr>
        <w:t xml:space="preserve">period and have actually reinvested such net cash proceeds within </w:t>
      </w:r>
      <w:r>
        <w:rPr>
          <w:rFonts w:ascii="Times New Roman;Times;serif" w:hAnsi="Times New Roman;Times;serif"/>
          <w:color w:val="FF0000"/>
          <w:sz w:val="22"/>
        </w:rPr>
        <w:t>eighteen</w:t>
      </w:r>
      <w:r>
        <w:rPr>
          <w:rFonts w:ascii="Times New Roman;Times;serif" w:hAnsi="Times New Roman;Times;serif"/>
          <w:color w:val="0000FF"/>
          <w:sz w:val="22"/>
          <w:u w:val="single"/>
        </w:rPr>
        <w:t>twenty-four</w:t>
      </w:r>
      <w:r>
        <w:rPr>
          <w:rFonts w:ascii="Times New Roman;Times;serif" w:hAnsi="Times New Roman;Times;serif"/>
          <w:sz w:val="20"/>
        </w:rPr>
        <w:t xml:space="preserve"> </w:t>
      </w:r>
      <w:r>
        <w:rPr>
          <w:rFonts w:ascii="Times New Roman;Times;serif" w:hAnsi="Times New Roman;Times;serif"/>
          <w:sz w:val="22"/>
        </w:rPr>
        <w:t>(</w:t>
      </w:r>
      <w:r>
        <w:rPr>
          <w:rFonts w:ascii="Times New Roman;Times;serif" w:hAnsi="Times New Roman;Times;serif"/>
          <w:color w:val="FF0000"/>
          <w:sz w:val="22"/>
        </w:rPr>
        <w:t>18</w:t>
      </w:r>
      <w:r>
        <w:rPr>
          <w:rFonts w:ascii="Times New Roman;Times;serif" w:hAnsi="Times New Roman;Times;serif"/>
          <w:color w:val="0000FF"/>
          <w:sz w:val="22"/>
          <w:u w:val="single"/>
        </w:rPr>
        <w:t>24</w:t>
      </w:r>
      <w:r>
        <w:rPr>
          <w:rFonts w:ascii="Times New Roman;Times;serif" w:hAnsi="Times New Roman;Times;serif"/>
          <w:sz w:val="22"/>
        </w:rPr>
        <w:t xml:space="preserve">) months of the date of such sale, the amount of such reinvested net cash proceeds shall not constitute utilization of the foregoing 30% limitation;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this covenant shall not apply to any Lien permitted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6C(5).</w:t>
      </w:r>
      <w:r>
        <w:rPr>
          <w:rFonts w:ascii="Times New Roman;Times;serif" w:hAnsi="Times New Roman;Times;serif"/>
          <w:b/>
          <w:sz w:val="22"/>
        </w:rPr>
        <w:t>Transactions with Affiliates</w:t>
      </w:r>
      <w:r>
        <w:rPr>
          <w:rFonts w:ascii="Times New Roman;Times;serif" w:hAnsi="Times New Roman;Times;serif"/>
          <w:color w:val="FF0000"/>
          <w:sz w:val="20"/>
        </w:rPr>
        <w:t xml:space="preserve"> </w:t>
      </w:r>
      <w:r>
        <w:rPr>
          <w:rFonts w:ascii="Times New Roman;Times;serif" w:hAnsi="Times New Roman;Times;serif"/>
          <w:b/>
          <w:color w:val="FF0000"/>
          <w:sz w:val="22"/>
        </w:rPr>
        <w:t>and Stockholders</w:t>
      </w:r>
      <w:r>
        <w:rPr>
          <w:rFonts w:ascii="Times New Roman;Times;serif" w:hAnsi="Times New Roman;Times;serif"/>
          <w:sz w:val="22"/>
        </w:rPr>
        <w:t xml:space="preserve">. Directly or indirectly, purchase, acquire or lease any property from, or sell, transfer or lease any property to, or otherwise deal with, in the ordinary course of business or otherwise </w:t>
      </w:r>
      <w:r>
        <w:rPr>
          <w:rFonts w:ascii="Times New Roman;Times;serif" w:hAnsi="Times New Roman;Times;serif"/>
          <w:color w:val="FF0000"/>
          <w:sz w:val="22"/>
        </w:rPr>
        <w:t>(i) </w:t>
      </w:r>
      <w:r>
        <w:rPr>
          <w:rFonts w:ascii="Times New Roman;Times;serif" w:hAnsi="Times New Roman;Times;serif"/>
          <w:sz w:val="22"/>
        </w:rPr>
        <w:t>any Affiliate (excluding directors and officers in their capacity as such</w:t>
      </w:r>
      <w:r>
        <w:rPr>
          <w:rFonts w:ascii="Times New Roman;Times;serif" w:hAnsi="Times New Roman;Times;serif"/>
          <w:color w:val="FF0000"/>
          <w:sz w:val="22"/>
        </w:rPr>
        <w:t>), (ii) any Person owning, beneficially or of record, directly or indirectly, either individually or together with all other Persons to whom such Person is related by blood, adoption or marriage, stock of the Company or stock of any Person owning stock of the Company (of any class having ordinary voting power for the election of directors) aggregating 5% or more of such voting power or (iii) any Person related by blood, adoption or marriage to any Person described or coming within the provisions of clause (i) or (ii) of this paragraph 6C(5</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following shall be permitted: (a) such transactions on terms no less favorable to the Company or any Subsidiary than if no such relationship existed, (b) the sale or issuance by the Company of its capital stock, (c) transactions between the Company and any Subsidiary, and between or among Subsidiaries of the Company and (d) Restricted Payments made in compliance with paragraph 6B;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6C(6).</w:t>
      </w:r>
      <w:r>
        <w:rPr>
          <w:rFonts w:ascii="Times New Roman;Times;serif" w:hAnsi="Times New Roman;Times;serif"/>
          <w:b/>
          <w:sz w:val="22"/>
        </w:rPr>
        <w:t>Loans, Advances and Investments</w:t>
      </w:r>
      <w:r>
        <w:rPr>
          <w:rFonts w:ascii="Times New Roman;Times;serif" w:hAnsi="Times New Roman;Times;serif"/>
          <w:sz w:val="22"/>
        </w:rPr>
        <w:t>. Make or permit to remain outstanding any loan or advance to, or own, purchase or acquire any stock, obligations or securities of, or any other interest in, or make any capital contribution to, any Person, or consummate any Acquisition, except that the Company or any Subsidiary may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make or permit to remain outstanding loans or advances to the Company or any Subsidiary,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own, purchase or acquire stock, obligations or securities of a Subsidiary and, so long as the Company is in compliance with the financial covenants set forth in paragraph 6A on a pro-forma basis immediately after giving effect to such transaction, consummate Acquisitions,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acquire and own stock, obligations, securities or other investments (a) consisting of extensions of credit arising from the grant of trade credit, or received in settlement or partial settlement thereof of obligations (including any Debt or trade credit) owing to the Company or any Subsidiary or (b) received in satisfaction of judgments or pursuant to any plan of reorganization or similar arrangement upon the bankruptcy or insolvency of trade creditors or account debtors,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 xml:space="preserve">make investments in accordance with the resolutions of the Board of Directors of the Company;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resolutions authorize only investments rated investment grade by S&amp;P, Moody’s, or any other nationally recognized credit rating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agency or investments in the Company’s accounts receivable purchased or held by the CCF,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make any investment in any stock, obligations or securities of, or any other interest in, or any capital contribution to, an Eligible Business Line (subject in the case of any Acquisition, to paragraph 6C(6)(ii)),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 xml:space="preserve">make other investments, loans and advances which in the aggregate (at original cost) </w:t>
      </w:r>
      <w:r>
        <w:rPr>
          <w:rFonts w:ascii="Times New Roman;Times;serif" w:hAnsi="Times New Roman;Times;serif"/>
          <w:color w:val="FF0000"/>
          <w:sz w:val="22"/>
        </w:rPr>
        <w:t>do not exceed $50,000,000</w:t>
      </w:r>
      <w:r>
        <w:rPr>
          <w:rFonts w:ascii="Times New Roman;Times;serif" w:hAnsi="Times New Roman;Times;serif"/>
          <w:sz w:val="20"/>
        </w:rPr>
        <w:t xml:space="preserve"> </w:t>
      </w:r>
      <w:r>
        <w:rPr>
          <w:rFonts w:ascii="Times New Roman;Times;serif" w:hAnsi="Times New Roman;Times;serif"/>
          <w:sz w:val="22"/>
        </w:rPr>
        <w:t>at any time outstanding</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do not exceed the greater of (x) $250,000,000 and (y) 25% of Consolidated EBITDA for the most recently ended four fiscal quarters of the Company for which financial statements have been delivered pursuant to this Agreement</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notwithstanding the foregoing, (a) amounts in the CCF may be invested only as provided in clause (iv) above, and (b) for the avoidance of doubt, this paragraph 6C(6) shall not apply to any Guarantee.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6D.</w:t>
      </w:r>
      <w:r>
        <w:rPr>
          <w:rFonts w:ascii="Times New Roman;Times;serif" w:hAnsi="Times New Roman;Times;serif"/>
          <w:b/>
          <w:sz w:val="22"/>
        </w:rPr>
        <w:t>Economic Sanctions, Etc</w:t>
      </w:r>
      <w:r>
        <w:rPr>
          <w:rFonts w:ascii="Times New Roman;Times;serif" w:hAnsi="Times New Roman;Times;serif"/>
          <w:sz w:val="22"/>
        </w:rPr>
        <w:t>. The Company will not, and will not permit any Controlled Entity to (a) become (including by virtue of being owned or controlled by a Blocked Person), own or control a Blocked Person or (b) directly or indirectly (and, with respect to clause (ii) of this sentence, knowingly after due inquiry) have any investment in or engage in any dealing or transaction (including any investment, dealing or transaction involving the proceeds of the Notes) with any Person if such investment, dealing or transaction (i) would cause any holder of a Note or any affiliate of such holder to be in violation of, or subject to sanctions under, any United States law or regulation concerning or relating to economic sanctions applicable to such holder (assuming, to the extent relevant, such holder or affiliate is not otherwise in violation of, or subject to sanctions under, any such law or regulation), or (ii) is prohibited by or subject to sanctions under any U.S. Economic Sanctions Laws, unless such Person has obtained all necessary general or specific licenses in respect of such investment, dealing or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000FF"/>
          <w:sz w:val="22"/>
        </w:rPr>
        <w:t>6E.</w:t>
      </w:r>
      <w:r>
        <w:rPr>
          <w:rFonts w:ascii="Times New Roman;Times;serif" w:hAnsi="Times New Roman;Times;serif"/>
          <w:b/>
          <w:color w:val="0000FF"/>
          <w:sz w:val="22"/>
        </w:rPr>
        <w:t>Non-Guarantor Subsidiaries</w:t>
      </w:r>
      <w:r>
        <w:rPr>
          <w:rFonts w:ascii="Times New Roman;Times;serif" w:hAnsi="Times New Roman;Times;serif"/>
          <w:color w:val="0000FF"/>
          <w:sz w:val="22"/>
          <w:u w:val="single"/>
        </w:rPr>
        <w:t>. Notwithstanding anything contained herein or in any other Transaction Documents or Collateral Documents to the contrary, the Company will not, and will not permit any Subsidiary to: cause or permit any Subsidiary that is not a Guarantor to hold a Lien on any assets of the Company or any Guarantor.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000FF"/>
          <w:sz w:val="22"/>
        </w:rPr>
        <w:t>6F.</w:t>
      </w:r>
      <w:r>
        <w:rPr>
          <w:rFonts w:ascii="Times New Roman;Times;serif" w:hAnsi="Times New Roman;Times;serif"/>
          <w:b/>
          <w:color w:val="0000FF"/>
          <w:sz w:val="22"/>
        </w:rPr>
        <w:t>Outbound Investment Rules</w:t>
      </w:r>
      <w:r>
        <w:rPr>
          <w:rFonts w:ascii="Times New Roman;Times;serif" w:hAnsi="Times New Roman;Times;serif"/>
          <w:color w:val="0000FF"/>
          <w:sz w:val="22"/>
          <w:u w:val="single"/>
        </w:rPr>
        <w:t>. The Company and each Subsidiary shall not, directly or indirectly (a) be or become a “covered foreign person”, as that term is defined in the Outbound Investment Rules, or (b) engage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or such Subsidiary were a United States Person, or (iii) any other activity that would cause the Collateral Agent or any holder of the Notes to be in violation of the Outbound Investment Rules or cause the Collateral Agent or any holder of the Notes to be legally prohibited by the Outbound Investment Rules from performing under this Agreement or any other Transaction Document.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w:t>
      </w:r>
      <w:r>
        <w:rPr>
          <w:rFonts w:ascii="Times New Roman;Times;serif" w:hAnsi="Times New Roman;Times;serif"/>
          <w:b/>
          <w:caps/>
          <w:sz w:val="22"/>
        </w:rPr>
        <w:t>EVENTS OF DEFAULT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7A.</w:t>
      </w:r>
      <w:r>
        <w:rPr>
          <w:rFonts w:ascii="Times New Roman;Times;serif" w:hAnsi="Times New Roman;Times;serif"/>
          <w:b/>
          <w:sz w:val="22"/>
        </w:rPr>
        <w:t>Acceleration</w:t>
      </w:r>
      <w:r>
        <w:rPr>
          <w:rFonts w:ascii="Times New Roman;Times;serif" w:hAnsi="Times New Roman;Times;serif"/>
          <w:sz w:val="22"/>
        </w:rPr>
        <w:t>. If any of the following events shall occur and be continuing for any reason whatsoever (and whether such occurrence shall be voluntary or involuntary or come about or be effected by operation of law or otherwise):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the Company defaults in the payment of (i) any principal of, or Yield-Maintenance Amount in respect of, any Note, or (ii) any interest on any Note for more than five days after the same shall become due, in either case either by the terms thereof or otherwise as herein provided;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(a) an Event of Default (as defined in the Bank Credit Agreement) has occurred and is continuing under the Bank Credit Agreement, or (b) the Company or any Material Subsidiary defaults in any payment of principal of, or premium or interest on, any Debt (other than the Notes) beyond any period of grace provided with respect thereto, or the Company or any Material Subsidiary fails to perform or observe any other agreement, term or condition contained in any agreement relating to any such Debt (or any other event under any such agreement occurs and is continuing) and the effect of such default, failure or other event is to cause, or permit the holder or holders of such Debt (or a trustee on behalf of such holder or holders) to cause, such Debt to become due (or to be required to be repurchased by the Company or any </w:t>
      </w:r>
      <w:r>
        <w:rPr>
          <w:rFonts w:ascii="Times New Roman;Times;serif" w:hAnsi="Times New Roman;Times;serif"/>
          <w:color w:val="FF0000"/>
          <w:sz w:val="22"/>
        </w:rPr>
        <w:t>Material</w:t>
      </w:r>
      <w:r>
        <w:rPr>
          <w:rFonts w:ascii="Times New Roman;Times;serif" w:hAnsi="Times New Roman;Times;serif"/>
          <w:sz w:val="20"/>
        </w:rPr>
        <w:t xml:space="preserve"> </w:t>
      </w:r>
      <w:r>
        <w:rPr>
          <w:rFonts w:ascii="Times New Roman;Times;serif" w:hAnsi="Times New Roman;Times;serif"/>
          <w:sz w:val="22"/>
        </w:rPr>
        <w:t xml:space="preserve">Subsidiary) prior to any stated maturity;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aggregate amount of all Debt </w:t>
      </w:r>
      <w:r>
        <w:rPr>
          <w:rFonts w:ascii="Times New Roman;Times;serif" w:hAnsi="Times New Roman;Times;serif"/>
          <w:color w:val="0000FF"/>
          <w:sz w:val="22"/>
          <w:u w:val="single"/>
        </w:rPr>
        <w:t>described in this clause (b)</w:t>
      </w:r>
      <w:r>
        <w:rPr>
          <w:rFonts w:ascii="Times New Roman;Times;serif" w:hAnsi="Times New Roman;Times;serif"/>
          <w:sz w:val="20"/>
        </w:rPr>
        <w:t xml:space="preserve"> </w:t>
      </w:r>
      <w:r>
        <w:rPr>
          <w:rFonts w:ascii="Times New Roman;Times;serif" w:hAnsi="Times New Roman;Times;serif"/>
          <w:sz w:val="22"/>
        </w:rPr>
        <w:t xml:space="preserve">as to which such a payment default shall occur or such a failure or other event causing or permitting acceleration (or resale to a Company or any Material Subsidiary) shall occur and be continuing exceeds </w:t>
      </w:r>
      <w:r>
        <w:rPr>
          <w:rFonts w:ascii="Times New Roman;Times;serif" w:hAnsi="Times New Roman;Times;serif"/>
          <w:color w:val="0000FF"/>
          <w:sz w:val="22"/>
          <w:u w:val="single"/>
        </w:rPr>
        <w:t>the greater of (x)</w:t>
      </w:r>
      <w:r>
        <w:rPr>
          <w:rFonts w:ascii="Times New Roman;Times;serif" w:hAnsi="Times New Roman;Times;serif"/>
          <w:sz w:val="20"/>
        </w:rPr>
        <w:t xml:space="preserve"> </w:t>
      </w:r>
      <w:r>
        <w:rPr>
          <w:rFonts w:ascii="Times New Roman;Times;serif" w:hAnsi="Times New Roman;Times;serif"/>
          <w:sz w:val="22"/>
        </w:rPr>
        <w:t>$</w:t>
      </w:r>
      <w:r>
        <w:rPr>
          <w:rFonts w:ascii="Times New Roman;Times;serif" w:hAnsi="Times New Roman;Times;serif"/>
          <w:color w:val="FF0000"/>
          <w:sz w:val="22"/>
        </w:rPr>
        <w:t>50,000,000</w:t>
      </w:r>
      <w:r>
        <w:rPr>
          <w:rFonts w:ascii="Times New Roman;Times;serif" w:hAnsi="Times New Roman;Times;serif"/>
          <w:color w:val="0000FF"/>
          <w:sz w:val="22"/>
          <w:u w:val="single"/>
        </w:rPr>
        <w:t>75,000,000 and (y) 5% of Consolidated EBITDA for the most recently completed four fiscal quarters for which financial statements have been delivered pursuant to this Agreement</w:t>
      </w:r>
      <w:r>
        <w:rPr>
          <w:rFonts w:ascii="Times New Roman;Times;serif" w:hAnsi="Times New Roman;Times;serif"/>
          <w:sz w:val="22"/>
        </w:rPr>
        <w: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any representation or warranty made by any Credit Party herein or in any other Transaction Document or by any Credit Party or any of its officers in any writing furnished in connection with or pursuant to this Agreement or any other Transaction Document shall be false or misleading in any material respect on the date as of which made;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the Company fails to perform or observe any agreement contained in paragraph 5H, paragraph 5J or paragraph 6 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any Credit Party fails to perform or observe any other agreement, term or condition (not specified in clauses (i) or (iv) of this paragraph 7A) contained in any Transaction Document on its part to be performed or observed and such failure shall not be remedied within 30 days after any Responsible Officer obtains actual knowledge thereof;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any Credit Party or any Material Subsidiary makes an assignment for the benefit of creditors or is generally not paying its debts as such debts become due;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w:t>
      </w:r>
      <w:r>
        <w:rPr>
          <w:rFonts w:ascii="Times New Roman;Times;serif" w:hAnsi="Times New Roman;Times;serif"/>
          <w:sz w:val="22"/>
        </w:rPr>
        <w:t>any decree or order for relief in respect of any Credit Party or any Material Subsidiary is entered under any bankruptcy, reorganization, compromise, arrangement,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insolvency, readjustment of debt, dissolution, liquidation or similar debtor relief law, whether now or hereafter in effect (herein called the “</w:t>
      </w:r>
      <w:r>
        <w:rPr>
          <w:rFonts w:ascii="Times New Roman;Times;serif" w:hAnsi="Times New Roman;Times;serif"/>
          <w:b/>
          <w:sz w:val="22"/>
        </w:rPr>
        <w:t>Bankruptcy Law</w:t>
      </w:r>
      <w:r>
        <w:rPr>
          <w:rFonts w:ascii="Times New Roman;Times;serif" w:hAnsi="Times New Roman;Times;serif"/>
          <w:sz w:val="20"/>
        </w:rPr>
        <w:t>”</w:t>
      </w:r>
      <w:r>
        <w:rPr>
          <w:rFonts w:ascii="Times New Roman;Times;serif" w:hAnsi="Times New Roman;Times;serif"/>
          <w:sz w:val="22"/>
        </w:rPr>
        <w:t>), of the United States or another applicable jurisdiction;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(viii)</w:t>
      </w:r>
      <w:r>
        <w:rPr>
          <w:rFonts w:ascii="Times New Roman;Times;serif" w:hAnsi="Times New Roman;Times;serif"/>
          <w:sz w:val="22"/>
        </w:rPr>
        <w:t>any Credit Party or any Material Subsidiary petitions or applies to any tribunal for, or consents to, the appointment of, or taking possession by, a trustee, receiver, custodian, liquidator or similar official of any such Credit Party or any such Material Subsidiary, or of any substantial part of the assets of any such Credit Party or any such Material Subsidiary, or commences a voluntary case under the Bankruptcy Law of the United States or any proceedings (other than proceedings for the voluntary liquidation and dissolution of a Material Subsidiary) relating to any Credit Party or any Material Subsidiary under the Bankruptcy Law of any other jurisdiction;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(ix)</w:t>
      </w:r>
      <w:r>
        <w:rPr>
          <w:rFonts w:ascii="Times New Roman;Times;serif" w:hAnsi="Times New Roman;Times;serif"/>
          <w:sz w:val="22"/>
        </w:rPr>
        <w:t>any petition or application of the type described in clause (viii) of this paragraph 7A is filed, or any such proceedings are commenced, against any Credit Party or any Material Subsidiary and such Credit Party or such Material Subsidiary by any act indicates its approval thereof, consent thereto or acquiescence therein, or an order, judgment or decree is entered appointing any such trustee, receiver, custodian, liquidator or similar official, or approving the petition in any such proceedings, and such order, judgment or decree remains unstayed and in effect for more than 30 days;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w:t>
      </w:r>
      <w:r>
        <w:rPr>
          <w:rFonts w:ascii="Times New Roman;Times;serif" w:hAnsi="Times New Roman;Times;serif"/>
          <w:sz w:val="22"/>
        </w:rPr>
        <w:t>any order, judgment or decree is entered in any proceedings against any Credit Party decreeing the dissolution of such Credit Party and such order, judgment or decree remains unstayed and in effect for more than 30 days;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(xi)</w:t>
      </w:r>
      <w:r>
        <w:rPr>
          <w:rFonts w:ascii="Times New Roman;Times;serif" w:hAnsi="Times New Roman;Times;serif"/>
          <w:sz w:val="22"/>
        </w:rPr>
        <w:t>(a) any Plan shall fail to satisfy the minimum funding standards of ERISA or the Code for any plan year or part thereof or a waiver of such standards or extension of any amortization period is sought or granted under section 412 of the Code, (b)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such proceedings, (c) the aggregate amount under all Plans of the fair market value of the assets (within the meaning of section 303 of ERISA) is less than 70% of the “</w:t>
      </w:r>
      <w:r>
        <w:rPr>
          <w:rFonts w:ascii="Times New Roman;Times;serif" w:hAnsi="Times New Roman;Times;serif"/>
          <w:b/>
          <w:sz w:val="22"/>
        </w:rPr>
        <w:t>Funding Target</w:t>
      </w:r>
      <w:r>
        <w:rPr>
          <w:rFonts w:ascii="Times New Roman;Times;serif" w:hAnsi="Times New Roman;Times;serif"/>
          <w:sz w:val="20"/>
        </w:rPr>
        <w:t xml:space="preserve">” </w:t>
      </w:r>
      <w:r>
        <w:rPr>
          <w:rFonts w:ascii="Times New Roman;Times;serif" w:hAnsi="Times New Roman;Times;serif"/>
          <w:sz w:val="22"/>
        </w:rPr>
        <w:t>(within the meaning of section 303 of ERISA), (d) the Company or any ERISA Affiliate shall have incurred or is reasonably expected to incur any liability pursuant to Title I or IV or ERISA or the penalty or excise tax provisions of the Code relating to employee benefit plans, (e) the Company or any ERISA Affiliate withdraws from any Multiemployer Plan, or (f) the Company or any Subsidiary establishes or amends any employee welfare benefit plan that provides post-employment welfare benefits in a manner that would increase the liability of the Company or any Subsidiary thereunder; and any such event or events described in clauses (a) through (f) above, either individually or together with any other such event or events, could reasonably be expected to have a Material Adverse Effect;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(xii)</w:t>
      </w:r>
      <w:r>
        <w:rPr>
          <w:rFonts w:ascii="Times New Roman;Times;serif" w:hAnsi="Times New Roman;Times;serif"/>
          <w:sz w:val="22"/>
        </w:rPr>
        <w:t xml:space="preserve">any judgment(s) or decree(s) in the aggregate amount </w:t>
      </w:r>
      <w:r>
        <w:rPr>
          <w:rFonts w:ascii="Times New Roman;Times;serif" w:hAnsi="Times New Roman;Times;serif"/>
          <w:color w:val="FF0000"/>
          <w:sz w:val="22"/>
        </w:rPr>
        <w:t>of $40,000,000 or more</w:t>
      </w:r>
      <w:r>
        <w:rPr>
          <w:rFonts w:ascii="Times New Roman;Times;serif" w:hAnsi="Times New Roman;Times;serif"/>
          <w:color w:val="0000FF"/>
          <w:sz w:val="22"/>
          <w:u w:val="single"/>
        </w:rPr>
        <w:t>exceeding the greater of (x) $75,000,000 and (y) 5% of Consolidated EBITDA for the most recently completed four fiscal quarters for which financial statements have been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color w:val="0000FF"/>
          <w:sz w:val="22"/>
          <w:u w:val="single"/>
        </w:rPr>
        <w:t>delivered pursuant to this Agreement</w:t>
      </w:r>
      <w:r>
        <w:rPr>
          <w:rFonts w:ascii="Times New Roman;Times;serif" w:hAnsi="Times New Roman;Times;serif"/>
          <w:sz w:val="20"/>
        </w:rPr>
        <w:t xml:space="preserve"> </w:t>
      </w:r>
      <w:r>
        <w:rPr>
          <w:rFonts w:ascii="Times New Roman;Times;serif" w:hAnsi="Times New Roman;Times;serif"/>
          <w:sz w:val="22"/>
        </w:rPr>
        <w:t>shall be entered against the Company or any of its Material Subsidiaries that are not paid or fully covered (beyond any applicable deductibles) by insurance and such judgment(s) or decree(s) shall not have been vacated, discharged or stayed or bonded pending appeal within 60 days from the entry thereof;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(xiii)</w:t>
      </w:r>
      <w:r>
        <w:rPr>
          <w:rFonts w:ascii="Times New Roman;Times;serif" w:hAnsi="Times New Roman;Times;serif"/>
          <w:sz w:val="22"/>
        </w:rPr>
        <w:t xml:space="preserve">any Transaction Document, at any time after its execution and delivery and for any reason other than as expressly permitted hereunder or thereunder or satisfaction in full of all the obligations evidenced by the Notes and under the other Transaction Documents, ceases to be in full force and effect; or any Credit Party </w:t>
      </w:r>
      <w:r>
        <w:rPr>
          <w:rFonts w:ascii="Times New Roman;Times;serif" w:hAnsi="Times New Roman;Times;serif"/>
          <w:color w:val="FF0000"/>
          <w:sz w:val="22"/>
        </w:rPr>
        <w:t>or any other Person</w:t>
      </w:r>
      <w:r>
        <w:rPr>
          <w:rFonts w:ascii="Times New Roman;Times;serif" w:hAnsi="Times New Roman;Times;serif"/>
          <w:sz w:val="20"/>
        </w:rPr>
        <w:t xml:space="preserve"> </w:t>
      </w:r>
      <w:r>
        <w:rPr>
          <w:rFonts w:ascii="Times New Roman;Times;serif" w:hAnsi="Times New Roman;Times;serif"/>
          <w:sz w:val="22"/>
        </w:rPr>
        <w:t>contests in any manner the validity or enforceability of any Transaction Document; or any Credit Party denies that it has any or further liability or obligation under any Transaction Document, or purports to revoke, terminate or rescind any Transaction Document;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(xiv)</w:t>
      </w:r>
      <w:r>
        <w:rPr>
          <w:rFonts w:ascii="Times New Roman;Times;serif" w:hAnsi="Times New Roman;Times;serif"/>
          <w:sz w:val="22"/>
        </w:rPr>
        <w:t>there occurs any Change of Control;</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then (a) if such event is an Event of Default specified in clause (vii), (viii) or (ix) of this paragraph 7A with respect to the Company or Matson Navigation, all of the Notes at the time outstanding shall automatically become immediately due and payable together with interest accrued thereon and the Yield-Maintenance Amount with respect thereto, without presentment, demand, protest or notice of any kind, all of which are hereby waived by the Company and Matson Navigation, and (b) with respect to any event constituting an Event of Default, the Required Holder(s) may at its or their option, by notice in writing to the Company, declare all of the Notes to be, and all of the Notes shall thereupon be and become, immediately due and payable together with interest accrued thereon and together with the Yield-Maintenance Amount, if any, with respect to each Note, without presentment, demand, protest or other notice of any kind, all of which are hereby waived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7B.</w:t>
      </w:r>
      <w:r>
        <w:rPr>
          <w:rFonts w:ascii="Times New Roman;Times;serif" w:hAnsi="Times New Roman;Times;serif"/>
          <w:b/>
          <w:sz w:val="22"/>
        </w:rPr>
        <w:t>Rescission of Acceleration</w:t>
      </w:r>
      <w:r>
        <w:rPr>
          <w:rFonts w:ascii="Times New Roman;Times;serif" w:hAnsi="Times New Roman;Times;serif"/>
          <w:sz w:val="22"/>
        </w:rPr>
        <w:t>. At any time after any or all of the Notes shall have been declared immediately due and payable pursuant to paragraph 7A, the Required Holder(s) may, by notice in writing to the Company, rescind and annul such declaration and its consequences if (i) the Company shall have paid all overdue interest on the Notes, the principal of and Yield-Maintenance Amount, if any, payable with respect to any Notes which have become due otherwise than by reason of such declaration, and interest on such overdue interest and overdue principal and Yield-Maintenance Amount at the rate specified in the Notes, (ii) the Company shall not have paid any amounts which have become due solely by reason of such declaration, (iii) all Events of Default and Defaults, other than non-payment of amounts which have become due solely by reason of such declaration, shall have been cured or waived pursuant to paragraph 11C, and (iv) no judgment or decree shall have been entered for the payment of any amounts due pursuant to the Notes or this Agreement. No such rescission or annulment shall extend to or affect any subsequent Event of Default or Default or impair any right arising therefrom.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7C.</w:t>
      </w:r>
      <w:r>
        <w:rPr>
          <w:rFonts w:ascii="Times New Roman;Times;serif" w:hAnsi="Times New Roman;Times;serif"/>
          <w:b/>
          <w:sz w:val="22"/>
        </w:rPr>
        <w:t>Notice of Acceleration or Rescission</w:t>
      </w:r>
      <w:r>
        <w:rPr>
          <w:rFonts w:ascii="Times New Roman;Times;serif" w:hAnsi="Times New Roman;Times;serif"/>
          <w:sz w:val="22"/>
        </w:rPr>
        <w:t>. Whenever any Note shall be declared immediately due and payable pursuant to paragraph 7A or any such declaration shall be rescinded and annulled pursuant to paragraph 7B, the Company shall forthwith give written notice thereof to the holder of each Note at the time outstanding.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7D.</w:t>
      </w:r>
      <w:r>
        <w:rPr>
          <w:rFonts w:ascii="Times New Roman;Times;serif" w:hAnsi="Times New Roman;Times;serif"/>
          <w:b/>
          <w:sz w:val="22"/>
        </w:rPr>
        <w:t>Other Remedies</w:t>
      </w:r>
      <w:r>
        <w:rPr>
          <w:rFonts w:ascii="Times New Roman;Times;serif" w:hAnsi="Times New Roman;Times;serif"/>
          <w:sz w:val="22"/>
        </w:rPr>
        <w:t>. If any Event of Default or Default shall occur and be continuing, the holder of any Note may proceed to protect and enforce its rights under this Agreement, the other Transaction Documents</w:t>
      </w:r>
      <w:r>
        <w:rPr>
          <w:rFonts w:ascii="Times New Roman;Times;serif" w:hAnsi="Times New Roman;Times;serif"/>
          <w:color w:val="0000FF"/>
          <w:sz w:val="22"/>
          <w:u w:val="single"/>
        </w:rPr>
        <w:t>, the Collateral Documents (subject to the Intercreditor Agreement)</w:t>
      </w:r>
      <w:r>
        <w:rPr>
          <w:rFonts w:ascii="Times New Roman;Times;serif" w:hAnsi="Times New Roman;Times;serif"/>
          <w:sz w:val="20"/>
        </w:rPr>
        <w:t xml:space="preserve"> </w:t>
      </w:r>
      <w:r>
        <w:rPr>
          <w:rFonts w:ascii="Times New Roman;Times;serif" w:hAnsi="Times New Roman;Times;serif"/>
          <w:sz w:val="22"/>
        </w:rPr>
        <w:t xml:space="preserve">and such Note by exercising such remedies as are available to such holder in respect thereof under applicable law, either by suit in equity or by action at law, or both, whether for specific performance of any covenant or other agreement contained in this Agreement or any other Transaction Document or </w:t>
      </w:r>
      <w:r>
        <w:rPr>
          <w:rFonts w:ascii="Times New Roman;Times;serif" w:hAnsi="Times New Roman;Times;serif"/>
          <w:color w:val="0000FF"/>
          <w:sz w:val="22"/>
          <w:u w:val="single"/>
        </w:rPr>
        <w:t>any Collateral Document or</w:t>
      </w:r>
      <w:r>
        <w:rPr>
          <w:rFonts w:ascii="Times New Roman;Times;serif" w:hAnsi="Times New Roman;Times;serif"/>
          <w:sz w:val="20"/>
        </w:rPr>
        <w:t xml:space="preserve"> </w:t>
      </w:r>
      <w:r>
        <w:rPr>
          <w:rFonts w:ascii="Times New Roman;Times;serif" w:hAnsi="Times New Roman;Times;serif"/>
          <w:sz w:val="22"/>
        </w:rPr>
        <w:t>in aid of the exercise of any power granted in this Agreement or any other Transaction Document</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or any Collateral Document</w:t>
      </w:r>
      <w:r>
        <w:rPr>
          <w:rFonts w:ascii="Times New Roman;Times;serif" w:hAnsi="Times New Roman;Times;serif"/>
          <w:sz w:val="22"/>
        </w:rPr>
        <w:t xml:space="preserve">. No remedy conferred in this Agreement or any other Transaction </w:t>
      </w:r>
      <w:r>
        <w:rPr>
          <w:rFonts w:ascii="Times New Roman;Times;serif" w:hAnsi="Times New Roman;Times;serif"/>
          <w:color w:val="0000FF"/>
          <w:sz w:val="22"/>
          <w:u w:val="single"/>
        </w:rPr>
        <w:t>Document or any Collateral</w:t>
      </w:r>
      <w:r>
        <w:rPr>
          <w:rFonts w:ascii="Times New Roman;Times;serif" w:hAnsi="Times New Roman;Times;serif"/>
          <w:sz w:val="20"/>
        </w:rPr>
        <w:t xml:space="preserve"> </w:t>
      </w:r>
      <w:r>
        <w:rPr>
          <w:rFonts w:ascii="Times New Roman;Times;serif" w:hAnsi="Times New Roman;Times;serif"/>
          <w:sz w:val="22"/>
        </w:rPr>
        <w:t>Document upon the holder of any Note is intended to be exclusive of any other remedy, and each and every such remedy shall be cumulative and shall be in addition to every other remedy conferred herein or now or hereafter existing at law or in equity or by statute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7E.</w:t>
      </w:r>
      <w:r>
        <w:rPr>
          <w:rFonts w:ascii="Times New Roman;Times;serif" w:hAnsi="Times New Roman;Times;serif"/>
          <w:b/>
          <w:sz w:val="22"/>
        </w:rPr>
        <w:t>Savings Clause</w:t>
      </w:r>
      <w:r>
        <w:rPr>
          <w:rFonts w:ascii="Times New Roman;Times;serif" w:hAnsi="Times New Roman;Times;serif"/>
          <w:sz w:val="22"/>
        </w:rPr>
        <w:t>. The provisions of paragraphs 7A(i) and (iv) are subject in all respects to the provisions of paragraph 6A(2) as to the matters set forth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w:t>
      </w:r>
      <w:r>
        <w:rPr>
          <w:rFonts w:ascii="Times New Roman;Times;serif" w:hAnsi="Times New Roman;Times;serif"/>
          <w:b/>
          <w:caps/>
          <w:sz w:val="22"/>
        </w:rPr>
        <w:t>REPRESENTATIONS, COVENANTS AND WARRANTIES</w:t>
      </w:r>
      <w:r>
        <w:rPr>
          <w:rFonts w:ascii="Times New Roman;Times;serif" w:hAnsi="Times New Roman;Times;serif"/>
          <w:sz w:val="22"/>
        </w:rPr>
        <w:t>. The Company represents, covenants and warrants as follows, immediately before and immediately after giving effect to the sale of the Notes on the Closing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8A.</w:t>
      </w:r>
      <w:r>
        <w:rPr>
          <w:rFonts w:ascii="Times New Roman;Times;serif" w:hAnsi="Times New Roman;Times;serif"/>
          <w:b/>
          <w:sz w:val="22"/>
        </w:rPr>
        <w:t>Organization</w:t>
      </w:r>
      <w:r>
        <w:rPr>
          <w:rFonts w:ascii="Times New Roman;Times;serif" w:hAnsi="Times New Roman;Times;serif"/>
          <w:sz w:val="22"/>
        </w:rPr>
        <w:t xml:space="preserve">. The Company and each Material Subsidiary is duly organized, validly existing and in good standing under the laws of the state of its organization. The Company and each Material Subsidiary has the full power and authority to own its properties and to carry on its business as now being conducted. Each Credit Party has full power, authority and right to execute and deliver, and to perform and observe, the provisions of the Transaction Documents to which it is a party and to carry out the transactions contemplated by such Transaction Documents. The execution, delivery and performance of the Transaction Documents to which any Credit Party is a party have been duly authorized by all necessary corporate and other action, and, when duly executed and delivered, will be the legal, valid and binding obligations of such Credit Party, enforceable against it in accordance with their respective terms. Set forth on </w:t>
      </w:r>
      <w:r>
        <w:rPr>
          <w:rFonts w:ascii="Times New Roman;Times;serif" w:hAnsi="Times New Roman;Times;serif"/>
          <w:sz w:val="22"/>
          <w:u w:val="single"/>
        </w:rPr>
        <w:t>Schedule 8A</w:t>
      </w:r>
      <w:r>
        <w:rPr>
          <w:rFonts w:ascii="Times New Roman;Times;serif" w:hAnsi="Times New Roman;Times;serif"/>
          <w:sz w:val="20"/>
        </w:rPr>
        <w:t xml:space="preserve"> </w:t>
      </w:r>
      <w:r>
        <w:rPr>
          <w:rFonts w:ascii="Times New Roman;Times;serif" w:hAnsi="Times New Roman;Times;serif"/>
          <w:sz w:val="22"/>
        </w:rPr>
        <w:t>is a list as of the date of this Agreement of each Material Subsidiary, together with information identifying each Material Domestic Subsidiary as of such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8B.</w:t>
      </w:r>
      <w:r>
        <w:rPr>
          <w:rFonts w:ascii="Times New Roman;Times;serif" w:hAnsi="Times New Roman;Times;serif"/>
          <w:b/>
          <w:sz w:val="22"/>
        </w:rPr>
        <w:t>Financial Statements</w:t>
      </w:r>
      <w:r>
        <w:rPr>
          <w:rFonts w:ascii="Times New Roman;Times;serif" w:hAnsi="Times New Roman;Times;serif"/>
          <w:sz w:val="22"/>
        </w:rPr>
        <w:t>. The Company has furnished each Purchaser with the following financial statements, identified by a principal financial officer of the Company: (i) consolidated balance sheets of the Company and its Subsidiaries as of each of December 31, 2013, December 31, 2014 and December 31, 2015, and consolidated statements of income, shareholders’ equity and cash flows of the Company and its Subsidiaries for each such year, certified by Deloitte &amp; Touche; and (ii) a consolidated balance sheet of the Company and its Subsidiaries as of September 30, 2016 and the comparable quarterly period in the preceding fiscal year and consolidated statements of income, stockholders’ equity and cash flows of the Company and its Subsidiaries for the period from the beginning of the fiscal year in which such quarterly period is included to the end of such quarterly period, prepared by the Company. Such financial statements (including any related schedules and/or notes) are true and correct in all material respects (subject, as to interim statements, to changes resulting from audits and year-end adjustments), have been prepared in accordance with GAAP consistently applied throughout the periods involved and show all liabilities, direct and contingent, of the Company and its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Subsidiaries required to be shown in accordance with such principles. The balance sheets fairly present the condition of the Company and its Subsidiaries as at the dates thereof, and the statements of income, shareholders’ equity and cash flows fairly present the results of the operations and cash flows of the Company and its Subsidiaries for the periods indicated. No material adverse change in the business, condition (financial or otherwise) operations or prospects of the Company and its Subsidiaries, taken as a whole, has occurred since December 31, 2015.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8C.</w:t>
      </w:r>
      <w:r>
        <w:rPr>
          <w:rFonts w:ascii="Times New Roman;Times;serif" w:hAnsi="Times New Roman;Times;serif"/>
          <w:b/>
          <w:sz w:val="22"/>
        </w:rPr>
        <w:t>Actions Pending</w:t>
      </w:r>
      <w:r>
        <w:rPr>
          <w:rFonts w:ascii="Times New Roman;Times;serif" w:hAnsi="Times New Roman;Times;serif"/>
          <w:sz w:val="22"/>
        </w:rPr>
        <w:t>. There is no action, suit, investigation or proceeding pending or, to the knowledge of the Company, threatened against the Company or any Subsidiary or any properties or rights of the Company or any Subsidiary, by or before any court, arbitrator or administrative or governmental body which could reasonably be expected to result in any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8D.</w:t>
      </w:r>
      <w:r>
        <w:rPr>
          <w:rFonts w:ascii="Times New Roman;Times;serif" w:hAnsi="Times New Roman;Times;serif"/>
          <w:b/>
          <w:sz w:val="22"/>
        </w:rPr>
        <w:t>Outstanding Debt</w:t>
      </w:r>
      <w:r>
        <w:rPr>
          <w:rFonts w:ascii="Times New Roman;Times;serif" w:hAnsi="Times New Roman;Times;serif"/>
          <w:sz w:val="22"/>
        </w:rPr>
        <w:t>. Neither the Company nor any Subsidiary has any Debt outstanding that is prohibited by paragraph 6A(2) or paragraph 6A(3). There exists no event of default under the provisions of any instrument evidencing any Debt of the Company or any Subsidiary or of any agreement relating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8E.</w:t>
      </w:r>
      <w:r>
        <w:rPr>
          <w:rFonts w:ascii="Times New Roman;Times;serif" w:hAnsi="Times New Roman;Times;serif"/>
          <w:b/>
          <w:sz w:val="22"/>
        </w:rPr>
        <w:t>Title to Properties</w:t>
      </w:r>
      <w:r>
        <w:rPr>
          <w:rFonts w:ascii="Times New Roman;Times;serif" w:hAnsi="Times New Roman;Times;serif"/>
          <w:sz w:val="22"/>
        </w:rPr>
        <w:t>. The Company has and each Subsidiary has good and indefeasible title to its respective real properties (other than properties which it leases) and good title to all of its other properties and assets, including the properties and assets reflected in the most recent audited balance sheet referred to in paragraph 8B (other than properties and assets disposed of in the ordinary course of business) except where the failure to have such good title would not reasonably be expected to have a Material Adverse Effect, subject to no Liens of any kind except Liens permitted by paragraph 6C(1). There is no material default, nor any event that, with notice or lapse of time or both, would constitute such a material default under any material lease to which either the Company or any Subsidiary is a lessee, lessor, sublessee or sublessor.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8F.</w:t>
      </w:r>
      <w:r>
        <w:rPr>
          <w:rFonts w:ascii="Times New Roman;Times;serif" w:hAnsi="Times New Roman;Times;serif"/>
          <w:b/>
          <w:sz w:val="22"/>
        </w:rPr>
        <w:t>Taxes</w:t>
      </w:r>
      <w:r>
        <w:rPr>
          <w:rFonts w:ascii="Times New Roman;Times;serif" w:hAnsi="Times New Roman;Times;serif"/>
          <w:sz w:val="22"/>
        </w:rPr>
        <w:t>. The Company has and each Material Subsidiary has filed all federal and state income tax and all other material tax and informational returns which are required to be filed by it. The Company and each such Subsidiary has paid all taxes as shown on its returns and on all assessments received to the extent that such taxes are not yet delinquent, except such taxes as are being contested in good faith by appropriate proceedings for which adequate reserves have been established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8G.</w:t>
      </w:r>
      <w:r>
        <w:rPr>
          <w:rFonts w:ascii="Times New Roman;Times;serif" w:hAnsi="Times New Roman;Times;serif"/>
          <w:b/>
          <w:sz w:val="22"/>
        </w:rPr>
        <w:t>Conflicting Agreements and Other Matters</w:t>
      </w:r>
      <w:r>
        <w:rPr>
          <w:rFonts w:ascii="Times New Roman;Times;serif" w:hAnsi="Times New Roman;Times;serif"/>
          <w:sz w:val="22"/>
        </w:rPr>
        <w:t>. Neither the execution and delivery of this Agreement, the Notes or any other Transaction Document, nor the offering, issuance and sale of the Notes, nor fulfillment of nor compliance with the terms and provisions of this Agreement, the Notes or any other Transaction Document will conflict with, or result in a breach of the terms, conditions or provisions of, or constitute a default under, or result in any violation of, or result in the creation of any Lien upon any of the properties or assets of the Company or any Subsidiary pursuant to, their respective articles or incorporation or bylaws (or other comparable governing documents, as applicable), any award of any arbitrator or any agreement, instrument, order, judgment, decree, statute, law, rule or regulation to which the Company or any Subsidiary is subject. As of the date of this Agreement, neither the Company nor any Subsidiary is a party to, or otherwise subject to any provision contained in, any instrument evidencing any of their respective Debt, any agreement relating thereto or any other contract or agreement which restricts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or otherwise limits the incurring of Debt pursuant hereto, except as set forth on </w:t>
      </w:r>
      <w:r>
        <w:rPr>
          <w:rFonts w:ascii="Times New Roman;Times;serif" w:hAnsi="Times New Roman;Times;serif"/>
          <w:sz w:val="22"/>
          <w:u w:val="single"/>
        </w:rPr>
        <w:t>Schedule 8G</w:t>
      </w:r>
      <w:r>
        <w:rPr>
          <w:rFonts w:ascii="Times New Roman;Times;serif" w:hAnsi="Times New Roman;Times;serif"/>
          <w:sz w:val="20"/>
        </w:rPr>
        <w:t xml:space="preserve"> </w:t>
      </w:r>
      <w:r>
        <w:rPr>
          <w:rFonts w:ascii="Times New Roman;Times;serif" w:hAnsi="Times New Roman;Times;serif"/>
          <w:sz w:val="22"/>
        </w:rPr>
        <w: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8H.</w:t>
      </w:r>
      <w:r>
        <w:rPr>
          <w:rFonts w:ascii="Times New Roman;Times;serif" w:hAnsi="Times New Roman;Times;serif"/>
          <w:b/>
          <w:sz w:val="22"/>
        </w:rPr>
        <w:t>Offering of the Notes.</w:t>
      </w:r>
      <w:r>
        <w:rPr>
          <w:rFonts w:ascii="Times New Roman;Times;serif" w:hAnsi="Times New Roman;Times;serif"/>
          <w:sz w:val="20"/>
        </w:rPr>
        <w:t xml:space="preserve"> </w:t>
      </w:r>
      <w:r>
        <w:rPr>
          <w:rFonts w:ascii="Times New Roman;Times;serif" w:hAnsi="Times New Roman;Times;serif"/>
          <w:sz w:val="22"/>
        </w:rPr>
        <w:t>Neither the Company nor any agent acting on its behalf has, directly or indirectly, offered the Notes or any similar security of the Company for sale to, or solicited any offers to buy the Notes or any similar security of the Company from, or otherwise approached or negotiated with respect thereto with, any Person or Persons other than the Purchasers and not more than 5 other Institutional Investors, each of which has been offered such security at a private sale for investment, and neither the Company nor any agent acting on its behalf has taken or will take any action which would subject the issuance or sale of the Notes to the provisions of Section 5 of the Securities Act or to the provisions of any securities or blue sky law of any applicable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8I.</w:t>
      </w:r>
      <w:r>
        <w:rPr>
          <w:rFonts w:ascii="Times New Roman;Times;serif" w:hAnsi="Times New Roman;Times;serif"/>
          <w:b/>
          <w:sz w:val="22"/>
        </w:rPr>
        <w:t>Use of Proceeds; Regulation</w:t>
      </w:r>
      <w:r>
        <w:rPr>
          <w:rFonts w:ascii="Times New Roman;Times;serif" w:hAnsi="Times New Roman;Times;serif"/>
          <w:caps/>
          <w:sz w:val="20"/>
        </w:rPr>
        <w:t xml:space="preserve"> </w:t>
      </w:r>
      <w:r>
        <w:rPr>
          <w:rFonts w:ascii="Times New Roman;Times;serif" w:hAnsi="Times New Roman;Times;serif"/>
          <w:b/>
          <w:caps/>
          <w:sz w:val="22"/>
        </w:rPr>
        <w:t xml:space="preserve">U, </w:t>
      </w:r>
      <w:r>
        <w:rPr>
          <w:rFonts w:ascii="Times New Roman;Times;serif" w:hAnsi="Times New Roman;Times;serif"/>
          <w:b/>
          <w:sz w:val="22"/>
        </w:rPr>
        <w:t>Etc</w:t>
      </w:r>
      <w:r>
        <w:rPr>
          <w:rFonts w:ascii="Times New Roman;Times;serif" w:hAnsi="Times New Roman;Times;serif"/>
          <w:sz w:val="22"/>
        </w:rPr>
        <w:t>. The proceeds of sale of the Notes will be used to repay indebtedness, for vessel construction and for other general corporate purposes. None of the proceeds of the Notes have been or will be used, directly or indirectly, for the purpose, whether immediate, incidental or ultimate, of purchasing or carrying any “margin stock” (as defined in Regulation U (12 CFR Part 221) of the Board of Governors of the Federal Reserve System (herein called “</w:t>
      </w:r>
      <w:r>
        <w:rPr>
          <w:rFonts w:ascii="Times New Roman;Times;serif" w:hAnsi="Times New Roman;Times;serif"/>
          <w:b/>
          <w:sz w:val="22"/>
        </w:rPr>
        <w:t>margin stock</w:t>
      </w:r>
      <w:r>
        <w:rPr>
          <w:rFonts w:ascii="Times New Roman;Times;serif" w:hAnsi="Times New Roman;Times;serif"/>
          <w:sz w:val="20"/>
        </w:rPr>
        <w:t>”</w:t>
      </w:r>
      <w:r>
        <w:rPr>
          <w:rFonts w:ascii="Times New Roman;Times;serif" w:hAnsi="Times New Roman;Times;serif"/>
          <w:sz w:val="22"/>
        </w:rPr>
        <w:t>)) or for the purpose of maintaining, reducing or retiring any indebtedness which was originally incurred to purchase or carry any stock that is currently a margin stock or for any other purpose which might constitute this transaction a “purpose credit” within the meaning of such Regulation U. Neither the Company nor any agent acting on its behalf has taken or will take any action which might cause this Agreement, the Notes or any other Transaction Document to violate Regulation U, Regulation T or any other regulation of the Board of Governors of the Federal Reserve System or to violate the Exchange Act, in each case as in effect now or as the same may hereafter be in effect. After applying the proceeds of the Notes, margin stock (within the meaning of Regulation U) will not constitute more than 25% of the value of the assets (either of the Company alone or the Company and its Subsidiaries on a consolidated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8J.</w:t>
      </w:r>
      <w:r>
        <w:rPr>
          <w:rFonts w:ascii="Times New Roman;Times;serif" w:hAnsi="Times New Roman;Times;serif"/>
          <w:b/>
          <w:caps/>
          <w:sz w:val="22"/>
        </w:rPr>
        <w:t>ERISA</w:t>
      </w:r>
      <w:r>
        <w:rPr>
          <w:rFonts w:ascii="Times New Roman;Times;serif" w:hAnsi="Times New Roman;Times;serif"/>
          <w:sz w:val="22"/>
        </w:rPr>
        <w:t>. No accumulated funding deficiency (as defined in section 302 of ERISA and section 412 of the Code), whether or not waived, exists with respect to any Plan (other than a Multiemployer Plan). No liability to the PBGC has been or is expected by the Company or any ERISA Affiliate to be incurred with respect to any Plan (other than a Multiemployer Plan) by the Company, any Subsidiary or any ERISA Affiliate which is or would be materially adverse to the business, condition (financial or otherwise) or operations of the Company and its Subsidiaries taken as a whole. None of the Company, any of its Subsidiaries or any ERISA Affiliate has incurred or presently expects to incur any withdrawal liability under Title IV of ERISA with respect to any Multiemployer Plan which is or would reasonably be expected to have a Material Adverse Effect. The execution and delivery of this Agreement and the other Transaction Documents and the issuance and sale of the Notes were and will be exempt from, or did not and will not involve any transaction which is subject to the prohibitions of, section 406 of ERISA and did not and will not involve any transaction in connection with which a penalty could be imposed under section 502(i) of ERISA or a tax could be imposed pursuant to section 4975 of the Code. The representation by the Company in the next preceding sentence is made in reliance upon and subject to the accuracy of the representation in paragraph 9B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8K.</w:t>
      </w:r>
      <w:r>
        <w:rPr>
          <w:rFonts w:ascii="Times New Roman;Times;serif" w:hAnsi="Times New Roman;Times;serif"/>
          <w:b/>
          <w:sz w:val="22"/>
        </w:rPr>
        <w:t>Governmental Consent</w:t>
      </w:r>
      <w:r>
        <w:rPr>
          <w:rFonts w:ascii="Times New Roman;Times;serif" w:hAnsi="Times New Roman;Times;serif"/>
          <w:sz w:val="22"/>
        </w:rPr>
        <w:t>. None of the nature of the Company or any of its Subsidiaries, or any of their respective businesses or properties, or any relationship between the Company or a Subsidiary and any other Person, or any circumstance in connection with the offering, issuance, sale or delivery of the Notes is such as to require as of the Closing Day on the part of the Company or any Subsidiary any authorization, consent, approval, exemption or other action by, notice to or filing with any court, administrative or governmental body (other than routine filings after the Closing Day with the SEC and/or state blue sky authorities) in connection with (i) the execution and delivery of this Agreement or the other Transaction Documents, (ii) the offering, issuance, sale or delivery of the Notes or (iii) fulfillment of or compliance with the terms and provisions of this Agreement, the Notes or the other Transaction Documents, in each case that has not been obtained.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8L.</w:t>
      </w:r>
      <w:r>
        <w:rPr>
          <w:rFonts w:ascii="Times New Roman;Times;serif" w:hAnsi="Times New Roman;Times;serif"/>
          <w:b/>
          <w:sz w:val="22"/>
        </w:rPr>
        <w:t>Holding Company and Investment Company Status</w:t>
      </w:r>
      <w:r>
        <w:rPr>
          <w:rFonts w:ascii="Times New Roman;Times;serif" w:hAnsi="Times New Roman;Times;serif"/>
          <w:sz w:val="22"/>
        </w:rPr>
        <w:t>. Neither the Company nor any Subsidiary is an “investment company” or a company “controlled” by an “investment company” within the meaning of the Investment Company Act of 1940, as amended, or a “public utility” within the meaning of the Federal Power Act,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8M.</w:t>
      </w:r>
      <w:r>
        <w:rPr>
          <w:rFonts w:ascii="Times New Roman;Times;serif" w:hAnsi="Times New Roman;Times;serif"/>
          <w:b/>
          <w:sz w:val="22"/>
        </w:rPr>
        <w:t>Possession of Franchises, Licenses, Etc</w:t>
      </w:r>
      <w:r>
        <w:rPr>
          <w:rFonts w:ascii="Times New Roman;Times;serif" w:hAnsi="Times New Roman;Times;serif"/>
          <w:sz w:val="22"/>
        </w:rPr>
        <w:t>. The Company and its Subsidiaries possess all material franchises, certificates, licenses, development and other permits and other authorizations from governmental political subdivisions or regulatory authorities and all patents, trademarks, service marks, trade names, copyrights, licenses, easements, rights of way and other rights (collectively, “</w:t>
      </w:r>
      <w:r>
        <w:rPr>
          <w:rFonts w:ascii="Times New Roman;Times;serif" w:hAnsi="Times New Roman;Times;serif"/>
          <w:b/>
          <w:sz w:val="22"/>
        </w:rPr>
        <w:t>Material Rights</w:t>
      </w:r>
      <w:r>
        <w:rPr>
          <w:rFonts w:ascii="Times New Roman;Times;serif" w:hAnsi="Times New Roman;Times;serif"/>
          <w:sz w:val="20"/>
        </w:rPr>
        <w:t>”</w:t>
      </w:r>
      <w:r>
        <w:rPr>
          <w:rFonts w:ascii="Times New Roman;Times;serif" w:hAnsi="Times New Roman;Times;serif"/>
          <w:sz w:val="22"/>
        </w:rPr>
        <w:t>), free from burdensome restriction, that are necessary in the judgment of the Company in any material respect for the ownership, maintenance and operation of their business, properties and assets, and neither the Company nor any of its Subsidiaries is in violation of any Material Rights in any material respect. No event has occurred which permits, or after notice or lapse of time or both would permit, the revocation or termination of any such Material Rights, or which materially and adversely affects the rights of the Company or its Subsidiaries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8N.</w:t>
      </w:r>
      <w:r>
        <w:rPr>
          <w:rFonts w:ascii="Times New Roman;Times;serif" w:hAnsi="Times New Roman;Times;serif"/>
          <w:b/>
          <w:sz w:val="22"/>
        </w:rPr>
        <w:t>Environmental and Safety Matters</w:t>
      </w:r>
      <w:r>
        <w:rPr>
          <w:rFonts w:ascii="Times New Roman;Times;serif" w:hAnsi="Times New Roman;Times;serif"/>
          <w:sz w:val="22"/>
        </w:rPr>
        <w:t>. The Company and its Subsidiaries and all of their respective properties and facilities have complied at all times and in all respects with all Environmental and Safety Laws except where failure to comply would not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8O.</w:t>
      </w:r>
      <w:r>
        <w:rPr>
          <w:rFonts w:ascii="Times New Roman;Times;serif" w:hAnsi="Times New Roman;Times;serif"/>
          <w:b/>
          <w:sz w:val="22"/>
        </w:rPr>
        <w:t>Employee Relations</w:t>
      </w:r>
      <w:r>
        <w:rPr>
          <w:rFonts w:ascii="Times New Roman;Times;serif" w:hAnsi="Times New Roman;Times;serif"/>
          <w:sz w:val="22"/>
        </w:rPr>
        <w:t>. Neither the Company nor any Subsidiary is the subject of (i) any material strike, work slowdown or stoppage, union organizing drive or other similar activity or (ii) any material action, suit, investigation or other proceeding involving alleged employment discrimination, unfair termination, employee safety or similar matters or, to the best knowledge of the Company, is any such event imminent or likely to occur except those which, individually or in aggregate,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8P.</w:t>
      </w:r>
      <w:r>
        <w:rPr>
          <w:rFonts w:ascii="Times New Roman;Times;serif" w:hAnsi="Times New Roman;Times;serif"/>
          <w:b/>
          <w:sz w:val="22"/>
        </w:rPr>
        <w:t>Shipping-Related Legislation</w:t>
      </w:r>
      <w:r>
        <w:rPr>
          <w:rFonts w:ascii="Times New Roman;Times;serif" w:hAnsi="Times New Roman;Times;serif"/>
          <w:sz w:val="22"/>
        </w:rPr>
        <w:t>. To the best knowledge of the Company, no legislation has been introduced or enacted to either repeal or substantially modify Section 27 of the Merchant Marine Act, 1920, as amended to the date of this Agreement, commonly referred to as the Jones Act in a manner that could reasonably be expected to have a Material Adverse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8Q.</w:t>
      </w:r>
      <w:r>
        <w:rPr>
          <w:rFonts w:ascii="Times New Roman;Times;serif" w:hAnsi="Times New Roman;Times;serif"/>
          <w:b/>
          <w:sz w:val="22"/>
        </w:rPr>
        <w:t>Disclosure</w:t>
      </w:r>
      <w:r>
        <w:rPr>
          <w:rFonts w:ascii="Times New Roman;Times;serif" w:hAnsi="Times New Roman;Times;serif"/>
          <w:sz w:val="22"/>
        </w:rPr>
        <w:t xml:space="preserve">. Neither this Agreement, any other Transaction Document nor any other document, certificate or statement furnished to any Purchaser by or on behalf of the Company or Matson Navigation in connection herewith contains any untrue statement of a material fact or omits to state a material fact necessary in order to make the statements contained herein and therein, taken as a whole, not misleading in light of the circumstances under which they were made; </w:t>
      </w:r>
      <w:r>
        <w:rPr>
          <w:rFonts w:ascii="Times New Roman;Times;serif" w:hAnsi="Times New Roman;Times;serif"/>
          <w:sz w:val="22"/>
          <w:u w:val="single"/>
        </w:rPr>
        <w:t>provided</w:t>
      </w:r>
      <w:r>
        <w:rPr>
          <w:rFonts w:ascii="Times New Roman;Times;serif" w:hAnsi="Times New Roman;Times;serif"/>
          <w:sz w:val="22"/>
        </w:rPr>
        <w:t>, that with respect to projections and other pro forma financial information included in such information, the Company only represents that such information was prepared in good faith based upon estimates and assumptions believed by the preparer thereof to be reasonable at the time made, it being recognized by the Purchasers that such financial information as it relates to future events is not to be viewed as a fact and that actual results during the period or periods covered by such financial information may differ from the projected results set forth therein by a material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8R.</w:t>
      </w:r>
      <w:r>
        <w:rPr>
          <w:rFonts w:ascii="Times New Roman;Times;serif" w:hAnsi="Times New Roman;Times;serif"/>
          <w:b/>
          <w:sz w:val="22"/>
        </w:rPr>
        <w:t>Foreign Assets Control Regulations, Etc.</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Neither the Company nor any Controlled Entity (i) is a Blocked Person, (ii) has been notified that its name appears or may in the future appear on a State Sanctions List or (iii) is a target of sanctions that have been imposed by the United Nations or the European Union.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Neither the Company nor any Controlled Entity (i) has violated, been found in violation of, or been charged or convicted under, any applicable U.S. Economic Sanctions Laws, Anti-Money Laundering Laws or Anti-Corruption Laws or (ii) to the Company’s knowledge, is under investigation by any Governmental Authority for possible violation of any applicable U.S. Economic Sanctions Laws, Anti-Money Laundering Laws or Anti-Corruption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No part of the proceeds from the sale of the Notes hereunder:</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(i)assuming, to the extent relevant, compliance by each of the Purchasers with U.S. Economic Sanctions laws, constitutes or will constitute funds obtained on behalf of any Blocked Person or will otherwise be used by the Company or any Controlled Entity, directly or indirectly, (A) in connection with any investment in, or any transactions or dealings with, any Blocked Person, (B) for any purpose that would cause any Purchaser to be in violation of any U.S. Economic Sanctions Laws or (C) otherwise in violation of any U.S. Economic Sanctions Laws;</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(ii)will be used, directly or indirectly, in violation of, or cause any Purchaser to be in violation of, any applicable Anti-Money Laundering Laws; or</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(iii)will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Anti-Corruption Laws.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000FF"/>
          <w:sz w:val="22"/>
        </w:rPr>
        <w:t>8S.</w:t>
      </w:r>
      <w:r>
        <w:rPr>
          <w:rFonts w:ascii="Times New Roman;Times;serif" w:hAnsi="Times New Roman;Times;serif"/>
          <w:b/>
          <w:color w:val="0000FF"/>
          <w:sz w:val="22"/>
        </w:rPr>
        <w:t>Outbound Investment Rules</w:t>
      </w:r>
      <w:r>
        <w:rPr>
          <w:rFonts w:ascii="Times New Roman;Times;serif" w:hAnsi="Times New Roman;Times;serif"/>
          <w:color w:val="0000FF"/>
          <w:sz w:val="22"/>
          <w:u w:val="single"/>
        </w:rPr>
        <w:t>. Neither the Company nor any Subsidiary is a “covered foreign person” as that term is used in the Outbound Investment Rules. Neither the Company nor any Subsidiary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the Company or such Subsidiary were a United States Person, or (c) any other activity that would cause the Collateral Agent or any holder of the Notes to be in violation of the Outbound Investment Rules or cause the Collateral Agent or any holder of the Notes to be legally prohibited by the Outbound Investment Rules from performing under this Agreement or any other Transaction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w:t>
      </w:r>
      <w:r>
        <w:rPr>
          <w:rFonts w:ascii="Times New Roman;Times;serif" w:hAnsi="Times New Roman;Times;serif"/>
          <w:b/>
          <w:caps/>
          <w:sz w:val="22"/>
        </w:rPr>
        <w:t>REPRESENTATIONS OF THE PURCHASERS</w:t>
      </w:r>
      <w:r>
        <w:rPr>
          <w:rFonts w:ascii="Times New Roman;Times;serif" w:hAnsi="Times New Roman;Times;serif"/>
          <w:sz w:val="22"/>
        </w:rPr>
        <w:t>. Each Purchaser represents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9A.</w:t>
      </w:r>
      <w:r>
        <w:rPr>
          <w:rFonts w:ascii="Times New Roman;Times;serif" w:hAnsi="Times New Roman;Times;serif"/>
          <w:b/>
          <w:sz w:val="22"/>
        </w:rPr>
        <w:t>Nature of Purchase.</w:t>
      </w:r>
      <w:r>
        <w:rPr>
          <w:rFonts w:ascii="Times New Roman;Times;serif" w:hAnsi="Times New Roman;Times;serif"/>
          <w:sz w:val="20"/>
        </w:rPr>
        <w:t xml:space="preserve"> </w:t>
      </w:r>
      <w:r>
        <w:rPr>
          <w:rFonts w:ascii="Times New Roman;Times;serif" w:hAnsi="Times New Roman;Times;serif"/>
          <w:sz w:val="22"/>
        </w:rPr>
        <w:t xml:space="preserve">Such Purchaser is acquiring the Notes purchased by it hereunder for the purpose of investment for its own account or for the account of funds that it manages for investment purposes and not with a view to or for sale in connection with any distribution thereof within the meaning of the Securities Act,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disposition of such Purchaser’s property shall at all times be and remain within its control. Such Purchaser has no present intention of selling, granting participation in, or otherwise distributing any of the Notes to be issued to it in any transaction which would be in violation of the securities laws of the United States of America or any state or other jurisdiction thereof, without prejudice, however, to Purchaser’s rights at all times to sell or otherwise dispose of all or any part of such securities under a registration under Securities Act or under an exemption from such registration available under the Securities Act and subject, nevertheless, to the disposition of such Purchaser’s property being at all times within its control. Such Purchaser acknowledges that the Notes will not, on the Closing Day, be registered under the Securities Act, on the grounds that the sale provided for in this Agreement and the issuance of securities hereunder is exempt from registration under the Securities Act, and that the Company’s reliance on such exemption is predicated on the representations set forth in this Article 9.</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9B.</w:t>
      </w:r>
      <w:r>
        <w:rPr>
          <w:rFonts w:ascii="Times New Roman;Times;serif" w:hAnsi="Times New Roman;Times;serif"/>
          <w:b/>
          <w:sz w:val="22"/>
        </w:rPr>
        <w:t>Source of Funds.</w:t>
      </w:r>
      <w:r>
        <w:rPr>
          <w:rFonts w:ascii="Times New Roman;Times;serif" w:hAnsi="Times New Roman;Times;serif"/>
          <w:sz w:val="20"/>
        </w:rPr>
        <w:t xml:space="preserve"> </w:t>
      </w:r>
      <w:r>
        <w:rPr>
          <w:rFonts w:ascii="Times New Roman;Times;serif" w:hAnsi="Times New Roman;Times;serif"/>
          <w:sz w:val="22"/>
        </w:rPr>
        <w:t>At least one of the following statements is an accurate representation as to each source of funds (a “</w:t>
      </w:r>
      <w:r>
        <w:rPr>
          <w:rFonts w:ascii="Times New Roman;Times;serif" w:hAnsi="Times New Roman;Times;serif"/>
          <w:b/>
          <w:sz w:val="22"/>
        </w:rPr>
        <w:t>Source</w:t>
      </w:r>
      <w:r>
        <w:rPr>
          <w:rFonts w:ascii="Times New Roman;Times;serif" w:hAnsi="Times New Roman;Times;serif"/>
          <w:sz w:val="20"/>
        </w:rPr>
        <w:t>”</w:t>
      </w:r>
      <w:r>
        <w:rPr>
          <w:rFonts w:ascii="Times New Roman;Times;serif" w:hAnsi="Times New Roman;Times;serif"/>
          <w:sz w:val="22"/>
        </w:rPr>
        <w:t>) to be used by such Purchaser to pay the purchase price of the Notes to be purchased by such Purchaser 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the Source is an “insurance company general account” (as that term is defined in the United States Department of Labor’s Prohibited Transaction Exemption (“</w:t>
      </w:r>
      <w:r>
        <w:rPr>
          <w:rFonts w:ascii="Times New Roman;Times;serif" w:hAnsi="Times New Roman;Times;serif"/>
          <w:b/>
          <w:sz w:val="22"/>
        </w:rPr>
        <w:t>PTE</w:t>
      </w:r>
      <w:r>
        <w:rPr>
          <w:rFonts w:ascii="Times New Roman;Times;serif" w:hAnsi="Times New Roman;Times;serif"/>
          <w:sz w:val="20"/>
        </w:rPr>
        <w:t>”</w:t>
      </w:r>
      <w:r>
        <w:rPr>
          <w:rFonts w:ascii="Times New Roman;Times;serif" w:hAnsi="Times New Roman;Times;serif"/>
          <w:sz w:val="22"/>
        </w:rPr>
        <w:t>) 95-60) in respect of which the reserves and liabilities (as defined by the annual statement for life insurance companies approved by the National Association of Insurance Commissioners (the “</w:t>
      </w:r>
      <w:r>
        <w:rPr>
          <w:rFonts w:ascii="Times New Roman;Times;serif" w:hAnsi="Times New Roman;Times;serif"/>
          <w:b/>
          <w:sz w:val="22"/>
        </w:rPr>
        <w:t>NAIC Annual Statement</w:t>
      </w:r>
      <w:r>
        <w:rPr>
          <w:rFonts w:ascii="Times New Roman;Times;serif" w:hAnsi="Times New Roman;Times;serif"/>
          <w:sz w:val="20"/>
        </w:rPr>
        <w:t>”</w:t>
      </w:r>
      <w:r>
        <w:rPr>
          <w:rFonts w:ascii="Times New Roman;Times;serif" w:hAnsi="Times New Roman;Times;serif"/>
          <w:sz w:val="22"/>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plus surplus as set forth in the NAIC Annual Statement filed with such Purchaser’s state of domicile;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the Source is either (a) an insurance company pooled separate account, within the meaning of PTE 90-1, or (b) a bank collective investment fund, within the meaning of the PTE 91-38 and, except as disclosed by such Purchaser to the Company in writing pursuant to this clause (iii), no employee benefit plan or group of plans maintained by the same employer or employee organization beneficially owns more than 10% of all assets allocated to such pooled separate account or collective investment fund;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the Source constitutes assets of an “investment fund” (within the meaning of Part VI of PTE 84-14 (the “</w:t>
      </w:r>
      <w:r>
        <w:rPr>
          <w:rFonts w:ascii="Times New Roman;Times;serif" w:hAnsi="Times New Roman;Times;serif"/>
          <w:b/>
          <w:sz w:val="22"/>
        </w:rPr>
        <w:t>QPAM Exemption</w:t>
      </w:r>
      <w:r>
        <w:rPr>
          <w:rFonts w:ascii="Times New Roman;Times;serif" w:hAnsi="Times New Roman;Times;serif"/>
          <w:sz w:val="20"/>
        </w:rPr>
        <w:t>”</w:t>
      </w:r>
      <w:r>
        <w:rPr>
          <w:rFonts w:ascii="Times New Roman;Times;serif" w:hAnsi="Times New Roman;Times;serif"/>
          <w:sz w:val="22"/>
        </w:rPr>
        <w:t>))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(a) the identity of such QPAM and (b)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(iv);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the Source constitutes assets of a “plan(s)” (within the meaning of Part IV(h) of PTE 96-23 (the “</w:t>
      </w:r>
      <w:r>
        <w:rPr>
          <w:rFonts w:ascii="Times New Roman;Times;serif" w:hAnsi="Times New Roman;Times;serif"/>
          <w:b/>
          <w:sz w:val="22"/>
        </w:rPr>
        <w:t>INHAM Exemption</w:t>
      </w:r>
      <w:r>
        <w:rPr>
          <w:rFonts w:ascii="Times New Roman;Times;serif" w:hAnsi="Times New Roman;Times;serif"/>
          <w:sz w:val="20"/>
        </w:rPr>
        <w:t>”</w:t>
      </w:r>
      <w:r>
        <w:rPr>
          <w:rFonts w:ascii="Times New Roman;Times;serif" w:hAnsi="Times New Roman;Times;serif"/>
          <w:sz w:val="22"/>
        </w:rPr>
        <w:t>)) managed by an “in-house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(a) the identity of such INHAM and (b) the name(s) of the employee benefit plan(s) whose assets constitute the Source have been disclosed to the Company in writing pursuant to this clause (v);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the Source is a governmental plan;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w:t>
      </w:r>
      <w:r>
        <w:rPr>
          <w:rFonts w:ascii="Times New Roman;Times;serif" w:hAnsi="Times New Roman;Times;serif"/>
          <w:sz w:val="22"/>
        </w:rPr>
        <w:t>the Source is one or more employee benefit plans, or a separate account or trust fund comprised of one or more employee benefit plans, each of which has been identified to the Company in writing pursuant to this clause (vii);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(viii)</w:t>
      </w:r>
      <w:r>
        <w:rPr>
          <w:rFonts w:ascii="Times New Roman;Times;serif" w:hAnsi="Times New Roman;Times;serif"/>
          <w:sz w:val="22"/>
        </w:rPr>
        <w:t>the Source does not include assets of any employee benefit plan, other than a plan exempt from the coverage of ERISA.</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As used in this paragraph 9B, the terms “employee benefit plan”, “governmental plan”, and “separate account” shall have the respective meanings assigned to such terms in Section 3 of ERISA.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9C.</w:t>
      </w:r>
      <w:r>
        <w:rPr>
          <w:rFonts w:ascii="Times New Roman;Times;serif" w:hAnsi="Times New Roman;Times;serif"/>
          <w:b/>
          <w:sz w:val="22"/>
        </w:rPr>
        <w:t>Experience and Information.</w:t>
      </w:r>
      <w:r>
        <w:rPr>
          <w:rFonts w:ascii="Times New Roman;Times;serif" w:hAnsi="Times New Roman;Times;serif"/>
          <w:sz w:val="20"/>
        </w:rPr>
        <w:t xml:space="preserve"> </w:t>
      </w:r>
      <w:r>
        <w:rPr>
          <w:rFonts w:ascii="Times New Roman;Times;serif" w:hAnsi="Times New Roman;Times;serif"/>
          <w:sz w:val="22"/>
        </w:rPr>
        <w:t xml:space="preserve">Such Purchaser: (a) is an “accredited investor” as defined in Rule 501 of Regulation D promulgated under the Securities Act; (b) understands that the Notes have not been registered under the Securities Act, or under any state securities laws, and are being offered and sold in reliance upon federal and state exemptions for transactions not involving any public offering; (c) by and through its officers or investment advisor (each of whom has such knowledge and experience in financial and business matters as to be capable of evaluating such Purchaser’s investment), has such knowledge and experience in financial and business matters as to be capable of evaluating its investment, and such Purchaser has the ability to bear the economic risks of its investment; (d) by and through its officers or investment advisor, has reviewed this Agreement, including all exhibits and schedules hereto, and has received the financial statements referred to in paragraph 8B; and (e) by and through its officers or investment advisor, has had, during the course of the transactions contemplated hereby and prior to its receipt of the Notes be purchased by it, the opportunity to ask questions of, and has received answers from, the Company concerning the transactions contemplated hereby and to obtain any additional information which the Company possesses or could acquire without unreasonable effort or expense;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nothing in this representation nor any such investigation by such Purchaser or by its officers or investment advisor shall limit, diminish, or constitute a waiver of any representation or warranty made under this Agreement or any Transaction Document by the Company and or impair any rights which such Purchaser may have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9D.</w:t>
      </w:r>
      <w:r>
        <w:rPr>
          <w:rFonts w:ascii="Times New Roman;Times;serif" w:hAnsi="Times New Roman;Times;serif"/>
          <w:b/>
          <w:sz w:val="22"/>
        </w:rPr>
        <w:t>Rule </w:t>
      </w:r>
      <w:r>
        <w:rPr>
          <w:rFonts w:ascii="Times New Roman;Times;serif" w:hAnsi="Times New Roman;Times;serif"/>
          <w:b/>
          <w:caps/>
          <w:sz w:val="22"/>
        </w:rPr>
        <w:t>144</w:t>
      </w:r>
      <w:r>
        <w:rPr>
          <w:rFonts w:ascii="Times New Roman;Times;serif" w:hAnsi="Times New Roman;Times;serif"/>
          <w:b/>
          <w:sz w:val="22"/>
        </w:rPr>
        <w:t>.</w:t>
      </w:r>
      <w:r>
        <w:rPr>
          <w:rFonts w:ascii="Times New Roman;Times;serif" w:hAnsi="Times New Roman;Times;serif"/>
          <w:sz w:val="20"/>
        </w:rPr>
        <w:t xml:space="preserve"> </w:t>
      </w:r>
      <w:r>
        <w:rPr>
          <w:rFonts w:ascii="Times New Roman;Times;serif" w:hAnsi="Times New Roman;Times;serif"/>
          <w:sz w:val="22"/>
        </w:rPr>
        <w:t>Such Purchaser understands that the Notes may not be sold, transferred, or otherwise disposed of without registration under the Securities Act or the availability of an exemption therefrom and that in the absence of such registration or exemption, the Notes must be held indefinitely. In particular, such Purchaser is aware that the Notes may not be sold pursuant to Rule 144 promulgated under the Securities Act unless all of the applicable conditions of such rule are met, and that the Company is making no representation that such conditions will be met in the future. Such Purchaser represents that, in the absence of an effective registration statement covering the Notes, it will sell, transfer, or otherwise dispose of the Notes only in a manner consistent with its representations set forth in paragraph 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9E.</w:t>
      </w:r>
      <w:r>
        <w:rPr>
          <w:rFonts w:ascii="Times New Roman;Times;serif" w:hAnsi="Times New Roman;Times;serif"/>
          <w:b/>
          <w:sz w:val="22"/>
        </w:rPr>
        <w:t>Legends.</w:t>
      </w:r>
      <w:r>
        <w:rPr>
          <w:rFonts w:ascii="Times New Roman;Times;serif" w:hAnsi="Times New Roman;Times;serif"/>
          <w:sz w:val="20"/>
        </w:rPr>
        <w:t xml:space="preserve"> </w:t>
      </w:r>
      <w:r>
        <w:rPr>
          <w:rFonts w:ascii="Times New Roman;Times;serif" w:hAnsi="Times New Roman;Times;serif"/>
          <w:sz w:val="22"/>
        </w:rPr>
        <w:t>Such Purchaser understands that the certificates evidencing the Notes will bear the following legends, in addition to any legend required by applicable state securities laws:</w:t>
      </w:r>
    </w:p>
    <w:p>
      <w:pPr>
        <w:pStyle w:val="TextBody"/>
        <w:bidi w:val="0"/>
        <w:spacing w:before="0" w:after="240"/>
        <w:ind w:left="0" w:right="0" w:firstLine="720"/>
        <w:jc w:val="both"/>
        <w:rPr/>
      </w:pPr>
      <w:r>
        <w:rPr/>
        <w:t>“</w:t>
      </w:r>
      <w:r>
        <w:rPr>
          <w:rFonts w:ascii="Times New Roman;Times;serif" w:hAnsi="Times New Roman;Times;serif"/>
          <w:sz w:val="22"/>
        </w:rPr>
        <w:t>THE SECURITIES REPRESENTED BY THIS NOTE HAVE NOT BEEN REGISTERED UNDER THE SECURITIES ACT OF 1933, AS AMENDED (THE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THEY MAY NOT BE SOLD, OFFERED FOR SALE, TRANSFERRED OR OTHERWISE DISPOSED OF IN THE ABSENCE OF AN EFFECTIVE REGISTRATION STATEMENT UNDER SAID ACT OR PURSUANT TO AN EXEMPTION FROM THE REQUIREMENT FOR SUCH A REGISTRATION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w:t>
      </w:r>
      <w:r>
        <w:rPr>
          <w:rFonts w:ascii="Times New Roman;Times;serif" w:hAnsi="Times New Roman;Times;serif"/>
          <w:b/>
          <w:caps/>
          <w:sz w:val="22"/>
        </w:rPr>
        <w:t>DEFINITIONS; ACCOUNTING MATTERS</w:t>
      </w:r>
      <w:r>
        <w:rPr>
          <w:rFonts w:ascii="Times New Roman;Times;serif" w:hAnsi="Times New Roman;Times;serif"/>
          <w:sz w:val="22"/>
        </w:rPr>
        <w:t>. For the purpose of this Agreement, the terms defined in paragraphs 10A and 10B (or within the text of any other paragraph) shall have the respective meanings specified therein and all accounting matters shall be subject to determination as provided in paragraph 10C.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10A.</w:t>
      </w:r>
      <w:r>
        <w:rPr>
          <w:rFonts w:ascii="Times New Roman;Times;serif" w:hAnsi="Times New Roman;Times;serif"/>
          <w:b/>
          <w:sz w:val="22"/>
        </w:rPr>
        <w:t>Yield-Maintenance Terms.</w:t>
      </w:r>
    </w:p>
    <w:p>
      <w:pPr>
        <w:pStyle w:val="TextBody"/>
        <w:bidi w:val="0"/>
        <w:spacing w:before="0" w:after="240"/>
        <w:ind w:left="0" w:right="0" w:firstLine="720"/>
        <w:jc w:val="both"/>
        <w:rPr/>
      </w:pPr>
      <w:r>
        <w:rPr/>
        <w:t>“</w:t>
      </w:r>
      <w:r>
        <w:rPr>
          <w:rFonts w:ascii="Times New Roman;Times;serif" w:hAnsi="Times New Roman;Times;serif"/>
          <w:b/>
          <w:sz w:val="22"/>
        </w:rPr>
        <w:t>Business Day</w:t>
      </w:r>
      <w:r>
        <w:rPr>
          <w:rFonts w:ascii="Times New Roman;Times;serif" w:hAnsi="Times New Roman;Times;serif"/>
          <w:sz w:val="20"/>
        </w:rPr>
        <w:t xml:space="preserve">” </w:t>
      </w:r>
      <w:r>
        <w:rPr>
          <w:rFonts w:ascii="Times New Roman;Times;serif" w:hAnsi="Times New Roman;Times;serif"/>
          <w:sz w:val="22"/>
        </w:rPr>
        <w:t>means any day other than a Saturday, a Sunday or a day on which commercial banks in New York City or San Francisco, California are required or authorized to be closed.</w:t>
      </w:r>
    </w:p>
    <w:p>
      <w:pPr>
        <w:pStyle w:val="TextBody"/>
        <w:bidi w:val="0"/>
        <w:spacing w:before="0" w:after="240"/>
        <w:ind w:left="0" w:right="0" w:firstLine="720"/>
        <w:jc w:val="both"/>
        <w:rPr/>
      </w:pPr>
      <w:r>
        <w:rPr/>
        <w:t>“</w:t>
      </w:r>
      <w:r>
        <w:rPr>
          <w:rFonts w:ascii="Times New Roman;Times;serif" w:hAnsi="Times New Roman;Times;serif"/>
          <w:b/>
          <w:sz w:val="22"/>
        </w:rPr>
        <w:t>Called Principal</w:t>
      </w:r>
      <w:r>
        <w:rPr>
          <w:rFonts w:ascii="Times New Roman;Times;serif" w:hAnsi="Times New Roman;Times;serif"/>
          <w:sz w:val="20"/>
        </w:rPr>
        <w:t xml:space="preserve">” </w:t>
      </w:r>
      <w:r>
        <w:rPr>
          <w:rFonts w:ascii="Times New Roman;Times;serif" w:hAnsi="Times New Roman;Times;serif"/>
          <w:sz w:val="22"/>
        </w:rPr>
        <w:t>means, with respect to any Note, the principal of such Note that (i) is to be prepaid pursuant to paragraph 4B or (ii) has become or is declared to be immediately due and payable pursuant to paragraph 7A, as the context requires.</w:t>
      </w:r>
    </w:p>
    <w:p>
      <w:pPr>
        <w:pStyle w:val="TextBody"/>
        <w:bidi w:val="0"/>
        <w:spacing w:before="0" w:after="240"/>
        <w:ind w:left="0" w:right="0" w:firstLine="720"/>
        <w:jc w:val="both"/>
        <w:rPr/>
      </w:pPr>
      <w:r>
        <w:rPr/>
        <w:t>“</w:t>
      </w:r>
      <w:r>
        <w:rPr>
          <w:rFonts w:ascii="Times New Roman;Times;serif" w:hAnsi="Times New Roman;Times;serif"/>
          <w:b/>
          <w:sz w:val="22"/>
        </w:rPr>
        <w:t>Designated Spread</w:t>
      </w:r>
      <w:r>
        <w:rPr>
          <w:rFonts w:ascii="Times New Roman;Times;serif" w:hAnsi="Times New Roman;Times;serif"/>
          <w:sz w:val="20"/>
        </w:rPr>
        <w:t xml:space="preserve">” </w:t>
      </w:r>
      <w:r>
        <w:rPr>
          <w:rFonts w:ascii="Times New Roman;Times;serif" w:hAnsi="Times New Roman;Times;serif"/>
          <w:sz w:val="22"/>
        </w:rPr>
        <w:t>means 50 basis points.</w:t>
      </w:r>
    </w:p>
    <w:p>
      <w:pPr>
        <w:pStyle w:val="TextBody"/>
        <w:bidi w:val="0"/>
        <w:spacing w:before="0" w:after="240"/>
        <w:ind w:left="0" w:right="0" w:firstLine="720"/>
        <w:jc w:val="both"/>
        <w:rPr/>
      </w:pPr>
      <w:r>
        <w:rPr/>
        <w:t>“</w:t>
      </w:r>
      <w:r>
        <w:rPr>
          <w:rFonts w:ascii="Times New Roman;Times;serif" w:hAnsi="Times New Roman;Times;serif"/>
          <w:b/>
          <w:sz w:val="22"/>
        </w:rPr>
        <w:t>Discounted Value</w:t>
      </w:r>
      <w:r>
        <w:rPr>
          <w:rFonts w:ascii="Times New Roman;Times;serif" w:hAnsi="Times New Roman;Times;serif"/>
          <w:sz w:val="20"/>
        </w:rPr>
        <w:t xml:space="preserve">” </w:t>
      </w:r>
      <w:r>
        <w:rPr>
          <w:rFonts w:ascii="Times New Roman;Times;serif" w:hAnsi="Times New Roman;Times;serif"/>
          <w:sz w:val="22"/>
        </w:rPr>
        <w:t>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(converted to reflect the periodic basis on which interest on such Note is payable, if payable other than on a semiannual basis) equal to the Reinvestment Yield with respect to such Called Principal.</w:t>
      </w:r>
    </w:p>
    <w:p>
      <w:pPr>
        <w:pStyle w:val="TextBody"/>
        <w:bidi w:val="0"/>
        <w:spacing w:before="0" w:after="240"/>
        <w:ind w:left="0" w:right="0" w:firstLine="720"/>
        <w:jc w:val="both"/>
        <w:rPr/>
      </w:pPr>
      <w:r>
        <w:rPr/>
        <w:t>“</w:t>
      </w:r>
      <w:r>
        <w:rPr>
          <w:rFonts w:ascii="Times New Roman;Times;serif" w:hAnsi="Times New Roman;Times;serif"/>
          <w:b/>
          <w:sz w:val="22"/>
        </w:rPr>
        <w:t>Reinvestment Yield</w:t>
      </w:r>
      <w:r>
        <w:rPr>
          <w:rFonts w:ascii="Times New Roman;Times;serif" w:hAnsi="Times New Roman;Times;serif"/>
          <w:sz w:val="20"/>
        </w:rPr>
        <w:t xml:space="preserve">” </w:t>
      </w:r>
      <w:r>
        <w:rPr>
          <w:rFonts w:ascii="Times New Roman;Times;serif" w:hAnsi="Times New Roman;Times;serif"/>
          <w:sz w:val="22"/>
        </w:rPr>
        <w:t>means, with respect to the Called Principal of any Note, the Designated Spread over the yield to maturity implied by (i) the ask-side yields reported, as of 10:00 a.m. (New York City time) on the Business Day next preceding the Settlement Date with respect to such Called Principal, on the display designated as “</w:t>
      </w:r>
      <w:r>
        <w:rPr>
          <w:rFonts w:ascii="Times New Roman;Times;serif" w:hAnsi="Times New Roman;Times;serif"/>
          <w:b/>
          <w:sz w:val="22"/>
        </w:rPr>
        <w:t>Page PX1</w:t>
      </w:r>
      <w:r>
        <w:rPr>
          <w:rFonts w:ascii="Times New Roman;Times;serif" w:hAnsi="Times New Roman;Times;serif"/>
          <w:sz w:val="20"/>
        </w:rPr>
        <w:t xml:space="preserve">” </w:t>
      </w:r>
      <w:r>
        <w:rPr>
          <w:rFonts w:ascii="Times New Roman;Times;serif" w:hAnsi="Times New Roman;Times;serif"/>
          <w:sz w:val="22"/>
        </w:rPr>
        <w:t>on the Bloomberg Financial Services Screen (or such other display as may replace Page PX1 on the Bloomberg Financial Services Screen or, if Bloomberg Financial Services shall cease to report such yields or shall cease to be MetLife’s customary source of information for calculating yield-maintenance amounts on privately placed notes, then such source as is then MetLife’s customary source of such information), for actively traded U.S. Treasury securities having a maturity equal to the Remaining Average Life of such Called Principal as of such Settlement Date, or if such yields shall not be reported as of such time or the yields reported as of such time shall not be ascertainable, (ii) the Treasury Constant Maturity Series yields reported, for the latest day for which such yields shall have been so reported as of the Business Day next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shall be determined, if necessary, by (a) converting U.S. Treasury bill quotations to bond-equivalent yields in accordance with accepted financial practice and (b) interpolating linearly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between yields reported for various maturities. The Reinvestment Yield shall be rounded to the same number of decimal places as appears in the coupon of the applicable Note.</w:t>
      </w:r>
    </w:p>
    <w:p>
      <w:pPr>
        <w:pStyle w:val="TextBody"/>
        <w:bidi w:val="0"/>
        <w:spacing w:before="0" w:after="240"/>
        <w:ind w:left="0" w:right="0" w:firstLine="720"/>
        <w:jc w:val="both"/>
        <w:rPr/>
      </w:pPr>
      <w:r>
        <w:rPr/>
        <w:t>“</w:t>
      </w:r>
      <w:r>
        <w:rPr>
          <w:rFonts w:ascii="Times New Roman;Times;serif" w:hAnsi="Times New Roman;Times;serif"/>
          <w:b/>
          <w:sz w:val="22"/>
        </w:rPr>
        <w:t>Remaining Average Life</w:t>
      </w:r>
      <w:r>
        <w:rPr>
          <w:rFonts w:ascii="Times New Roman;Times;serif" w:hAnsi="Times New Roman;Times;serif"/>
          <w:sz w:val="20"/>
        </w:rPr>
        <w:t xml:space="preserve">” </w:t>
      </w:r>
      <w:r>
        <w:rPr>
          <w:rFonts w:ascii="Times New Roman;Times;serif" w:hAnsi="Times New Roman;Times;serif"/>
          <w:sz w:val="22"/>
        </w:rPr>
        <w:t>means, with respect to the Called Principal of any Note, the number of years (calculated to the nearest one-twelfth year) obtained by dividing (i) such Called Principal into (ii) the sum of the products obtained by multiplying (a) each Remaining Scheduled Payment of such Called Principal (but not of interest thereon) by (b) the number of years (calculated to the nearest one-twelfth year) which will elapse between the Settlement Date with respect to such Called Principal and the scheduled due date of such Remaining Scheduled Payment.</w:t>
      </w:r>
    </w:p>
    <w:p>
      <w:pPr>
        <w:pStyle w:val="TextBody"/>
        <w:bidi w:val="0"/>
        <w:spacing w:before="0" w:after="240"/>
        <w:ind w:left="0" w:right="0" w:firstLine="720"/>
        <w:jc w:val="both"/>
        <w:rPr/>
      </w:pPr>
      <w:r>
        <w:rPr/>
        <w:t>“</w:t>
      </w:r>
      <w:r>
        <w:rPr>
          <w:rFonts w:ascii="Times New Roman;Times;serif" w:hAnsi="Times New Roman;Times;serif"/>
          <w:b/>
          <w:sz w:val="22"/>
        </w:rPr>
        <w:t>Remaining Scheduled Payments</w:t>
      </w:r>
      <w:r>
        <w:rPr>
          <w:rFonts w:ascii="Times New Roman;Times;serif" w:hAnsi="Times New Roman;Times;serif"/>
          <w:sz w:val="20"/>
        </w:rPr>
        <w:t xml:space="preserve">” </w:t>
      </w:r>
      <w:r>
        <w:rPr>
          <w:rFonts w:ascii="Times New Roman;Times;serif" w:hAnsi="Times New Roman;Times;serif"/>
          <w:sz w:val="22"/>
        </w:rPr>
        <w:t>means, with respect to the Called Principal of any Note, all payments of such Called Principal and interest thereon that would be due on or after the Settlement Date with respect to such Called Principal if no payment of such Called Principal were made prior to its scheduled due date.</w:t>
      </w:r>
    </w:p>
    <w:p>
      <w:pPr>
        <w:pStyle w:val="TextBody"/>
        <w:bidi w:val="0"/>
        <w:spacing w:before="0" w:after="240"/>
        <w:ind w:left="0" w:right="0" w:firstLine="720"/>
        <w:jc w:val="both"/>
        <w:rPr/>
      </w:pPr>
      <w:r>
        <w:rPr/>
        <w:t>“</w:t>
      </w:r>
      <w:r>
        <w:rPr>
          <w:rFonts w:ascii="Times New Roman;Times;serif" w:hAnsi="Times New Roman;Times;serif"/>
          <w:b/>
          <w:sz w:val="22"/>
        </w:rPr>
        <w:t>Settlement Date</w:t>
      </w:r>
      <w:r>
        <w:rPr>
          <w:rFonts w:ascii="Times New Roman;Times;serif" w:hAnsi="Times New Roman;Times;serif"/>
          <w:sz w:val="20"/>
        </w:rPr>
        <w:t xml:space="preserve">” </w:t>
      </w:r>
      <w:r>
        <w:rPr>
          <w:rFonts w:ascii="Times New Roman;Times;serif" w:hAnsi="Times New Roman;Times;serif"/>
          <w:sz w:val="22"/>
        </w:rPr>
        <w:t>means, with respect to the Called Principal of any Note, the date on which such Called Principal (i) is to be prepaid pursuant to paragraph 4B or (ii) has become or is declared to be immediately due and payable pursuant to paragraph 7A, as the context requires.</w:t>
      </w:r>
    </w:p>
    <w:p>
      <w:pPr>
        <w:pStyle w:val="TextBody"/>
        <w:bidi w:val="0"/>
        <w:spacing w:before="0" w:after="240"/>
        <w:ind w:left="0" w:right="0" w:firstLine="720"/>
        <w:jc w:val="both"/>
        <w:rPr/>
      </w:pPr>
      <w:r>
        <w:rPr/>
        <w:t>“</w:t>
      </w:r>
      <w:r>
        <w:rPr>
          <w:rFonts w:ascii="Times New Roman;Times;serif" w:hAnsi="Times New Roman;Times;serif"/>
          <w:b/>
          <w:sz w:val="22"/>
        </w:rPr>
        <w:t>Yield-Maintenance Amount</w:t>
      </w:r>
      <w:r>
        <w:rPr>
          <w:rFonts w:ascii="Times New Roman;Times;serif" w:hAnsi="Times New Roman;Times;serif"/>
          <w:sz w:val="20"/>
        </w:rPr>
        <w:t xml:space="preserve">” </w:t>
      </w:r>
      <w:r>
        <w:rPr>
          <w:rFonts w:ascii="Times New Roman;Times;serif" w:hAnsi="Times New Roman;Times;serif"/>
          <w:sz w:val="22"/>
        </w:rPr>
        <w:t>means, with respect to any Note, an amount equal to the excess, if any, of the Discounted Value of the Called Principal of such Note over the sum of (i) such Called Principal plus (ii) interest accrued thereon as of (including interest due on) the Settlement Date with respect to such Called Principal. The Yield-Maintenance Amount shall in no event be less than zero.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10B.</w:t>
      </w:r>
      <w:r>
        <w:rPr>
          <w:rFonts w:ascii="Times New Roman;Times;serif" w:hAnsi="Times New Roman;Times;serif"/>
          <w:b/>
          <w:sz w:val="22"/>
        </w:rPr>
        <w:t>Other Terms</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Acquisition</w:t>
      </w:r>
      <w:r>
        <w:rPr>
          <w:rFonts w:ascii="Times New Roman;Times;serif" w:hAnsi="Times New Roman;Times;serif"/>
          <w:sz w:val="20"/>
        </w:rPr>
        <w:t>”</w:t>
      </w:r>
      <w:r>
        <w:rPr>
          <w:rFonts w:ascii="Times New Roman;Times;serif" w:hAnsi="Times New Roman;Times;serif"/>
          <w:sz w:val="22"/>
        </w:rPr>
        <w:t>, by any Person, means the acquisition by such Person, in a single transaction or in a series of related transactions, of either (a) all or substantially all of the property of, or a line of business or division of, another Person or (b) at least a majority of the voting capital stock or other equity interests of another Person, in each case whether or not involving a merger or consolidation with such other Person.</w:t>
      </w:r>
    </w:p>
    <w:p>
      <w:pPr>
        <w:pStyle w:val="TextBody"/>
        <w:bidi w:val="0"/>
        <w:spacing w:before="0" w:after="240"/>
        <w:ind w:left="0" w:right="0" w:firstLine="720"/>
        <w:jc w:val="both"/>
        <w:rPr/>
      </w:pPr>
      <w:r>
        <w:rPr/>
        <w:t>“</w:t>
      </w:r>
      <w:r>
        <w:rPr>
          <w:rFonts w:ascii="Times New Roman;Times;serif" w:hAnsi="Times New Roman;Times;serif"/>
          <w:b/>
          <w:sz w:val="22"/>
        </w:rPr>
        <w:t>Affiliate</w:t>
      </w:r>
      <w:r>
        <w:rPr>
          <w:rFonts w:ascii="Times New Roman;Times;serif" w:hAnsi="Times New Roman;Times;serif"/>
          <w:sz w:val="20"/>
        </w:rPr>
        <w:t xml:space="preserve">” </w:t>
      </w:r>
      <w:r>
        <w:rPr>
          <w:rFonts w:ascii="Times New Roman;Times;serif" w:hAnsi="Times New Roman;Times;serif"/>
          <w:sz w:val="22"/>
        </w:rPr>
        <w:t>means any Person directly or indirectly controlling, controlled by, or under direct or indirect common control with, the Company. A Person shall be deemed to control another Person if such first Person possesses, directly or indirectly, the power to direct or cause the direction of the management and policies of such other Person, whether through the ownership of voting securities, by contract or otherwise.</w:t>
      </w:r>
    </w:p>
    <w:p>
      <w:pPr>
        <w:pStyle w:val="TextBody"/>
        <w:bidi w:val="0"/>
        <w:spacing w:before="0" w:after="240"/>
        <w:ind w:left="0" w:right="0" w:firstLine="720"/>
        <w:jc w:val="both"/>
        <w:rPr/>
      </w:pPr>
      <w:r>
        <w:rPr/>
        <w:t>“</w:t>
      </w:r>
      <w:r>
        <w:rPr>
          <w:rFonts w:ascii="Times New Roman;Times;serif" w:hAnsi="Times New Roman;Times;serif"/>
          <w:b/>
          <w:sz w:val="22"/>
        </w:rPr>
        <w:t>Agreement</w:t>
      </w:r>
      <w:r>
        <w:rPr>
          <w:rFonts w:ascii="Times New Roman;Times;serif" w:hAnsi="Times New Roman;Times;serif"/>
          <w:sz w:val="20"/>
        </w:rPr>
        <w:t xml:space="preserve">” </w:t>
      </w:r>
      <w:r>
        <w:rPr>
          <w:rFonts w:ascii="Times New Roman;Times;serif" w:hAnsi="Times New Roman;Times;serif"/>
          <w:sz w:val="22"/>
        </w:rPr>
        <w:t>is defined in paragraph 11C.</w:t>
      </w:r>
    </w:p>
    <w:p>
      <w:pPr>
        <w:pStyle w:val="TextBody"/>
        <w:bidi w:val="0"/>
        <w:spacing w:before="0" w:after="240"/>
        <w:ind w:left="0" w:right="0" w:firstLine="720"/>
        <w:jc w:val="both"/>
        <w:rPr/>
      </w:pPr>
      <w:r>
        <w:rPr/>
        <w:t>“</w:t>
      </w:r>
      <w:r>
        <w:rPr>
          <w:rFonts w:ascii="Times New Roman;Times;serif" w:hAnsi="Times New Roman;Times;serif"/>
          <w:b/>
          <w:sz w:val="22"/>
        </w:rPr>
        <w:t>Anti-Corruption Laws</w:t>
      </w:r>
      <w:r>
        <w:rPr>
          <w:rFonts w:ascii="Times New Roman;Times;serif" w:hAnsi="Times New Roman;Times;serif"/>
          <w:sz w:val="20"/>
        </w:rPr>
        <w:t xml:space="preserve">” </w:t>
      </w:r>
      <w:r>
        <w:rPr>
          <w:rFonts w:ascii="Times New Roman;Times;serif" w:hAnsi="Times New Roman;Times;serif"/>
          <w:sz w:val="22"/>
        </w:rPr>
        <w:t>means any law or regulation in a U.S. or any non-U.S. jurisdiction regarding bribery or any other corrupt activity, including the U.S. Foreign Corrupt Practices Act.</w:t>
      </w:r>
    </w:p>
    <w:p>
      <w:pPr>
        <w:pStyle w:val="TextBody"/>
        <w:bidi w:val="0"/>
        <w:spacing w:before="0" w:after="240"/>
        <w:ind w:left="0" w:right="0" w:firstLine="720"/>
        <w:jc w:val="both"/>
        <w:rPr/>
      </w:pPr>
      <w:r>
        <w:rPr/>
        <w:t>“</w:t>
      </w:r>
      <w:r>
        <w:rPr>
          <w:rFonts w:ascii="Times New Roman;Times;serif" w:hAnsi="Times New Roman;Times;serif"/>
          <w:b/>
          <w:sz w:val="22"/>
        </w:rPr>
        <w:t>Anti-Money Laundering Laws</w:t>
      </w:r>
      <w:r>
        <w:rPr>
          <w:rFonts w:ascii="Times New Roman;Times;serif" w:hAnsi="Times New Roman;Times;serif"/>
          <w:sz w:val="20"/>
        </w:rPr>
        <w:t xml:space="preserve">” </w:t>
      </w:r>
      <w:r>
        <w:rPr>
          <w:rFonts w:ascii="Times New Roman;Times;serif" w:hAnsi="Times New Roman;Times;serif"/>
          <w:sz w:val="22"/>
        </w:rPr>
        <w:t>means any law or regulation in a U.S. or any non-U.S. jurisdiction regarding money laundering, drug trafficking, terrorist-related activities or other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money laundering predicate crimes, including the Currency and Foreign Transactions Reporting Act of 1970 (otherwise known as the Bank Secrecy Act) and the USA PATRIOT Act.</w:t>
      </w:r>
    </w:p>
    <w:p>
      <w:pPr>
        <w:pStyle w:val="TextBody"/>
        <w:bidi w:val="0"/>
        <w:spacing w:before="0" w:after="240"/>
        <w:ind w:left="0" w:right="0" w:firstLine="720"/>
        <w:jc w:val="both"/>
        <w:rPr/>
      </w:pPr>
      <w:r>
        <w:rPr/>
        <w:t>“</w:t>
      </w:r>
      <w:r>
        <w:rPr>
          <w:rFonts w:ascii="Times New Roman;Times;serif" w:hAnsi="Times New Roman;Times;serif"/>
          <w:b/>
          <w:sz w:val="22"/>
        </w:rPr>
        <w:t>Bank Credit Agreement</w:t>
      </w:r>
      <w:r>
        <w:rPr>
          <w:rFonts w:ascii="Times New Roman;Times;serif" w:hAnsi="Times New Roman;Times;serif"/>
          <w:sz w:val="20"/>
        </w:rPr>
        <w:t xml:space="preserve">” </w:t>
      </w:r>
      <w:r>
        <w:rPr>
          <w:rFonts w:ascii="Times New Roman;Times;serif" w:hAnsi="Times New Roman;Times;serif"/>
          <w:sz w:val="22"/>
        </w:rPr>
        <w:t xml:space="preserve">means that certain </w:t>
      </w:r>
      <w:r>
        <w:rPr>
          <w:rFonts w:ascii="Times New Roman;Times;serif" w:hAnsi="Times New Roman;Times;serif"/>
          <w:color w:val="0000FF"/>
          <w:sz w:val="22"/>
          <w:u w:val="single"/>
        </w:rPr>
        <w:t>Third Amended and Restated</w:t>
      </w:r>
      <w:r>
        <w:rPr>
          <w:rFonts w:ascii="Times New Roman;Times;serif" w:hAnsi="Times New Roman;Times;serif"/>
          <w:sz w:val="20"/>
        </w:rPr>
        <w:t xml:space="preserve"> </w:t>
      </w:r>
      <w:r>
        <w:rPr>
          <w:rFonts w:ascii="Times New Roman;Times;serif" w:hAnsi="Times New Roman;Times;serif"/>
          <w:sz w:val="22"/>
        </w:rPr>
        <w:t xml:space="preserve">Credit Agreement, dated as of </w:t>
      </w:r>
      <w:r>
        <w:rPr>
          <w:rFonts w:ascii="Times New Roman;Times;serif" w:hAnsi="Times New Roman;Times;serif"/>
          <w:color w:val="FF0000"/>
          <w:sz w:val="22"/>
        </w:rPr>
        <w:t>June 4 2012</w:t>
      </w:r>
      <w:r>
        <w:rPr>
          <w:rFonts w:ascii="Times New Roman;Times;serif" w:hAnsi="Times New Roman;Times;serif"/>
          <w:color w:val="0000FF"/>
          <w:sz w:val="22"/>
          <w:u w:val="single"/>
        </w:rPr>
        <w:t>July 23, 2025</w:t>
      </w:r>
      <w:r>
        <w:rPr>
          <w:rFonts w:ascii="Times New Roman;Times;serif" w:hAnsi="Times New Roman;Times;serif"/>
          <w:sz w:val="22"/>
        </w:rPr>
        <w:t>, by and among the Company, Bank of America, N.A.</w:t>
      </w:r>
      <w:r>
        <w:rPr>
          <w:rFonts w:ascii="Times New Roman;Times;serif" w:hAnsi="Times New Roman;Times;serif"/>
          <w:color w:val="FF0000"/>
          <w:sz w:val="22"/>
        </w:rPr>
        <w:t xml:space="preserve">, First Hawaiian Bank </w:t>
      </w:r>
      <w:r>
        <w:rPr>
          <w:rFonts w:ascii="Times New Roman;Times;serif" w:hAnsi="Times New Roman;Times;serif"/>
          <w:color w:val="0000FF"/>
          <w:sz w:val="22"/>
          <w:u w:val="single"/>
        </w:rPr>
        <w:t>as agent,</w:t>
      </w:r>
      <w:r>
        <w:rPr>
          <w:rFonts w:ascii="Times New Roman;Times;serif" w:hAnsi="Times New Roman;Times;serif"/>
          <w:sz w:val="20"/>
        </w:rPr>
        <w:t xml:space="preserve"> </w:t>
      </w:r>
      <w:r>
        <w:rPr>
          <w:rFonts w:ascii="Times New Roman;Times;serif" w:hAnsi="Times New Roman;Times;serif"/>
          <w:sz w:val="22"/>
        </w:rPr>
        <w:t xml:space="preserve">and the other lenders and financial institutions party thereto, as </w:t>
      </w:r>
      <w:r>
        <w:rPr>
          <w:rFonts w:ascii="Times New Roman;Times;serif" w:hAnsi="Times New Roman;Times;serif"/>
          <w:color w:val="FF0000"/>
          <w:sz w:val="22"/>
        </w:rPr>
        <w:t>amended by that certain First Amendment to Credit Agreement dated as of July 30, 2015, and as the same may be further</w:t>
      </w:r>
      <w:r>
        <w:rPr>
          <w:rFonts w:ascii="Times New Roman;Times;serif" w:hAnsi="Times New Roman;Times;serif"/>
          <w:color w:val="0000FF"/>
          <w:sz w:val="22"/>
          <w:u w:val="single"/>
        </w:rPr>
        <w:t>may be</w:t>
      </w:r>
      <w:r>
        <w:rPr>
          <w:rFonts w:ascii="Times New Roman;Times;serif" w:hAnsi="Times New Roman;Times;serif"/>
          <w:sz w:val="20"/>
        </w:rPr>
        <w:t xml:space="preserve"> </w:t>
      </w:r>
      <w:r>
        <w:rPr>
          <w:rFonts w:ascii="Times New Roman;Times;serif" w:hAnsi="Times New Roman;Times;serif"/>
          <w:sz w:val="22"/>
        </w:rPr>
        <w:t>amended, amended and restated, supplemented, refinanced, replaced or otherwise modified from time to time.</w:t>
      </w:r>
    </w:p>
    <w:p>
      <w:pPr>
        <w:pStyle w:val="TextBody"/>
        <w:bidi w:val="0"/>
        <w:spacing w:before="0" w:after="240"/>
        <w:ind w:left="0" w:right="0" w:firstLine="720"/>
        <w:jc w:val="both"/>
        <w:rPr/>
      </w:pPr>
      <w:r>
        <w:rPr/>
        <w:t>“</w:t>
      </w:r>
      <w:r>
        <w:rPr>
          <w:rFonts w:ascii="Times New Roman;Times;serif" w:hAnsi="Times New Roman;Times;serif"/>
          <w:b/>
          <w:sz w:val="22"/>
        </w:rPr>
        <w:t>Bankruptcy Law</w:t>
      </w:r>
      <w:r>
        <w:rPr>
          <w:rFonts w:ascii="Times New Roman;Times;serif" w:hAnsi="Times New Roman;Times;serif"/>
          <w:sz w:val="20"/>
        </w:rPr>
        <w:t xml:space="preserve">” </w:t>
      </w:r>
      <w:r>
        <w:rPr>
          <w:rFonts w:ascii="Times New Roman;Times;serif" w:hAnsi="Times New Roman;Times;serif"/>
          <w:sz w:val="22"/>
        </w:rPr>
        <w:t>is defined in clause (vii) of paragraph 7A.</w:t>
      </w:r>
    </w:p>
    <w:p>
      <w:pPr>
        <w:pStyle w:val="TextBody"/>
        <w:bidi w:val="0"/>
        <w:spacing w:before="0" w:after="240"/>
        <w:ind w:left="0" w:right="0" w:firstLine="720"/>
        <w:jc w:val="both"/>
        <w:rPr/>
      </w:pPr>
      <w:r>
        <w:rPr/>
        <w:t>“</w:t>
      </w:r>
      <w:r>
        <w:rPr>
          <w:rFonts w:ascii="Times New Roman;Times;serif" w:hAnsi="Times New Roman;Times;serif"/>
          <w:b/>
          <w:sz w:val="22"/>
        </w:rPr>
        <w:t>Blocked Person</w:t>
      </w:r>
      <w:r>
        <w:rPr>
          <w:rFonts w:ascii="Times New Roman;Times;serif" w:hAnsi="Times New Roman;Times;serif"/>
          <w:sz w:val="20"/>
        </w:rPr>
        <w:t xml:space="preserve">” </w:t>
      </w:r>
      <w:r>
        <w:rPr>
          <w:rFonts w:ascii="Times New Roman;Times;serif" w:hAnsi="Times New Roman;Times;serif"/>
          <w:sz w:val="22"/>
        </w:rPr>
        <w:t>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pStyle w:val="TextBody"/>
        <w:bidi w:val="0"/>
        <w:spacing w:before="0" w:after="240"/>
        <w:ind w:left="0" w:right="0" w:firstLine="720"/>
        <w:jc w:val="both"/>
        <w:rPr/>
      </w:pPr>
      <w:r>
        <w:rPr/>
        <w:t>“</w:t>
      </w:r>
      <w:r>
        <w:rPr>
          <w:rFonts w:ascii="Times New Roman;Times;serif" w:hAnsi="Times New Roman;Times;serif"/>
          <w:b/>
          <w:sz w:val="22"/>
        </w:rPr>
        <w:t>Business Day</w:t>
      </w:r>
      <w:r>
        <w:rPr>
          <w:rFonts w:ascii="Times New Roman;Times;serif" w:hAnsi="Times New Roman;Times;serif"/>
          <w:sz w:val="20"/>
        </w:rPr>
        <w:t xml:space="preserve">” </w:t>
      </w:r>
      <w:r>
        <w:rPr>
          <w:rFonts w:ascii="Times New Roman;Times;serif" w:hAnsi="Times New Roman;Times;serif"/>
          <w:sz w:val="22"/>
        </w:rPr>
        <w:t>is defined in paragraph 10A.</w:t>
      </w:r>
    </w:p>
    <w:p>
      <w:pPr>
        <w:pStyle w:val="TextBody"/>
        <w:bidi w:val="0"/>
        <w:spacing w:before="0" w:after="240"/>
        <w:ind w:left="0" w:right="0" w:firstLine="720"/>
        <w:jc w:val="both"/>
        <w:rPr/>
      </w:pPr>
      <w:r>
        <w:rPr/>
        <w:t>“</w:t>
      </w:r>
      <w:r>
        <w:rPr>
          <w:rFonts w:ascii="Times New Roman;Times;serif" w:hAnsi="Times New Roman;Times;serif"/>
          <w:b/>
          <w:sz w:val="22"/>
        </w:rPr>
        <w:t>Capital Assets</w:t>
      </w:r>
      <w:r>
        <w:rPr>
          <w:rFonts w:ascii="Times New Roman;Times;serif" w:hAnsi="Times New Roman;Times;serif"/>
          <w:sz w:val="20"/>
        </w:rPr>
        <w:t xml:space="preserve">” </w:t>
      </w:r>
      <w:r>
        <w:rPr>
          <w:rFonts w:ascii="Times New Roman;Times;serif" w:hAnsi="Times New Roman;Times;serif"/>
          <w:sz w:val="22"/>
        </w:rPr>
        <w:t>means all assets other than current assets, and shall not include any amounts in the Capital Construction Fund.</w:t>
      </w:r>
    </w:p>
    <w:p>
      <w:pPr>
        <w:pStyle w:val="TextBody"/>
        <w:bidi w:val="0"/>
        <w:spacing w:before="0" w:after="240"/>
        <w:ind w:left="0" w:right="0" w:firstLine="720"/>
        <w:jc w:val="both"/>
        <w:rPr/>
      </w:pPr>
      <w:r>
        <w:rPr/>
        <w:t>“</w:t>
      </w:r>
      <w:r>
        <w:rPr>
          <w:rFonts w:ascii="Times New Roman;Times;serif" w:hAnsi="Times New Roman;Times;serif"/>
          <w:b/>
          <w:sz w:val="22"/>
        </w:rPr>
        <w:t>Capital Construction Fund</w:t>
      </w:r>
      <w:r>
        <w:rPr>
          <w:rFonts w:ascii="Times New Roman;Times;serif" w:hAnsi="Times New Roman;Times;serif"/>
          <w:sz w:val="20"/>
        </w:rPr>
        <w:t xml:space="preserve">” </w:t>
      </w:r>
      <w:r>
        <w:rPr>
          <w:rFonts w:ascii="Times New Roman;Times;serif" w:hAnsi="Times New Roman;Times;serif"/>
          <w:sz w:val="22"/>
        </w:rPr>
        <w:t>means the fund established and maintained by Company in accordance with Section 607 of the Merchant Marine Act, 1936, as amended.</w:t>
      </w:r>
    </w:p>
    <w:p>
      <w:pPr>
        <w:pStyle w:val="TextBody"/>
        <w:bidi w:val="0"/>
        <w:spacing w:before="0" w:after="240"/>
        <w:ind w:left="0" w:right="0" w:firstLine="720"/>
        <w:jc w:val="both"/>
        <w:rPr/>
      </w:pPr>
      <w:r>
        <w:rPr/>
        <w:t>“</w:t>
      </w:r>
      <w:r>
        <w:rPr>
          <w:rFonts w:ascii="Times New Roman;Times;serif" w:hAnsi="Times New Roman;Times;serif"/>
          <w:b/>
          <w:sz w:val="22"/>
        </w:rPr>
        <w:t>Capitalized Lease Obligations</w:t>
      </w:r>
      <w:r>
        <w:rPr>
          <w:rFonts w:ascii="Times New Roman;Times;serif" w:hAnsi="Times New Roman;Times;serif"/>
          <w:sz w:val="20"/>
        </w:rPr>
        <w:t xml:space="preserve">” </w:t>
      </w:r>
      <w:r>
        <w:rPr>
          <w:rFonts w:ascii="Times New Roman;Times;serif" w:hAnsi="Times New Roman;Times;serif"/>
          <w:sz w:val="22"/>
        </w:rPr>
        <w:t>means, with respect to any Person, any rental obligation of such Person which, under GAAP in effect as of December 21, 2016, is or will be required to be capitalized on the books of such Person, taken at the amount thereof accounted for as indebtedness (net of interest expense) in accordance with such principles.</w:t>
      </w:r>
    </w:p>
    <w:p>
      <w:pPr>
        <w:pStyle w:val="TextBody"/>
        <w:bidi w:val="0"/>
        <w:spacing w:before="0" w:after="240"/>
        <w:ind w:left="0" w:right="0" w:firstLine="720"/>
        <w:jc w:val="both"/>
        <w:rPr/>
      </w:pPr>
      <w:r>
        <w:rPr/>
        <w:t>“</w:t>
      </w:r>
      <w:r>
        <w:rPr>
          <w:rFonts w:ascii="Times New Roman;Times;serif" w:hAnsi="Times New Roman;Times;serif"/>
          <w:b/>
          <w:sz w:val="22"/>
        </w:rPr>
        <w:t>CCF</w:t>
      </w:r>
      <w:r>
        <w:rPr>
          <w:rFonts w:ascii="Times New Roman;Times;serif" w:hAnsi="Times New Roman;Times;serif"/>
          <w:sz w:val="20"/>
        </w:rPr>
        <w:t xml:space="preserve">” </w:t>
      </w:r>
      <w:r>
        <w:rPr>
          <w:rFonts w:ascii="Times New Roman;Times;serif" w:hAnsi="Times New Roman;Times;serif"/>
          <w:sz w:val="22"/>
        </w:rPr>
        <w:t>means the capital construction fund created under Matson Navigation’s Capital Construction Fund Agreement with the United States of America through the Maritime Administrator.</w:t>
      </w:r>
    </w:p>
    <w:p>
      <w:pPr>
        <w:pStyle w:val="TextBody"/>
        <w:bidi w:val="0"/>
        <w:spacing w:before="0" w:after="240"/>
        <w:ind w:left="0" w:right="0" w:firstLine="720"/>
        <w:jc w:val="both"/>
        <w:rPr/>
      </w:pPr>
      <w:r>
        <w:rPr/>
        <w:t>“</w:t>
      </w:r>
      <w:r>
        <w:rPr>
          <w:rFonts w:ascii="Times New Roman;Times;serif" w:hAnsi="Times New Roman;Times;serif"/>
          <w:b/>
          <w:sz w:val="22"/>
        </w:rPr>
        <w:t>CERCLA</w:t>
      </w:r>
      <w:r>
        <w:rPr>
          <w:rFonts w:ascii="Times New Roman;Times;serif" w:hAnsi="Times New Roman;Times;serif"/>
          <w:sz w:val="20"/>
        </w:rPr>
        <w:t xml:space="preserve">” </w:t>
      </w:r>
      <w:r>
        <w:rPr>
          <w:rFonts w:ascii="Times New Roman;Times;serif" w:hAnsi="Times New Roman;Times;serif"/>
          <w:sz w:val="22"/>
        </w:rPr>
        <w:t>means the Comprehensive Environmental Response, Compensation and Liability Act (42 U.S.C. Section 9601 et. seq.), as amended, and the regulations promulgated thereunder.</w:t>
      </w:r>
    </w:p>
    <w:p>
      <w:pPr>
        <w:pStyle w:val="TextBody"/>
        <w:bidi w:val="0"/>
        <w:spacing w:before="0" w:after="240"/>
        <w:ind w:left="0" w:right="0" w:firstLine="720"/>
        <w:jc w:val="both"/>
        <w:rPr/>
      </w:pPr>
      <w:r>
        <w:rPr/>
        <w:t>“</w:t>
      </w:r>
      <w:r>
        <w:rPr>
          <w:rFonts w:ascii="Times New Roman;Times;serif" w:hAnsi="Times New Roman;Times;serif"/>
          <w:b/>
          <w:sz w:val="22"/>
        </w:rPr>
        <w:t>CFC</w:t>
      </w:r>
      <w:r>
        <w:rPr>
          <w:rFonts w:ascii="Times New Roman;Times;serif" w:hAnsi="Times New Roman;Times;serif"/>
          <w:sz w:val="20"/>
        </w:rPr>
        <w:t xml:space="preserve">” </w:t>
      </w:r>
      <w:r>
        <w:rPr>
          <w:rFonts w:ascii="Times New Roman;Times;serif" w:hAnsi="Times New Roman;Times;serif"/>
          <w:sz w:val="22"/>
        </w:rPr>
        <w:t>means a controlled foreign corporation (as that term is defined in Section 957(a) of the Code).</w:t>
      </w:r>
    </w:p>
    <w:p>
      <w:pPr>
        <w:pStyle w:val="TextBody"/>
        <w:bidi w:val="0"/>
        <w:spacing w:before="0" w:after="240"/>
        <w:ind w:left="0" w:right="0" w:firstLine="720"/>
        <w:jc w:val="both"/>
        <w:rPr/>
      </w:pPr>
      <w:r>
        <w:rPr/>
        <w:t>“</w:t>
      </w:r>
      <w:r>
        <w:rPr>
          <w:rFonts w:ascii="Times New Roman;Times;serif" w:hAnsi="Times New Roman;Times;serif"/>
          <w:b/>
          <w:sz w:val="22"/>
        </w:rPr>
        <w:t>Change of Control</w:t>
      </w:r>
      <w:r>
        <w:rPr>
          <w:rFonts w:ascii="Times New Roman;Times;serif" w:hAnsi="Times New Roman;Times;serif"/>
          <w:sz w:val="20"/>
        </w:rPr>
        <w:t xml:space="preserve">” </w:t>
      </w:r>
      <w:r>
        <w:rPr>
          <w:rFonts w:ascii="Times New Roman;Times;serif" w:hAnsi="Times New Roman;Times;serif"/>
          <w:sz w:val="22"/>
        </w:rPr>
        <w:t>means (i) the acquisition by any “</w:t>
      </w:r>
      <w:r>
        <w:rPr>
          <w:rFonts w:ascii="Times New Roman;Times;serif" w:hAnsi="Times New Roman;Times;serif"/>
          <w:b/>
          <w:sz w:val="22"/>
        </w:rPr>
        <w:t>person</w:t>
      </w:r>
      <w:r>
        <w:rPr>
          <w:rFonts w:ascii="Times New Roman;Times;serif" w:hAnsi="Times New Roman;Times;serif"/>
          <w:sz w:val="20"/>
        </w:rPr>
        <w:t xml:space="preserve">” </w:t>
      </w:r>
      <w:r>
        <w:rPr>
          <w:rFonts w:ascii="Times New Roman;Times;serif" w:hAnsi="Times New Roman;Times;serif"/>
          <w:sz w:val="22"/>
        </w:rPr>
        <w:t>or “</w:t>
      </w:r>
      <w:r>
        <w:rPr>
          <w:rFonts w:ascii="Times New Roman;Times;serif" w:hAnsi="Times New Roman;Times;serif"/>
          <w:b/>
          <w:sz w:val="22"/>
        </w:rPr>
        <w:t>group</w:t>
      </w:r>
      <w:r>
        <w:rPr>
          <w:rFonts w:ascii="Times New Roman;Times;serif" w:hAnsi="Times New Roman;Times;serif"/>
          <w:sz w:val="20"/>
        </w:rPr>
        <w:t xml:space="preserve">” </w:t>
      </w:r>
      <w:r>
        <w:rPr>
          <w:rFonts w:ascii="Times New Roman;Times;serif" w:hAnsi="Times New Roman;Times;serif"/>
          <w:sz w:val="22"/>
        </w:rPr>
        <w:t>(as such terms are used in Sections 13(d)(3) and 14(d)(2) of the Securities Exchange Act of 1934) of outstanding shares of voting stock of the Company representing more than 50% of voting control of the Company, or (ii) the failure of the Company to own 100% of the equity interest of Matson Navigation at any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Closing Day</w:t>
      </w:r>
      <w:r>
        <w:rPr>
          <w:rFonts w:ascii="Times New Roman;Times;serif" w:hAnsi="Times New Roman;Times;serif"/>
          <w:sz w:val="20"/>
        </w:rPr>
        <w:t xml:space="preserve">” </w:t>
      </w:r>
      <w:r>
        <w:rPr>
          <w:rFonts w:ascii="Times New Roman;Times;serif" w:hAnsi="Times New Roman;Times;serif"/>
          <w:sz w:val="22"/>
        </w:rPr>
        <w:t>is defined in paragraph 2.</w:t>
      </w:r>
    </w:p>
    <w:p>
      <w:pPr>
        <w:pStyle w:val="TextBody"/>
        <w:bidi w:val="0"/>
        <w:spacing w:before="0" w:after="240"/>
        <w:ind w:left="0" w:right="0" w:firstLine="720"/>
        <w:jc w:val="both"/>
        <w:rPr/>
      </w:pPr>
      <w:r>
        <w:rPr/>
        <w:t>“</w:t>
      </w:r>
      <w:r>
        <w:rPr>
          <w:rFonts w:ascii="Times New Roman;Times;serif" w:hAnsi="Times New Roman;Times;serif"/>
          <w:b/>
          <w:sz w:val="22"/>
        </w:rPr>
        <w:t>Code</w:t>
      </w:r>
      <w:r>
        <w:rPr>
          <w:rFonts w:ascii="Times New Roman;Times;serif" w:hAnsi="Times New Roman;Times;serif"/>
          <w:sz w:val="20"/>
        </w:rPr>
        <w:t xml:space="preserve">” </w:t>
      </w:r>
      <w:r>
        <w:rPr>
          <w:rFonts w:ascii="Times New Roman;Times;serif" w:hAnsi="Times New Roman;Times;serif"/>
          <w:sz w:val="22"/>
        </w:rPr>
        <w:t>means the Internal Revenue Code of 1986, as amended.</w:t>
      </w:r>
    </w:p>
    <w:p>
      <w:pPr>
        <w:pStyle w:val="TextBody"/>
        <w:bidi w:val="0"/>
        <w:spacing w:before="0" w:after="240"/>
        <w:ind w:left="0" w:right="0" w:firstLine="720"/>
        <w:jc w:val="both"/>
        <w:rPr/>
      </w:pPr>
      <w:r>
        <w:rPr/>
        <w:t>“</w:t>
      </w:r>
      <w:r>
        <w:rPr>
          <w:rFonts w:ascii="Times New Roman;Times;serif" w:hAnsi="Times New Roman;Times;serif"/>
          <w:b/>
          <w:sz w:val="22"/>
        </w:rPr>
        <w:t>Collateral</w:t>
      </w:r>
      <w:r>
        <w:rPr>
          <w:rFonts w:ascii="Times New Roman;Times;serif" w:hAnsi="Times New Roman;Times;serif"/>
          <w:sz w:val="20"/>
        </w:rPr>
        <w:t xml:space="preserve">” </w:t>
      </w:r>
      <w:r>
        <w:rPr>
          <w:rFonts w:ascii="Times New Roman;Times;serif" w:hAnsi="Times New Roman;Times;serif"/>
          <w:sz w:val="22"/>
        </w:rPr>
        <w:t>means a collective reference to all assets with respect to which Liens in favor of the Collateral Agent are purported to be granted pursuant to and in accordance with the terms of the applicable Collateral Documents.</w:t>
      </w:r>
    </w:p>
    <w:p>
      <w:pPr>
        <w:pStyle w:val="TextBody"/>
        <w:bidi w:val="0"/>
        <w:spacing w:before="0" w:after="240"/>
        <w:ind w:left="0" w:right="0" w:firstLine="720"/>
        <w:jc w:val="both"/>
        <w:rPr/>
      </w:pPr>
      <w:r>
        <w:rPr/>
        <w:t>“</w:t>
      </w:r>
      <w:r>
        <w:rPr>
          <w:rFonts w:ascii="Times New Roman;Times;serif" w:hAnsi="Times New Roman;Times;serif"/>
          <w:b/>
          <w:sz w:val="22"/>
        </w:rPr>
        <w:t>Collateral Agent</w:t>
      </w:r>
      <w:r>
        <w:rPr>
          <w:rFonts w:ascii="Times New Roman;Times;serif" w:hAnsi="Times New Roman;Times;serif"/>
          <w:sz w:val="20"/>
        </w:rPr>
        <w:t xml:space="preserve">” </w:t>
      </w:r>
      <w:r>
        <w:rPr>
          <w:rFonts w:ascii="Times New Roman;Times;serif" w:hAnsi="Times New Roman;Times;serif"/>
          <w:sz w:val="22"/>
        </w:rPr>
        <w:t>means Bank of America in its capacity as collateral agent under any of the Collateral Documents or any successor collateral agent under any of the Collateral Documents.</w:t>
      </w:r>
    </w:p>
    <w:p>
      <w:pPr>
        <w:pStyle w:val="TextBody"/>
        <w:bidi w:val="0"/>
        <w:spacing w:before="0" w:after="240"/>
        <w:ind w:left="0" w:right="0" w:firstLine="720"/>
        <w:jc w:val="both"/>
        <w:rPr/>
      </w:pPr>
      <w:r>
        <w:rPr/>
        <w:t>“</w:t>
      </w:r>
      <w:r>
        <w:rPr>
          <w:rFonts w:ascii="Times New Roman;Times;serif" w:hAnsi="Times New Roman;Times;serif"/>
          <w:b/>
          <w:sz w:val="22"/>
        </w:rPr>
        <w:t>Collateral Documents</w:t>
      </w:r>
      <w:r>
        <w:rPr>
          <w:rFonts w:ascii="Times New Roman;Times;serif" w:hAnsi="Times New Roman;Times;serif"/>
          <w:sz w:val="20"/>
        </w:rPr>
        <w:t xml:space="preserve">” </w:t>
      </w:r>
      <w:r>
        <w:rPr>
          <w:rFonts w:ascii="Times New Roman;Times;serif" w:hAnsi="Times New Roman;Times;serif"/>
          <w:sz w:val="22"/>
        </w:rPr>
        <w:t>means a collective reference to the applicable Security Agreement or Security Agreements.</w:t>
      </w:r>
    </w:p>
    <w:p>
      <w:pPr>
        <w:pStyle w:val="TextBody"/>
        <w:bidi w:val="0"/>
        <w:spacing w:before="0" w:after="240"/>
        <w:ind w:left="0" w:right="0" w:firstLine="720"/>
        <w:jc w:val="both"/>
        <w:rPr/>
      </w:pPr>
      <w:r>
        <w:rPr/>
        <w:t>“</w:t>
      </w:r>
      <w:r>
        <w:rPr>
          <w:rFonts w:ascii="Times New Roman;Times;serif" w:hAnsi="Times New Roman;Times;serif"/>
          <w:b/>
          <w:sz w:val="22"/>
        </w:rPr>
        <w:t>Collateral Election</w:t>
      </w:r>
      <w:r>
        <w:rPr>
          <w:rFonts w:ascii="Times New Roman;Times;serif" w:hAnsi="Times New Roman;Times;serif"/>
          <w:sz w:val="20"/>
        </w:rPr>
        <w:t xml:space="preserve">” </w:t>
      </w:r>
      <w:r>
        <w:rPr>
          <w:rFonts w:ascii="Times New Roman;Times;serif" w:hAnsi="Times New Roman;Times;serif"/>
          <w:sz w:val="22"/>
        </w:rPr>
        <w:t>is defined in paragraph 5I.</w:t>
      </w:r>
    </w:p>
    <w:p>
      <w:pPr>
        <w:pStyle w:val="TextBody"/>
        <w:bidi w:val="0"/>
        <w:spacing w:before="0" w:after="240"/>
        <w:ind w:left="0" w:right="0" w:firstLine="720"/>
        <w:jc w:val="both"/>
        <w:rPr/>
      </w:pPr>
      <w:r>
        <w:rPr/>
        <w:t>“</w:t>
      </w:r>
      <w:r>
        <w:rPr>
          <w:rFonts w:ascii="Times New Roman;Times;serif" w:hAnsi="Times New Roman;Times;serif"/>
          <w:b/>
          <w:sz w:val="22"/>
        </w:rPr>
        <w:t>Company</w:t>
      </w:r>
      <w:r>
        <w:rPr>
          <w:rFonts w:ascii="Times New Roman;Times;serif" w:hAnsi="Times New Roman;Times;serif"/>
          <w:sz w:val="20"/>
        </w:rPr>
        <w:t xml:space="preserve">” </w:t>
      </w:r>
      <w:r>
        <w:rPr>
          <w:rFonts w:ascii="Times New Roman;Times;serif" w:hAnsi="Times New Roman;Times;serif"/>
          <w:sz w:val="22"/>
        </w:rPr>
        <w:t>is defined in the introductory paragraph hereto.</w:t>
      </w:r>
    </w:p>
    <w:p>
      <w:pPr>
        <w:pStyle w:val="TextBody"/>
        <w:bidi w:val="0"/>
        <w:spacing w:before="0" w:after="240"/>
        <w:ind w:left="0" w:right="0" w:firstLine="720"/>
        <w:jc w:val="both"/>
        <w:rPr/>
      </w:pPr>
      <w:r>
        <w:rPr/>
        <w:t>“</w:t>
      </w:r>
      <w:r>
        <w:rPr>
          <w:rFonts w:ascii="Times New Roman;Times;serif" w:hAnsi="Times New Roman;Times;serif"/>
          <w:b/>
          <w:sz w:val="22"/>
        </w:rPr>
        <w:t>Confidential Information</w:t>
      </w:r>
      <w:r>
        <w:rPr>
          <w:rFonts w:ascii="Times New Roman;Times;serif" w:hAnsi="Times New Roman;Times;serif"/>
          <w:sz w:val="20"/>
        </w:rPr>
        <w:t xml:space="preserve">” </w:t>
      </w:r>
      <w:r>
        <w:rPr>
          <w:rFonts w:ascii="Times New Roman;Times;serif" w:hAnsi="Times New Roman;Times;serif"/>
          <w:sz w:val="22"/>
        </w:rPr>
        <w:t>is defined in paragraph 11R.</w:t>
      </w:r>
    </w:p>
    <w:p>
      <w:pPr>
        <w:pStyle w:val="TextBody"/>
        <w:bidi w:val="0"/>
        <w:spacing w:before="0" w:after="240"/>
        <w:ind w:left="0" w:right="0" w:firstLine="720"/>
        <w:jc w:val="both"/>
        <w:rPr/>
      </w:pPr>
      <w:r>
        <w:rPr/>
        <w:t>“</w:t>
      </w:r>
      <w:r>
        <w:rPr>
          <w:rFonts w:ascii="Times New Roman;Times;serif" w:hAnsi="Times New Roman;Times;serif"/>
          <w:b/>
          <w:sz w:val="22"/>
        </w:rPr>
        <w:t>Consolidated EBITDA</w:t>
      </w:r>
      <w:r>
        <w:rPr>
          <w:rFonts w:ascii="Times New Roman;Times;serif" w:hAnsi="Times New Roman;Times;serif"/>
          <w:sz w:val="20"/>
        </w:rPr>
        <w:t xml:space="preserve">” </w:t>
      </w:r>
      <w:r>
        <w:rPr>
          <w:rFonts w:ascii="Times New Roman;Times;serif" w:hAnsi="Times New Roman;Times;serif"/>
          <w:sz w:val="22"/>
        </w:rPr>
        <w:t xml:space="preserve">means, for any period, for the Company and its Subsidiaries on a consolidated basis, an amount equal to Consolidated Net Income for such period </w:t>
      </w:r>
      <w:r>
        <w:rPr>
          <w:rFonts w:ascii="Times New Roman;Times;serif" w:hAnsi="Times New Roman;Times;serif"/>
          <w:sz w:val="22"/>
          <w:u w:val="single"/>
        </w:rPr>
        <w:t>plus</w:t>
      </w:r>
      <w:r>
        <w:rPr>
          <w:rFonts w:ascii="Times New Roman;Times;serif" w:hAnsi="Times New Roman;Times;serif"/>
          <w:sz w:val="20"/>
        </w:rPr>
        <w:t> </w:t>
      </w:r>
      <w:r>
        <w:rPr>
          <w:rFonts w:ascii="Times New Roman;Times;serif" w:hAnsi="Times New Roman;Times;serif"/>
          <w:sz w:val="22"/>
        </w:rPr>
        <w:t xml:space="preserve">the following to the extent deducted in calculating such Consolidated Net Income: (i) Consolidated Interest Expense for such period, (ii) the provision for federal, state, local and foreign income taxes payable for such period, (iii) depreciation expense for such period, (iv) amortization expense for such period, (v) deferred dry-docking amortization expense for such period (to the extent not included in the preceding clause (iv)), </w:t>
      </w:r>
      <w:r>
        <w:rPr>
          <w:rFonts w:ascii="Times New Roman;Times;serif" w:hAnsi="Times New Roman;Times;serif"/>
          <w:color w:val="FF0000"/>
          <w:sz w:val="22"/>
        </w:rPr>
        <w:t>and</w:t>
      </w:r>
      <w:r>
        <w:rPr>
          <w:rFonts w:ascii="Times New Roman;Times;serif" w:hAnsi="Times New Roman;Times;serif"/>
          <w:sz w:val="20"/>
        </w:rPr>
        <w:t xml:space="preserve"> </w:t>
      </w:r>
      <w:r>
        <w:rPr>
          <w:rFonts w:ascii="Times New Roman;Times;serif" w:hAnsi="Times New Roman;Times;serif"/>
          <w:sz w:val="22"/>
        </w:rPr>
        <w:t xml:space="preserve">(vi) non-cash stock-based compensation </w:t>
      </w:r>
      <w:r>
        <w:rPr>
          <w:rFonts w:ascii="Times New Roman;Times;serif" w:hAnsi="Times New Roman;Times;serif"/>
          <w:color w:val="0000FF"/>
          <w:sz w:val="22"/>
          <w:u w:val="single"/>
        </w:rPr>
        <w:t>and (vii) any non-cash impairment, restructuring or other one-time, non-cash non-recurring charge</w:t>
      </w:r>
      <w:r>
        <w:rPr>
          <w:rFonts w:ascii="Times New Roman;Times;serif" w:hAnsi="Times New Roman;Times;serif"/>
          <w:sz w:val="22"/>
        </w:rPr>
        <w:t xml:space="preserve">. For purposes of calculating Consolidated EBITDA for any period of four consecutive quarters, if during such period the Company or any Subsidiary shall have consummated (i) an Acquisition of a Person that constitutes a Material Subsidiary (including any such Acquisition structured as an asset purchase, merger or consolidation) or an Acquisition of a Material Line of Business, then Consolidated EBITDA for such period shall be calculated after giving pro forma effect thereto as if such transaction occurred on the first day of such period; </w:t>
      </w:r>
      <w:r>
        <w:rPr>
          <w:rFonts w:ascii="Times New Roman;Times;serif" w:hAnsi="Times New Roman;Times;serif"/>
          <w:sz w:val="22"/>
          <w:u w:val="single"/>
        </w:rPr>
        <w:t>provided</w:t>
      </w:r>
      <w:r>
        <w:rPr>
          <w:rFonts w:ascii="Times New Roman;Times;serif" w:hAnsi="Times New Roman;Times;serif"/>
          <w:sz w:val="22"/>
        </w:rPr>
        <w:t>, that if the aggregate purchase price for any Acquisition is greater than or equal to $25,000,000, Consolidated EBITDA shall only be calculated on a pro forma basis with respect to such Acquisition to the extent such pro forma calculations are based on (x) audited financial statements of such acquired Person or Material Line of Business, (y) unaudited quarterly financial statements of such acquired Person or Material Line of Business, so long as such financial statements have been prepared in conformity with GAAP applied on a consistent basis, as in effect from time to time, applied in a manner consistent with that used in preparing the most recent audited financial statements of such Person or Material Line of Business or (z) other financial statements reasonably satisfactory to the Required Holders and (ii) a disposition of all or substantially all of the assets of a Material Subsidiary or of at least 50% of the equity interests of a Material Subsidiary or of a Material Line of Business, then Consolidated EBITDA for such period shall be calculated after giving pro forma effect thereto as if such transaction occurred on the first day of such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color w:val="FF0000"/>
        </w:rPr>
        <w:t>“</w:t>
      </w:r>
      <w:r>
        <w:rPr>
          <w:rFonts w:ascii="Times New Roman;Times;serif" w:hAnsi="Times New Roman;Times;serif"/>
          <w:b/>
          <w:color w:val="FF0000"/>
          <w:sz w:val="22"/>
        </w:rPr>
        <w:t>Consolidated Interest Coverage Ratio</w:t>
      </w:r>
      <w:r>
        <w:rPr>
          <w:rFonts w:ascii="Times New Roman;Times;serif" w:hAnsi="Times New Roman;Times;serif"/>
          <w:color w:val="FF0000"/>
          <w:sz w:val="20"/>
        </w:rPr>
        <w:t xml:space="preserve">” </w:t>
      </w:r>
      <w:r>
        <w:rPr>
          <w:rFonts w:ascii="Times New Roman;Times;serif" w:hAnsi="Times New Roman;Times;serif"/>
          <w:color w:val="FF0000"/>
          <w:sz w:val="22"/>
        </w:rPr>
        <w:t>means, on any date of determination thereof, the ratio of (i) Consolidated EBITDA for the period of four consecutive fiscal quarters ended on such date to (ii) Consolidated Interest Expense for such period.</w:t>
      </w:r>
    </w:p>
    <w:p>
      <w:pPr>
        <w:pStyle w:val="TextBody"/>
        <w:bidi w:val="0"/>
        <w:spacing w:before="0" w:after="240"/>
        <w:ind w:left="0" w:right="0" w:firstLine="720"/>
        <w:jc w:val="both"/>
        <w:rPr/>
      </w:pPr>
      <w:r>
        <w:rPr/>
        <w:t>“</w:t>
      </w:r>
      <w:r>
        <w:rPr>
          <w:rFonts w:ascii="Times New Roman;Times;serif" w:hAnsi="Times New Roman;Times;serif"/>
          <w:b/>
          <w:sz w:val="22"/>
        </w:rPr>
        <w:t>Consolidated Interest Expense</w:t>
      </w:r>
      <w:r>
        <w:rPr>
          <w:rFonts w:ascii="Times New Roman;Times;serif" w:hAnsi="Times New Roman;Times;serif"/>
          <w:sz w:val="20"/>
        </w:rPr>
        <w:t xml:space="preserve">” </w:t>
      </w:r>
      <w:r>
        <w:rPr>
          <w:rFonts w:ascii="Times New Roman;Times;serif" w:hAnsi="Times New Roman;Times;serif"/>
          <w:sz w:val="22"/>
        </w:rPr>
        <w:t xml:space="preserve">means, for any period, for the Company and its Subsidiaries on a consolidated basis,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(b) the portion of rent expense with respect to such period under capital leases that is treated as interest in accordance with GAAP.</w:t>
      </w:r>
    </w:p>
    <w:p>
      <w:pPr>
        <w:pStyle w:val="TextBody"/>
        <w:bidi w:val="0"/>
        <w:spacing w:before="0" w:after="240"/>
        <w:ind w:left="0" w:right="0" w:firstLine="720"/>
        <w:jc w:val="both"/>
        <w:rPr/>
      </w:pPr>
      <w:r>
        <w:rPr/>
        <w:t>“</w:t>
      </w:r>
      <w:r>
        <w:rPr>
          <w:rFonts w:ascii="Times New Roman;Times;serif" w:hAnsi="Times New Roman;Times;serif"/>
          <w:b/>
          <w:sz w:val="22"/>
        </w:rPr>
        <w:t>Consolidated Leverage Ratio</w:t>
      </w:r>
      <w:r>
        <w:rPr>
          <w:rFonts w:ascii="Times New Roman;Times;serif" w:hAnsi="Times New Roman;Times;serif"/>
          <w:sz w:val="20"/>
        </w:rPr>
        <w:t xml:space="preserve">” </w:t>
      </w:r>
      <w:r>
        <w:rPr>
          <w:rFonts w:ascii="Times New Roman;Times;serif" w:hAnsi="Times New Roman;Times;serif"/>
          <w:sz w:val="22"/>
        </w:rPr>
        <w:t>is defined in paragraph 6A(2).</w:t>
      </w:r>
    </w:p>
    <w:p>
      <w:pPr>
        <w:pStyle w:val="TextBody"/>
        <w:bidi w:val="0"/>
        <w:spacing w:before="0" w:after="240"/>
        <w:ind w:left="0" w:right="0" w:firstLine="720"/>
        <w:jc w:val="both"/>
        <w:rPr/>
      </w:pPr>
      <w:r>
        <w:rPr/>
        <w:t>“</w:t>
      </w:r>
      <w:r>
        <w:rPr>
          <w:rFonts w:ascii="Times New Roman;Times;serif" w:hAnsi="Times New Roman;Times;serif"/>
          <w:b/>
          <w:sz w:val="22"/>
        </w:rPr>
        <w:t>Consolidated Net Income</w:t>
      </w:r>
      <w:r>
        <w:rPr>
          <w:rFonts w:ascii="Times New Roman;Times;serif" w:hAnsi="Times New Roman;Times;serif"/>
          <w:sz w:val="20"/>
        </w:rPr>
        <w:t xml:space="preserve">” </w:t>
      </w:r>
      <w:r>
        <w:rPr>
          <w:rFonts w:ascii="Times New Roman;Times;serif" w:hAnsi="Times New Roman;Times;serif"/>
          <w:sz w:val="22"/>
        </w:rPr>
        <w:t>means, for any period, the consolidated net income of the Company and its Subsidiaries (excluding, to the extent included in such consolidated net income, (a) non-cash gains or losses during such period from the write-up or write-down of assets and (b) income or loss during such period from discontinued operations) as determined in accordance with GAAP.</w:t>
      </w:r>
    </w:p>
    <w:p>
      <w:pPr>
        <w:pStyle w:val="TextBody"/>
        <w:bidi w:val="0"/>
        <w:spacing w:before="0" w:after="240"/>
        <w:ind w:left="0" w:right="0" w:firstLine="720"/>
        <w:jc w:val="both"/>
        <w:rPr/>
      </w:pPr>
      <w:r>
        <w:rPr/>
        <w:t>“</w:t>
      </w:r>
      <w:r>
        <w:rPr>
          <w:rFonts w:ascii="Times New Roman;Times;serif" w:hAnsi="Times New Roman;Times;serif"/>
          <w:b/>
          <w:sz w:val="22"/>
        </w:rPr>
        <w:t>Consolidated Tangible Assets</w:t>
      </w:r>
      <w:r>
        <w:rPr>
          <w:rFonts w:ascii="Times New Roman;Times;serif" w:hAnsi="Times New Roman;Times;serif"/>
          <w:sz w:val="20"/>
        </w:rPr>
        <w:t xml:space="preserve">” </w:t>
      </w:r>
      <w:r>
        <w:rPr>
          <w:rFonts w:ascii="Times New Roman;Times;serif" w:hAnsi="Times New Roman;Times;serif"/>
          <w:sz w:val="22"/>
        </w:rPr>
        <w:t>means, as of any date, total assets (excluding treasury stock, unamortized debt discount and expense, goodwill, trademarks, trade names, patents, deferred charges and other intangible assets) of the Company and its Subsidiaries on a consolidated basis, as determined in accordance with GAAP. Unless otherwise specified, “Consolidated Tangible Assets” at any time will be deemed to be such amount as determined based on the most recent financial statements delivered at such time pursuant to the requirements of paragraph 5A(i) or (ii) of this Agreement.</w:t>
      </w:r>
    </w:p>
    <w:p>
      <w:pPr>
        <w:pStyle w:val="TextBody"/>
        <w:bidi w:val="0"/>
        <w:spacing w:before="0" w:after="240"/>
        <w:ind w:left="0" w:right="0" w:firstLine="720"/>
        <w:jc w:val="both"/>
        <w:rPr/>
      </w:pPr>
      <w:r>
        <w:rPr/>
        <w:t>“</w:t>
      </w:r>
      <w:r>
        <w:rPr>
          <w:rFonts w:ascii="Times New Roman;Times;serif" w:hAnsi="Times New Roman;Times;serif"/>
          <w:b/>
          <w:sz w:val="22"/>
        </w:rPr>
        <w:t>Control</w:t>
      </w:r>
      <w:r>
        <w:rPr>
          <w:rFonts w:ascii="Times New Roman;Times;serif" w:hAnsi="Times New Roman;Times;serif"/>
          <w:sz w:val="20"/>
        </w:rPr>
        <w:t xml:space="preserve">” </w:t>
      </w:r>
      <w:r>
        <w:rPr>
          <w:rFonts w:ascii="Times New Roman;Times;serif" w:hAnsi="Times New Roman;Times;serif"/>
          <w:sz w:val="22"/>
        </w:rPr>
        <w:t>means the possession, directly or indirectly, of the power to direct or cause the direction of the management and policies of a Person, whether through the ownership of voting securities, by contract or otherwise; and the terms “</w:t>
      </w:r>
      <w:r>
        <w:rPr>
          <w:rFonts w:ascii="Times New Roman;Times;serif" w:hAnsi="Times New Roman;Times;serif"/>
          <w:b/>
          <w:sz w:val="22"/>
        </w:rPr>
        <w:t>Controlling</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b/>
          <w:sz w:val="22"/>
        </w:rPr>
        <w:t>Controlled</w:t>
      </w:r>
      <w:r>
        <w:rPr>
          <w:rFonts w:ascii="Times New Roman;Times;serif" w:hAnsi="Times New Roman;Times;serif"/>
          <w:sz w:val="20"/>
        </w:rPr>
        <w:t xml:space="preserve">” </w:t>
      </w:r>
      <w:r>
        <w:rPr>
          <w:rFonts w:ascii="Times New Roman;Times;serif" w:hAnsi="Times New Roman;Times;serif"/>
          <w:sz w:val="22"/>
        </w:rPr>
        <w:t>have meanings correlative thereto.</w:t>
      </w:r>
    </w:p>
    <w:p>
      <w:pPr>
        <w:pStyle w:val="TextBody"/>
        <w:bidi w:val="0"/>
        <w:spacing w:before="0" w:after="240"/>
        <w:ind w:left="0" w:right="0" w:firstLine="720"/>
        <w:jc w:val="both"/>
        <w:rPr/>
      </w:pPr>
      <w:r>
        <w:rPr/>
        <w:t>“</w:t>
      </w:r>
      <w:r>
        <w:rPr>
          <w:rFonts w:ascii="Times New Roman;Times;serif" w:hAnsi="Times New Roman;Times;serif"/>
          <w:b/>
          <w:sz w:val="22"/>
        </w:rPr>
        <w:t>Controlled Entity</w:t>
      </w:r>
      <w:r>
        <w:rPr>
          <w:rFonts w:ascii="Times New Roman;Times;serif" w:hAnsi="Times New Roman;Times;serif"/>
          <w:sz w:val="20"/>
        </w:rPr>
        <w:t xml:space="preserve">” </w:t>
      </w:r>
      <w:r>
        <w:rPr>
          <w:rFonts w:ascii="Times New Roman;Times;serif" w:hAnsi="Times New Roman;Times;serif"/>
          <w:sz w:val="22"/>
        </w:rPr>
        <w:t>means (a) any of the Subsidiaries of the Company and any of their or the Company’s respective Controlled Affiliates and (b) if the Company has a parent company, such parent company and its Controlled Affiliates.</w:t>
      </w:r>
    </w:p>
    <w:p>
      <w:pPr>
        <w:pStyle w:val="TextBody"/>
        <w:bidi w:val="0"/>
        <w:spacing w:before="0" w:after="240"/>
        <w:ind w:left="0" w:right="0" w:firstLine="720"/>
        <w:jc w:val="both"/>
        <w:rPr/>
      </w:pPr>
      <w:r>
        <w:rPr/>
        <w:t>“</w:t>
      </w:r>
      <w:r>
        <w:rPr>
          <w:rFonts w:ascii="Times New Roman;Times;serif" w:hAnsi="Times New Roman;Times;serif"/>
          <w:b/>
          <w:sz w:val="22"/>
        </w:rPr>
        <w:t>Convertible Notes Indenture</w:t>
      </w:r>
      <w:r>
        <w:rPr>
          <w:rFonts w:ascii="Times New Roman;Times;serif" w:hAnsi="Times New Roman;Times;serif"/>
          <w:sz w:val="20"/>
        </w:rPr>
        <w:t xml:space="preserve">” </w:t>
      </w:r>
      <w:r>
        <w:rPr>
          <w:rFonts w:ascii="Times New Roman;Times;serif" w:hAnsi="Times New Roman;Times;serif"/>
          <w:sz w:val="22"/>
        </w:rPr>
        <w:t>means that certain Indenture, dated as of October 5, 2011, between Matson Alaska, as issuer, and U.S. Bank National Association, as trustee and collateral agent, governing the Horizon Notes, and all related ancillary and security documents, as such indenture and such ancillary and security documents may be amended, supplemented, modified, renewed, replaced and/or restated from time to time, so long as the amount of the Horizon Notes is not increased and the tenor is not extended.</w:t>
      </w:r>
    </w:p>
    <w:p>
      <w:pPr>
        <w:pStyle w:val="TextBody"/>
        <w:bidi w:val="0"/>
        <w:spacing w:before="0" w:after="240"/>
        <w:ind w:left="0" w:right="0" w:firstLine="720"/>
        <w:jc w:val="both"/>
        <w:rPr/>
      </w:pPr>
      <w:r>
        <w:rPr/>
        <w:t>“</w:t>
      </w:r>
      <w:r>
        <w:rPr>
          <w:rFonts w:ascii="Times New Roman;Times;serif" w:hAnsi="Times New Roman;Times;serif"/>
          <w:b/>
          <w:sz w:val="22"/>
        </w:rPr>
        <w:t>Credit Parties</w:t>
      </w:r>
      <w:r>
        <w:rPr>
          <w:rFonts w:ascii="Times New Roman;Times;serif" w:hAnsi="Times New Roman;Times;serif"/>
          <w:sz w:val="20"/>
        </w:rPr>
        <w:t xml:space="preserve">” </w:t>
      </w:r>
      <w:r>
        <w:rPr>
          <w:rFonts w:ascii="Times New Roman;Times;serif" w:hAnsi="Times New Roman;Times;serif"/>
          <w:sz w:val="22"/>
        </w:rPr>
        <w:t>means the Company and the Guarantors.</w:t>
      </w:r>
    </w:p>
    <w:p>
      <w:pPr>
        <w:pStyle w:val="TextBody"/>
        <w:bidi w:val="0"/>
        <w:spacing w:before="0" w:after="240"/>
        <w:ind w:left="0" w:right="0" w:firstLine="720"/>
        <w:jc w:val="both"/>
        <w:rPr/>
      </w:pPr>
      <w:r>
        <w:rPr/>
        <w:t>“</w:t>
      </w:r>
      <w:r>
        <w:rPr>
          <w:rFonts w:ascii="Times New Roman;Times;serif" w:hAnsi="Times New Roman;Times;serif"/>
          <w:b/>
          <w:sz w:val="22"/>
        </w:rPr>
        <w:t>Credit Rating</w:t>
      </w:r>
      <w:r>
        <w:rPr>
          <w:rFonts w:ascii="Times New Roman;Times;serif" w:hAnsi="Times New Roman;Times;serif"/>
          <w:sz w:val="20"/>
        </w:rPr>
        <w:t xml:space="preserve">” </w:t>
      </w:r>
      <w:r>
        <w:rPr>
          <w:rFonts w:ascii="Times New Roman;Times;serif" w:hAnsi="Times New Roman;Times;serif"/>
          <w:sz w:val="22"/>
        </w:rPr>
        <w:t>means the public credit rating of the Notes issued by a Rating Agency, which credit rating identifies the Notes by their applicable Private Placement Number issued by Standard &amp; Poor’s CUSIP Bureau.</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Debt</w:t>
      </w:r>
      <w:r>
        <w:rPr>
          <w:rFonts w:ascii="Times New Roman;Times;serif" w:hAnsi="Times New Roman;Times;serif"/>
          <w:sz w:val="20"/>
        </w:rPr>
        <w:t xml:space="preserve">” </w:t>
      </w:r>
      <w:r>
        <w:rPr>
          <w:rFonts w:ascii="Times New Roman;Times;serif" w:hAnsi="Times New Roman;Times;serif"/>
          <w:sz w:val="22"/>
        </w:rPr>
        <w:t>means, as to any Person at the time of determination thereof without duplication, (a) any indebtedness of such Person (i) for borrowed money, including commercial paper and revolving credit lines, (ii) evidenced by bonds, debentures or notes or otherwise representing extensions of credit, whether or not representing obligations for borrowed money (except trade accounts payable arising in the ordinary course of business) or (iii) for the payment of the deferred purchase price of property or services, except trade accounts payable arising in the ordinary course of business, regardless of when such liability or other obligation is due and payable, (b) Capitalized Lease Obligations of such Person, (c) direct or contingent obligations under standby letters of credit (and substantially similar instruments such as bank guaranties), (d) Guarantees, assumptions and endorsements by such Person (other than endorsements of negotiable instruments for collection in the ordinary course of business) of Debt of another Person of the types described in clauses (a), (b) and (c) hereof, and (e) Debt of another Person of the types described in clauses (a), (b) and (c) hereof that is secured by Liens on the property or other assets of such Person. Notwithstanding the foregoing, “Debt” shall not include (i) to the extent not exceeding $15,000,000 at any time outstanding, unsecured contingent reimbursement obligations under standby letters of credit (and substantially similar instruments such as bank guaranties) or (ii) a Guarantee of Matson Navigation’s trade accounts receivable purchased or held by the CCF.</w:t>
      </w:r>
    </w:p>
    <w:p>
      <w:pPr>
        <w:pStyle w:val="TextBody"/>
        <w:bidi w:val="0"/>
        <w:spacing w:before="0" w:after="240"/>
        <w:ind w:left="0" w:right="0" w:firstLine="720"/>
        <w:jc w:val="both"/>
        <w:rPr/>
      </w:pPr>
      <w:r>
        <w:rPr/>
        <w:t>“</w:t>
      </w:r>
      <w:r>
        <w:rPr>
          <w:rFonts w:ascii="Times New Roman;Times;serif" w:hAnsi="Times New Roman;Times;serif"/>
          <w:b/>
          <w:sz w:val="22"/>
        </w:rPr>
        <w:t>Domestic Subsidiary</w:t>
      </w:r>
      <w:r>
        <w:rPr>
          <w:rFonts w:ascii="Times New Roman;Times;serif" w:hAnsi="Times New Roman;Times;serif"/>
          <w:sz w:val="20"/>
        </w:rPr>
        <w:t xml:space="preserve">” </w:t>
      </w:r>
      <w:r>
        <w:rPr>
          <w:rFonts w:ascii="Times New Roman;Times;serif" w:hAnsi="Times New Roman;Times;serif"/>
          <w:sz w:val="22"/>
        </w:rPr>
        <w:t>means any Subsidiary that is organized under the laws of any state of the United States of America or the District of Columbia.</w:t>
      </w:r>
    </w:p>
    <w:p>
      <w:pPr>
        <w:pStyle w:val="TextBody"/>
        <w:bidi w:val="0"/>
        <w:spacing w:before="0" w:after="240"/>
        <w:ind w:left="0" w:right="0" w:firstLine="720"/>
        <w:jc w:val="both"/>
        <w:rPr/>
      </w:pPr>
      <w:r>
        <w:rPr/>
        <w:t>“</w:t>
      </w:r>
      <w:r>
        <w:rPr>
          <w:rFonts w:ascii="Times New Roman;Times;serif" w:hAnsi="Times New Roman;Times;serif"/>
          <w:b/>
          <w:sz w:val="22"/>
        </w:rPr>
        <w:t>Eligible Business Line</w:t>
      </w:r>
      <w:r>
        <w:rPr>
          <w:rFonts w:ascii="Times New Roman;Times;serif" w:hAnsi="Times New Roman;Times;serif"/>
          <w:sz w:val="20"/>
        </w:rPr>
        <w:t xml:space="preserve">” </w:t>
      </w:r>
      <w:r>
        <w:rPr>
          <w:rFonts w:ascii="Times New Roman;Times;serif" w:hAnsi="Times New Roman;Times;serif"/>
          <w:sz w:val="22"/>
        </w:rPr>
        <w:t>means any business engaged in as of the date of this Agreement by the Company or any of its Subsidiaries or any business reasonably related thereto (but in no event an airline).</w:t>
      </w:r>
    </w:p>
    <w:p>
      <w:pPr>
        <w:pStyle w:val="TextBody"/>
        <w:bidi w:val="0"/>
        <w:spacing w:before="0" w:after="240"/>
        <w:ind w:left="0" w:right="0" w:firstLine="720"/>
        <w:jc w:val="both"/>
        <w:rPr/>
      </w:pPr>
      <w:r>
        <w:rPr/>
        <w:t>“</w:t>
      </w:r>
      <w:r>
        <w:rPr>
          <w:rFonts w:ascii="Times New Roman;Times;serif" w:hAnsi="Times New Roman;Times;serif"/>
          <w:b/>
          <w:sz w:val="22"/>
        </w:rPr>
        <w:t>Environmental and Safety Laws</w:t>
      </w:r>
      <w:r>
        <w:rPr>
          <w:rFonts w:ascii="Times New Roman;Times;serif" w:hAnsi="Times New Roman;Times;serif"/>
          <w:sz w:val="20"/>
        </w:rPr>
        <w:t xml:space="preserve">” </w:t>
      </w:r>
      <w:r>
        <w:rPr>
          <w:rFonts w:ascii="Times New Roman;Times;serif" w:hAnsi="Times New Roman;Times;serif"/>
          <w:sz w:val="22"/>
        </w:rPr>
        <w:t>means all federal, state and local laws, regulations and ordinances, relating to the discharge, handling, disposition or treatment of Hazardous Materials and other substances or the protection of the environment or of employee health and safety, including, without limitation, CERCLA, the Hazardous Materials Transportation Act (49 U.S.C. Section 1901 et. Seq.), the Resource Conservation and Recovery Act (42 U.S.C. Section 6901 et. Seq.), the Federal Water Pollution Control Act (33 U.S.C. Section 1251 et. Seq.), the Clean Air Act (42 U.S.C. Section 7401 et. seq.), the Toxic Substances Control Act (15 U.S.C. Section 2601 et. seq.), the Occupational Safety and Health Act (29 U.S.C. Section 651 et. seq.) and the Emergency Planning and Community Right-To-Know Act (42 U.S.C. Section 11001 et. seq.), each as the same may be amended and supplemented.</w:t>
      </w:r>
    </w:p>
    <w:p>
      <w:pPr>
        <w:pStyle w:val="TextBody"/>
        <w:bidi w:val="0"/>
        <w:spacing w:before="0" w:after="240"/>
        <w:ind w:left="0" w:right="0" w:firstLine="720"/>
        <w:jc w:val="both"/>
        <w:rPr/>
      </w:pPr>
      <w:r>
        <w:rPr/>
        <w:t>“</w:t>
      </w:r>
      <w:r>
        <w:rPr>
          <w:rFonts w:ascii="Times New Roman;Times;serif" w:hAnsi="Times New Roman;Times;serif"/>
          <w:b/>
          <w:sz w:val="22"/>
        </w:rPr>
        <w:t>Environmental Liabilities and Costs</w:t>
      </w:r>
      <w:r>
        <w:rPr>
          <w:rFonts w:ascii="Times New Roman;Times;serif" w:hAnsi="Times New Roman;Times;serif"/>
          <w:sz w:val="20"/>
        </w:rPr>
        <w:t xml:space="preserve">” </w:t>
      </w:r>
      <w:r>
        <w:rPr>
          <w:rFonts w:ascii="Times New Roman;Times;serif" w:hAnsi="Times New Roman;Times;serif"/>
          <w:sz w:val="22"/>
        </w:rPr>
        <w:t>means as to any Person, all liabilities, obligations, responsibilities, remedial actions, losses, damages, punitive damages, consequential damages, treble damages, contribution, cost recovery, costs and expenses (including all fees, disbursements and expenses of counsel, expert and consulting fees, and costs of investigation and feasibility studies), fines, penalties, sanctions and interest incurred as a result of any claim or demand, by any Person, whether based in contract, tort, implied or express warranty, strict liability, criminal or civil statute, permit, order or agreement with any federal, state or local Governmental Authority or other Person, arising from environmental, health or safety conditions, or the release or threatened release of a contaminant, pollutant or Hazardous Material into the environment, resulting from the operations of such Person or its subsidiaries, or breach of any Environmental and Safety Law or for which such Person or its Subsidiaries is otherwise liable or responsible.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ERISA</w:t>
      </w:r>
      <w:r>
        <w:rPr>
          <w:rFonts w:ascii="Times New Roman;Times;serif" w:hAnsi="Times New Roman;Times;serif"/>
          <w:sz w:val="20"/>
        </w:rPr>
        <w:t xml:space="preserve">” </w:t>
      </w:r>
      <w:r>
        <w:rPr>
          <w:rFonts w:ascii="Times New Roman;Times;serif" w:hAnsi="Times New Roman;Times;serif"/>
          <w:sz w:val="22"/>
        </w:rPr>
        <w:t>means the Employment Retirement Income Security Act of 1974, as amended.</w:t>
      </w:r>
    </w:p>
    <w:p>
      <w:pPr>
        <w:pStyle w:val="TextBody"/>
        <w:bidi w:val="0"/>
        <w:spacing w:before="0" w:after="240"/>
        <w:ind w:left="0" w:right="0" w:firstLine="720"/>
        <w:jc w:val="both"/>
        <w:rPr/>
      </w:pPr>
      <w:r>
        <w:rPr/>
        <w:t>“</w:t>
      </w:r>
      <w:r>
        <w:rPr>
          <w:rFonts w:ascii="Times New Roman;Times;serif" w:hAnsi="Times New Roman;Times;serif"/>
          <w:b/>
          <w:sz w:val="22"/>
        </w:rPr>
        <w:t>ERISA Affiliate</w:t>
      </w:r>
      <w:r>
        <w:rPr>
          <w:rFonts w:ascii="Times New Roman;Times;serif" w:hAnsi="Times New Roman;Times;serif"/>
          <w:sz w:val="20"/>
        </w:rPr>
        <w:t xml:space="preserve">” </w:t>
      </w:r>
      <w:r>
        <w:rPr>
          <w:rFonts w:ascii="Times New Roman;Times;serif" w:hAnsi="Times New Roman;Times;serif"/>
          <w:sz w:val="22"/>
        </w:rPr>
        <w:t>means any corporation which is a member of the same controlled group of corporations as the Company within the meaning of section 414(b) of the Code, or any trade or business which is under common control with the Company within the meaning of section 414(c) of the Code.</w:t>
      </w:r>
    </w:p>
    <w:p>
      <w:pPr>
        <w:pStyle w:val="TextBody"/>
        <w:bidi w:val="0"/>
        <w:spacing w:before="0" w:after="240"/>
        <w:ind w:left="0" w:right="0" w:firstLine="720"/>
        <w:jc w:val="both"/>
        <w:rPr/>
      </w:pPr>
      <w:r>
        <w:rPr/>
        <w:t>“</w:t>
      </w:r>
      <w:r>
        <w:rPr>
          <w:rFonts w:ascii="Times New Roman;Times;serif" w:hAnsi="Times New Roman;Times;serif"/>
          <w:b/>
          <w:sz w:val="22"/>
        </w:rPr>
        <w:t>Event of Default</w:t>
      </w:r>
      <w:r>
        <w:rPr>
          <w:rFonts w:ascii="Times New Roman;Times;serif" w:hAnsi="Times New Roman;Times;serif"/>
          <w:sz w:val="20"/>
        </w:rPr>
        <w:t xml:space="preserve">” </w:t>
      </w:r>
      <w:r>
        <w:rPr>
          <w:rFonts w:ascii="Times New Roman;Times;serif" w:hAnsi="Times New Roman;Times;serif"/>
          <w:sz w:val="22"/>
        </w:rPr>
        <w:t xml:space="preserve">means any of the events specified in paragraph 7A,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there has been satisfied any requirement in connection with such event for the giving of notice, or the lapse of time, or the happening of any further condition, event or act, and “</w:t>
      </w:r>
      <w:r>
        <w:rPr>
          <w:rFonts w:ascii="Times New Roman;Times;serif" w:hAnsi="Times New Roman;Times;serif"/>
          <w:b/>
          <w:sz w:val="22"/>
        </w:rPr>
        <w:t>Default</w:t>
      </w:r>
      <w:r>
        <w:rPr>
          <w:rFonts w:ascii="Times New Roman;Times;serif" w:hAnsi="Times New Roman;Times;serif"/>
          <w:sz w:val="20"/>
        </w:rPr>
        <w:t xml:space="preserve">” </w:t>
      </w:r>
      <w:r>
        <w:rPr>
          <w:rFonts w:ascii="Times New Roman;Times;serif" w:hAnsi="Times New Roman;Times;serif"/>
          <w:sz w:val="22"/>
        </w:rPr>
        <w:t>means any of such events, whether or not any such requirement has been satisfied.</w:t>
      </w:r>
    </w:p>
    <w:p>
      <w:pPr>
        <w:pStyle w:val="TextBody"/>
        <w:bidi w:val="0"/>
        <w:spacing w:before="0" w:after="240"/>
        <w:ind w:left="0" w:right="0" w:firstLine="720"/>
        <w:jc w:val="both"/>
        <w:rPr/>
      </w:pPr>
      <w:r>
        <w:rPr/>
        <w:t>“</w:t>
      </w:r>
      <w:r>
        <w:rPr>
          <w:rFonts w:ascii="Times New Roman;Times;serif" w:hAnsi="Times New Roman;Times;serif"/>
          <w:b/>
          <w:sz w:val="22"/>
        </w:rPr>
        <w:t>Exchange Act</w:t>
      </w:r>
      <w:r>
        <w:rPr>
          <w:rFonts w:ascii="Times New Roman;Times;serif" w:hAnsi="Times New Roman;Times;serif"/>
          <w:sz w:val="20"/>
        </w:rPr>
        <w:t xml:space="preserve">” </w:t>
      </w:r>
      <w:r>
        <w:rPr>
          <w:rFonts w:ascii="Times New Roman;Times;serif" w:hAnsi="Times New Roman;Times;serif"/>
          <w:sz w:val="22"/>
        </w:rPr>
        <w:t>means the Securities Exchange Act of 1934, as amended from time to time, and the rules and regulations promulgated thereunder from time to time in effect.</w:t>
      </w:r>
    </w:p>
    <w:p>
      <w:pPr>
        <w:pStyle w:val="TextBody"/>
        <w:bidi w:val="0"/>
        <w:spacing w:before="0" w:after="240"/>
        <w:ind w:left="0" w:right="0" w:firstLine="720"/>
        <w:jc w:val="both"/>
        <w:rPr/>
      </w:pPr>
      <w:r>
        <w:rPr/>
        <w:t>“</w:t>
      </w:r>
      <w:r>
        <w:rPr>
          <w:rFonts w:ascii="Times New Roman;Times;serif" w:hAnsi="Times New Roman;Times;serif"/>
          <w:b/>
          <w:sz w:val="22"/>
        </w:rPr>
        <w:t>Excluded Subsidiary</w:t>
      </w:r>
      <w:r>
        <w:rPr>
          <w:rFonts w:ascii="Times New Roman;Times;serif" w:hAnsi="Times New Roman;Times;serif"/>
          <w:sz w:val="20"/>
        </w:rPr>
        <w:t xml:space="preserve">” </w:t>
      </w:r>
      <w:r>
        <w:rPr>
          <w:rFonts w:ascii="Times New Roman;Times;serif" w:hAnsi="Times New Roman;Times;serif"/>
          <w:sz w:val="22"/>
        </w:rPr>
        <w:t xml:space="preserve">means (a) each CFC, (b) each Foreign Holdco, and (c) any Subsidiary that is owned directly or indirectly by a CFC; </w:t>
      </w:r>
      <w:r>
        <w:rPr>
          <w:rFonts w:ascii="Times New Roman;Times;serif" w:hAnsi="Times New Roman;Times;serif"/>
          <w:sz w:val="22"/>
          <w:u w:val="single"/>
        </w:rPr>
        <w:t>provided</w:t>
      </w:r>
      <w:r>
        <w:rPr>
          <w:rFonts w:ascii="Times New Roman;Times;serif" w:hAnsi="Times New Roman;Times;serif"/>
          <w:sz w:val="22"/>
        </w:rPr>
        <w:t>, that in each case, such Person has not issued or guaranteed any indebtedness or notes issued pursuant to the Bank Credit Agreement or the Other Note Agreements.</w:t>
      </w:r>
    </w:p>
    <w:p>
      <w:pPr>
        <w:pStyle w:val="TextBody"/>
        <w:bidi w:val="0"/>
        <w:spacing w:before="0" w:after="240"/>
        <w:ind w:left="0" w:right="0" w:firstLine="720"/>
        <w:jc w:val="both"/>
        <w:rPr/>
      </w:pPr>
      <w:r>
        <w:rPr/>
        <w:t>“</w:t>
      </w:r>
      <w:r>
        <w:rPr>
          <w:rFonts w:ascii="Times New Roman;Times;serif" w:hAnsi="Times New Roman;Times;serif"/>
          <w:b/>
          <w:sz w:val="22"/>
        </w:rPr>
        <w:t>First Amendment</w:t>
      </w:r>
      <w:r>
        <w:rPr>
          <w:rFonts w:ascii="Times New Roman;Times;serif" w:hAnsi="Times New Roman;Times;serif"/>
          <w:sz w:val="20"/>
        </w:rPr>
        <w:t xml:space="preserve">” </w:t>
      </w:r>
      <w:r>
        <w:rPr>
          <w:rFonts w:ascii="Times New Roman;Times;serif" w:hAnsi="Times New Roman;Times;serif"/>
          <w:sz w:val="22"/>
        </w:rPr>
        <w:t>means that certain Amendment to Note Purchase Agreement, dated as of June 29, 2017, by and between the Company and the holders of Notes signatory thereto.</w:t>
      </w:r>
    </w:p>
    <w:p>
      <w:pPr>
        <w:pStyle w:val="TextBody"/>
        <w:bidi w:val="0"/>
        <w:spacing w:before="0" w:after="240"/>
        <w:ind w:left="0" w:right="0" w:firstLine="720"/>
        <w:jc w:val="both"/>
        <w:rPr/>
      </w:pPr>
      <w:r>
        <w:rPr/>
        <w:t>“</w:t>
      </w:r>
      <w:r>
        <w:rPr>
          <w:rFonts w:ascii="Times New Roman;Times;serif" w:hAnsi="Times New Roman;Times;serif"/>
          <w:b/>
          <w:sz w:val="22"/>
        </w:rPr>
        <w:t>First Amendment Effective Date</w:t>
      </w:r>
      <w:r>
        <w:rPr>
          <w:rFonts w:ascii="Times New Roman;Times;serif" w:hAnsi="Times New Roman;Times;serif"/>
          <w:sz w:val="20"/>
        </w:rPr>
        <w:t xml:space="preserve">” </w:t>
      </w:r>
      <w:r>
        <w:rPr>
          <w:rFonts w:ascii="Times New Roman;Times;serif" w:hAnsi="Times New Roman;Times;serif"/>
          <w:sz w:val="22"/>
        </w:rPr>
        <w:t>means the date when all conditions to effectiveness of the amendments set forth in the First Amendment have been satisfied or waived in writing.</w:t>
      </w:r>
    </w:p>
    <w:p>
      <w:pPr>
        <w:pStyle w:val="TextBody"/>
        <w:bidi w:val="0"/>
        <w:spacing w:before="0" w:after="240"/>
        <w:ind w:left="0" w:right="0" w:firstLine="720"/>
        <w:jc w:val="both"/>
        <w:rPr/>
      </w:pPr>
      <w:r>
        <w:rPr/>
        <w:t>“</w:t>
      </w:r>
      <w:r>
        <w:rPr>
          <w:rFonts w:ascii="Times New Roman;Times;serif" w:hAnsi="Times New Roman;Times;serif"/>
          <w:b/>
          <w:sz w:val="22"/>
        </w:rPr>
        <w:t>Foreign Holdco</w:t>
      </w:r>
      <w:r>
        <w:rPr>
          <w:rFonts w:ascii="Times New Roman;Times;serif" w:hAnsi="Times New Roman;Times;serif"/>
          <w:sz w:val="20"/>
        </w:rPr>
        <w:t xml:space="preserve">” </w:t>
      </w:r>
      <w:r>
        <w:rPr>
          <w:rFonts w:ascii="Times New Roman;Times;serif" w:hAnsi="Times New Roman;Times;serif"/>
          <w:sz w:val="22"/>
        </w:rPr>
        <w:t>means any Subsidiary, substantially all of the assets of which consist of equity interests of one or more Foreign Subsidiaries or other securities of one or more Foreign Subsidiaries (or are treated as consisting of such assets for U.S. federal income tax purposes) or indebtedness or accounts receivable owed by any Foreign Subsidiary to any Credit Party or treated as owed by the Foreign Subsidiary to any Credit Party for U.S. federal income tax purposes.</w:t>
      </w:r>
    </w:p>
    <w:p>
      <w:pPr>
        <w:pStyle w:val="TextBody"/>
        <w:bidi w:val="0"/>
        <w:spacing w:before="0" w:after="240"/>
        <w:ind w:left="0" w:right="0" w:firstLine="720"/>
        <w:jc w:val="both"/>
        <w:rPr/>
      </w:pPr>
      <w:r>
        <w:rPr/>
        <w:t>“</w:t>
      </w:r>
      <w:r>
        <w:rPr>
          <w:rFonts w:ascii="Times New Roman;Times;serif" w:hAnsi="Times New Roman;Times;serif"/>
          <w:b/>
          <w:sz w:val="22"/>
        </w:rPr>
        <w:t>Foreign Subsidiary</w:t>
      </w:r>
      <w:r>
        <w:rPr>
          <w:rFonts w:ascii="Times New Roman;Times;serif" w:hAnsi="Times New Roman;Times;serif"/>
          <w:sz w:val="20"/>
        </w:rPr>
        <w:t xml:space="preserve">” </w:t>
      </w:r>
      <w:r>
        <w:rPr>
          <w:rFonts w:ascii="Times New Roman;Times;serif" w:hAnsi="Times New Roman;Times;serif"/>
          <w:sz w:val="22"/>
        </w:rPr>
        <w:t>means any Subsidiary that is not a Domestic Subsidiary.</w:t>
      </w:r>
    </w:p>
    <w:p>
      <w:pPr>
        <w:pStyle w:val="TextBody"/>
        <w:bidi w:val="0"/>
        <w:spacing w:before="0" w:after="240"/>
        <w:ind w:left="0" w:right="0" w:firstLine="720"/>
        <w:jc w:val="both"/>
        <w:rPr/>
      </w:pPr>
      <w:r>
        <w:rPr/>
        <w:t>“</w:t>
      </w:r>
      <w:r>
        <w:rPr>
          <w:rFonts w:ascii="Times New Roman;Times;serif" w:hAnsi="Times New Roman;Times;serif"/>
          <w:b/>
          <w:sz w:val="22"/>
        </w:rPr>
        <w:t>GAAP</w:t>
      </w:r>
      <w:r>
        <w:rPr>
          <w:rFonts w:ascii="Times New Roman;Times;serif" w:hAnsi="Times New Roman;Times;serif"/>
          <w:sz w:val="20"/>
        </w:rPr>
        <w:t xml:space="preserve">” </w:t>
      </w:r>
      <w:r>
        <w:rPr>
          <w:rFonts w:ascii="Times New Roman;Times;serif" w:hAnsi="Times New Roman;Times;serif"/>
          <w:sz w:val="22"/>
        </w:rPr>
        <w:t>has the meaning provided in paragraph 10C.</w:t>
      </w:r>
    </w:p>
    <w:p>
      <w:pPr>
        <w:pStyle w:val="TextBody"/>
        <w:bidi w:val="0"/>
        <w:spacing w:before="0" w:after="240"/>
        <w:ind w:left="0" w:right="0" w:firstLine="720"/>
        <w:jc w:val="both"/>
        <w:rPr/>
      </w:pPr>
      <w:r>
        <w:rPr/>
        <w:t>“</w:t>
      </w:r>
      <w:r>
        <w:rPr>
          <w:rFonts w:ascii="Times New Roman;Times;serif" w:hAnsi="Times New Roman;Times;serif"/>
          <w:b/>
          <w:sz w:val="22"/>
        </w:rPr>
        <w:t>Governmental Authority</w:t>
      </w:r>
      <w:r>
        <w:rPr>
          <w:rFonts w:ascii="Times New Roman;Times;serif" w:hAnsi="Times New Roman;Times;serif"/>
          <w:sz w:val="20"/>
        </w:rPr>
        <w:t xml:space="preserve">” </w:t>
      </w:r>
      <w:r>
        <w:rPr>
          <w:rFonts w:ascii="Times New Roman;Times;serif" w:hAnsi="Times New Roman;Times;serif"/>
          <w:sz w:val="22"/>
        </w:rPr>
        <w:t>means (a) the government of (i) the United States of America or any state or other political subdivision thereof, or (ii) any other jurisdiction in which the Company or any Subsidiary conducts all or any part of its business, or which asserts jurisdiction over any properties of the Company or any Subsidiary, or (b) any entity exercising executive, legislative, judicial, regulatory or administrative functions of, or pertaining to, any such government.</w:t>
      </w:r>
    </w:p>
    <w:p>
      <w:pPr>
        <w:pStyle w:val="TextBody"/>
        <w:bidi w:val="0"/>
        <w:spacing w:before="0" w:after="240"/>
        <w:ind w:left="0" w:right="0" w:firstLine="720"/>
        <w:jc w:val="both"/>
        <w:rPr/>
      </w:pPr>
      <w:r>
        <w:rPr/>
        <w:t>“</w:t>
      </w:r>
      <w:r>
        <w:rPr>
          <w:rFonts w:ascii="Times New Roman;Times;serif" w:hAnsi="Times New Roman;Times;serif"/>
          <w:b/>
          <w:sz w:val="22"/>
        </w:rPr>
        <w:t>Governmental Official</w:t>
      </w:r>
      <w:r>
        <w:rPr>
          <w:rFonts w:ascii="Times New Roman;Times;serif" w:hAnsi="Times New Roman;Times;serif"/>
          <w:sz w:val="20"/>
        </w:rPr>
        <w:t xml:space="preserve">” </w:t>
      </w:r>
      <w:r>
        <w:rPr>
          <w:rFonts w:ascii="Times New Roman;Times;serif" w:hAnsi="Times New Roman;Times;serif"/>
          <w:sz w:val="22"/>
        </w:rPr>
        <w:t>means any governmental official or employee, employee of any government-owned or government-controlled entity, political party, any official of a political party, candidate for political office, official of any public international organization or anyone else acting in an official capacity.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Guarantee</w:t>
      </w:r>
      <w:r>
        <w:rPr>
          <w:rFonts w:ascii="Times New Roman;Times;serif" w:hAnsi="Times New Roman;Times;serif"/>
          <w:sz w:val="20"/>
        </w:rPr>
        <w:t xml:space="preserve">” </w:t>
      </w:r>
      <w:r>
        <w:rPr>
          <w:rFonts w:ascii="Times New Roman;Times;serif" w:hAnsi="Times New Roman;Times;serif"/>
          <w:sz w:val="22"/>
        </w:rPr>
        <w:t>means, without duplication, any obligation, contingent or otherwise, of any Person guaranteeing or having the economic effect of guaranteeing any Debt or other obligation of any other Person (the primary obligor) in any manner, directly or indirectly, and including any obligation: (a) to make any loan, advance or capital contribution, or for the purchase of any property from, any Person, in each case for the purpose of enabling such Person to maintain working capital, net worth or any other balance sheet condition or to pay debts, dividends or expenses except for advances, deposits and initial payments made in the usual and ordinary course of business for the purchase or acquisition of property or services; (b) to purchase materials, supplies or other property or services if such obligation requires that payment for such materials, supplies or other property or services be made regardless of whether or not delivery of such materials, supplies or other property or services is ever made or tendered; (c) to rent or lease (as lessee) any real or personal property if such obligation is absolute and unconditional under conditions not customarily found in commercial leases then in general use; or (d) of any partnership or joint venture in which such Person is a general partner or joint venturer if such obligation is not expressly non-recourse to such Person; but excluding (i) any completion guaranties issued in connection with a real estate development project to the extent contingent and not constituting a direct or indirect obligation to repay Debt, (ii) obligations under environmental indemnification agreements and (iii) a guaranty of Matson Navigation’s trade accounts receivable purchased or held by the CCF.</w:t>
      </w:r>
    </w:p>
    <w:p>
      <w:pPr>
        <w:pStyle w:val="TextBody"/>
        <w:bidi w:val="0"/>
        <w:spacing w:before="0" w:after="240"/>
        <w:ind w:left="0" w:right="0" w:firstLine="720"/>
        <w:jc w:val="both"/>
        <w:rPr/>
      </w:pPr>
      <w:r>
        <w:rPr/>
        <w:t>“</w:t>
      </w:r>
      <w:r>
        <w:rPr>
          <w:rFonts w:ascii="Times New Roman;Times;serif" w:hAnsi="Times New Roman;Times;serif"/>
          <w:b/>
          <w:sz w:val="22"/>
        </w:rPr>
        <w:t>Guarantors</w:t>
      </w:r>
      <w:r>
        <w:rPr>
          <w:rFonts w:ascii="Times New Roman;Times;serif" w:hAnsi="Times New Roman;Times;serif"/>
          <w:sz w:val="20"/>
        </w:rPr>
        <w:t xml:space="preserve">” </w:t>
      </w:r>
      <w:r>
        <w:rPr>
          <w:rFonts w:ascii="Times New Roman;Times;serif" w:hAnsi="Times New Roman;Times;serif"/>
          <w:sz w:val="22"/>
        </w:rPr>
        <w:t xml:space="preserve">means, collectively, (a) each Person that is a party to the Multiparty Guaranty as a Guarantor as of the date hereof, including Matson Navigation, Matson Logistics, Inc., a Hawaii corporation, Matson Ventures, Inc., a Hawaii corporation, Matson Alaska, Horizon Lines Holding Corp., a Delaware corporation, Horizon Lines, LLC, a Delaware limited liability company, Matson Navigation Company of Alaska, LLC, a Delaware limited liability company, Horizon Lines Alaska Vessels, LLC, a Delaware limited liability company, Horizon Lines Merchant Vessels, LLC, a Delaware limited liability company, Span Intermediate, LLC, a Delaware limited liability company, and Span Acquisition Co., LLC, a Delaware limited liability company, (b) each Person that becomes a party to the Multiparty Guaranty as a Guarantor after the date hereof pursuant to paragraph 5H or otherwise and (c) the successors of any of the foregoing;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no Excluded Subsidiary shall be a Guarantor. A Guarantor shall be released from the Multiparty Guaranty pursuant to, and in accordance with, the terms hereof or the Multiparty Guaranty.</w:t>
      </w:r>
    </w:p>
    <w:p>
      <w:pPr>
        <w:pStyle w:val="TextBody"/>
        <w:bidi w:val="0"/>
        <w:spacing w:before="0" w:after="240"/>
        <w:ind w:left="0" w:right="0" w:firstLine="720"/>
        <w:jc w:val="both"/>
        <w:rPr/>
      </w:pPr>
      <w:r>
        <w:rPr/>
        <w:t>“</w:t>
      </w:r>
      <w:r>
        <w:rPr>
          <w:rFonts w:ascii="Times New Roman;Times;serif" w:hAnsi="Times New Roman;Times;serif"/>
          <w:b/>
          <w:sz w:val="22"/>
        </w:rPr>
        <w:t>Hazardous Materials</w:t>
      </w:r>
      <w:r>
        <w:rPr>
          <w:rFonts w:ascii="Times New Roman;Times;serif" w:hAnsi="Times New Roman;Times;serif"/>
          <w:sz w:val="20"/>
        </w:rPr>
        <w:t xml:space="preserve">” </w:t>
      </w:r>
      <w:r>
        <w:rPr>
          <w:rFonts w:ascii="Times New Roman;Times;serif" w:hAnsi="Times New Roman;Times;serif"/>
          <w:sz w:val="22"/>
        </w:rPr>
        <w:t>means (a) any material or substance defined as or included in the definition of “hazardous substances,” “hazardous wastes,” “hazardous materials,” “toxic substances” or any other formulations intended to define, list or classify substances by reason of their deleterious properties, (b) any oil, petroleum or petroleum derived substance, (c) any flammable substances or explosives, (d) any radioactive materials, (e) asbestos in any form, (f) electrical equipment that contains any oil or dielectric fluid containing levels of polychlorinated biphenyls in excess of fifty parts per million, (g) pesticides or (h) any other chemical, material or substance, exposure to which is prohibited, limited or regulated by any governmental agency or authority or which may or could pose a hazard to the health and safety of persons in the vicinity thereof.</w:t>
      </w:r>
    </w:p>
    <w:p>
      <w:pPr>
        <w:pStyle w:val="TextBody"/>
        <w:bidi w:val="0"/>
        <w:spacing w:before="0" w:after="240"/>
        <w:ind w:left="0" w:right="0" w:firstLine="720"/>
        <w:jc w:val="both"/>
        <w:rPr/>
      </w:pPr>
      <w:r>
        <w:rPr/>
        <w:t>“</w:t>
      </w:r>
      <w:r>
        <w:rPr>
          <w:rFonts w:ascii="Times New Roman;Times;serif" w:hAnsi="Times New Roman;Times;serif"/>
          <w:b/>
          <w:sz w:val="22"/>
        </w:rPr>
        <w:t>Horizon Acquisition</w:t>
      </w:r>
      <w:r>
        <w:rPr>
          <w:rFonts w:ascii="Times New Roman;Times;serif" w:hAnsi="Times New Roman;Times;serif"/>
          <w:sz w:val="20"/>
        </w:rPr>
        <w:t xml:space="preserve">” </w:t>
      </w:r>
      <w:r>
        <w:rPr>
          <w:rFonts w:ascii="Times New Roman;Times;serif" w:hAnsi="Times New Roman;Times;serif"/>
          <w:sz w:val="22"/>
        </w:rPr>
        <w:t>means the acquisition which occurred under the Horizon Acquisition Agreement, including without limitation the merger of a Subsidiary of Matson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Navigation with and into Matson Alaska, with Matson Alaska surviving such merger and becoming a wholly owned subsidiary of Matson Navigation, and all ancillary and related transactions with respect thereto.</w:t>
      </w:r>
    </w:p>
    <w:p>
      <w:pPr>
        <w:pStyle w:val="TextBody"/>
        <w:bidi w:val="0"/>
        <w:spacing w:before="0" w:after="240"/>
        <w:ind w:left="0" w:right="0" w:firstLine="720"/>
        <w:jc w:val="both"/>
        <w:rPr/>
      </w:pPr>
      <w:r>
        <w:rPr/>
        <w:t>“</w:t>
      </w:r>
      <w:r>
        <w:rPr>
          <w:rFonts w:ascii="Times New Roman;Times;serif" w:hAnsi="Times New Roman;Times;serif"/>
          <w:b/>
          <w:sz w:val="22"/>
        </w:rPr>
        <w:t>Horizon Acquisition Agreement</w:t>
      </w:r>
      <w:r>
        <w:rPr>
          <w:rFonts w:ascii="Times New Roman;Times;serif" w:hAnsi="Times New Roman;Times;serif"/>
          <w:sz w:val="20"/>
        </w:rPr>
        <w:t xml:space="preserve">” </w:t>
      </w:r>
      <w:r>
        <w:rPr>
          <w:rFonts w:ascii="Times New Roman;Times;serif" w:hAnsi="Times New Roman;Times;serif"/>
          <w:sz w:val="22"/>
        </w:rPr>
        <w:t>means the Agreement and Plan of Merger, dated as of November 11, 2014, by and among Matson Navigation, Hogan Acquisition Inc., a wholly owned subsidiary of Matson Navigation and Matson Alaska, as amended and supplemented from time to time.</w:t>
      </w:r>
    </w:p>
    <w:p>
      <w:pPr>
        <w:pStyle w:val="TextBody"/>
        <w:bidi w:val="0"/>
        <w:spacing w:before="0" w:after="240"/>
        <w:ind w:left="0" w:right="0" w:firstLine="720"/>
        <w:jc w:val="both"/>
        <w:rPr/>
      </w:pPr>
      <w:r>
        <w:rPr/>
        <w:t>“</w:t>
      </w:r>
      <w:r>
        <w:rPr>
          <w:rFonts w:ascii="Times New Roman;Times;serif" w:hAnsi="Times New Roman;Times;serif"/>
          <w:b/>
          <w:sz w:val="22"/>
        </w:rPr>
        <w:t>Horizon Notes</w:t>
      </w:r>
      <w:r>
        <w:rPr>
          <w:rFonts w:ascii="Times New Roman;Times;serif" w:hAnsi="Times New Roman;Times;serif"/>
          <w:sz w:val="20"/>
        </w:rPr>
        <w:t xml:space="preserve">” </w:t>
      </w:r>
      <w:r>
        <w:rPr>
          <w:rFonts w:ascii="Times New Roman;Times;serif" w:hAnsi="Times New Roman;Times;serif"/>
          <w:sz w:val="22"/>
        </w:rPr>
        <w:t>means the 6.00% Series A Convertible Senior Secured Notes due 2017 that were issued by Matson Alaska, as governed by the Convertible Notes Indenture, in an aggregate amount not to exceed $3,000,000.</w:t>
      </w:r>
    </w:p>
    <w:p>
      <w:pPr>
        <w:pStyle w:val="TextBody"/>
        <w:bidi w:val="0"/>
        <w:spacing w:before="0" w:after="240"/>
        <w:ind w:left="0" w:right="0" w:firstLine="720"/>
        <w:jc w:val="both"/>
        <w:rPr/>
      </w:pPr>
      <w:r>
        <w:rPr/>
        <w:t>“</w:t>
      </w:r>
      <w:r>
        <w:rPr>
          <w:rFonts w:ascii="Times New Roman;Times;serif" w:hAnsi="Times New Roman;Times;serif"/>
          <w:b/>
          <w:sz w:val="22"/>
        </w:rPr>
        <w:t>Hostile Acquisition</w:t>
      </w:r>
      <w:r>
        <w:rPr>
          <w:rFonts w:ascii="Times New Roman;Times;serif" w:hAnsi="Times New Roman;Times;serif"/>
          <w:sz w:val="20"/>
        </w:rPr>
        <w:t xml:space="preserve">” </w:t>
      </w:r>
      <w:r>
        <w:rPr>
          <w:rFonts w:ascii="Times New Roman;Times;serif" w:hAnsi="Times New Roman;Times;serif"/>
          <w:sz w:val="22"/>
        </w:rPr>
        <w:t>means any Acquisition that has not been approved by the board of directors or other governing body of the applicable entity.</w:t>
      </w:r>
    </w:p>
    <w:p>
      <w:pPr>
        <w:pStyle w:val="TextBody"/>
        <w:bidi w:val="0"/>
        <w:spacing w:before="0" w:after="240"/>
        <w:ind w:left="0" w:right="0" w:firstLine="720"/>
        <w:jc w:val="both"/>
        <w:rPr/>
      </w:pPr>
      <w:r>
        <w:rPr/>
        <w:t>“</w:t>
      </w:r>
      <w:r>
        <w:rPr>
          <w:rFonts w:ascii="Times New Roman;Times;serif" w:hAnsi="Times New Roman;Times;serif"/>
          <w:b/>
          <w:sz w:val="22"/>
        </w:rPr>
        <w:t>including</w:t>
      </w:r>
      <w:r>
        <w:rPr>
          <w:rFonts w:ascii="Times New Roman;Times;serif" w:hAnsi="Times New Roman;Times;serif"/>
          <w:sz w:val="20"/>
        </w:rPr>
        <w:t xml:space="preserve">” </w:t>
      </w:r>
      <w:r>
        <w:rPr>
          <w:rFonts w:ascii="Times New Roman;Times;serif" w:hAnsi="Times New Roman;Times;serif"/>
          <w:sz w:val="22"/>
        </w:rPr>
        <w:t>means, unless the context clearly requires otherwise, “</w:t>
      </w:r>
      <w:r>
        <w:rPr>
          <w:rFonts w:ascii="Times New Roman;Times;serif" w:hAnsi="Times New Roman;Times;serif"/>
          <w:b/>
          <w:sz w:val="22"/>
        </w:rPr>
        <w:t>including without limitation</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Indemnity and Contribution Agreement</w:t>
      </w:r>
      <w:r>
        <w:rPr>
          <w:rFonts w:ascii="Times New Roman;Times;serif" w:hAnsi="Times New Roman;Times;serif"/>
          <w:sz w:val="20"/>
        </w:rPr>
        <w:t xml:space="preserve">” </w:t>
      </w:r>
      <w:r>
        <w:rPr>
          <w:rFonts w:ascii="Times New Roman;Times;serif" w:hAnsi="Times New Roman;Times;serif"/>
          <w:sz w:val="22"/>
        </w:rPr>
        <w:t>is defined in paragraph 3A.</w:t>
      </w:r>
    </w:p>
    <w:p>
      <w:pPr>
        <w:pStyle w:val="TextBody"/>
        <w:bidi w:val="0"/>
        <w:spacing w:before="0" w:after="240"/>
        <w:ind w:left="0" w:right="0" w:firstLine="720"/>
        <w:jc w:val="both"/>
        <w:rPr/>
      </w:pPr>
      <w:r>
        <w:rPr/>
        <w:t>“</w:t>
      </w:r>
      <w:r>
        <w:rPr>
          <w:rFonts w:ascii="Times New Roman;Times;serif" w:hAnsi="Times New Roman;Times;serif"/>
          <w:b/>
          <w:sz w:val="22"/>
        </w:rPr>
        <w:t>Intercreditor Agreement</w:t>
      </w:r>
      <w:r>
        <w:rPr>
          <w:rFonts w:ascii="Times New Roman;Times;serif" w:hAnsi="Times New Roman;Times;serif"/>
          <w:sz w:val="20"/>
        </w:rPr>
        <w:t xml:space="preserve">” </w:t>
      </w:r>
      <w:r>
        <w:rPr>
          <w:rFonts w:ascii="Times New Roman;Times;serif" w:hAnsi="Times New Roman;Times;serif"/>
          <w:sz w:val="22"/>
        </w:rPr>
        <w:t xml:space="preserve">means </w:t>
      </w:r>
      <w:r>
        <w:rPr>
          <w:rFonts w:ascii="Times New Roman;Times;serif" w:hAnsi="Times New Roman;Times;serif"/>
          <w:color w:val="FF0000"/>
          <w:sz w:val="22"/>
        </w:rPr>
        <w:t>that certain Intercreditor and Collateral Agency Agreement, dated as of July 30, 2015,</w:t>
      </w:r>
      <w:r>
        <w:rPr>
          <w:rFonts w:ascii="Times New Roman;Times;serif" w:hAnsi="Times New Roman;Times;serif"/>
          <w:color w:val="0000FF"/>
          <w:sz w:val="22"/>
          <w:u w:val="single"/>
        </w:rPr>
        <w:t>any intercreditor and collateral agency agreement</w:t>
      </w:r>
      <w:r>
        <w:rPr>
          <w:rFonts w:ascii="Times New Roman;Times;serif" w:hAnsi="Times New Roman;Times;serif"/>
          <w:sz w:val="20"/>
        </w:rPr>
        <w:t xml:space="preserve"> </w:t>
      </w:r>
      <w:r>
        <w:rPr>
          <w:rFonts w:ascii="Times New Roman;Times;serif" w:hAnsi="Times New Roman;Times;serif"/>
          <w:sz w:val="22"/>
        </w:rPr>
        <w:t xml:space="preserve">by and among the Collateral Agent and the </w:t>
      </w:r>
      <w:r>
        <w:rPr>
          <w:rFonts w:ascii="Times New Roman;Times;serif" w:hAnsi="Times New Roman;Times;serif"/>
          <w:color w:val="FF0000"/>
          <w:sz w:val="22"/>
        </w:rPr>
        <w:t>Benefited Parties named therein, as amended, supplemented or otherwise modified from time to time</w:t>
      </w:r>
      <w:r>
        <w:rPr>
          <w:rFonts w:ascii="Times New Roman;Times;serif" w:hAnsi="Times New Roman;Times;serif"/>
          <w:color w:val="0000FF"/>
          <w:sz w:val="22"/>
          <w:u w:val="single"/>
        </w:rPr>
        <w:t>holders of the Notes in form and substance satisfactory to the holders of the Notes, the Collateral Agent and the Company</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b/>
          <w:sz w:val="22"/>
        </w:rPr>
        <w:t>Lien</w:t>
      </w:r>
      <w:r>
        <w:rPr>
          <w:rFonts w:ascii="Times New Roman;Times;serif" w:hAnsi="Times New Roman;Times;serif"/>
          <w:sz w:val="20"/>
        </w:rPr>
        <w:t xml:space="preserve">” </w:t>
      </w:r>
      <w:r>
        <w:rPr>
          <w:rFonts w:ascii="Times New Roman;Times;serif" w:hAnsi="Times New Roman;Times;serif"/>
          <w:sz w:val="22"/>
        </w:rPr>
        <w:t>means any mortgage, pledge, security interest, encumbrance, deposit arrangement, lien (including any lien securing any Capitalized Lease Obligation) or charge of any kind (including any conditional sale or other title retention agreement having substantially the same economic effect as any of the foregoing).</w:t>
      </w:r>
    </w:p>
    <w:p>
      <w:pPr>
        <w:pStyle w:val="TextBody"/>
        <w:bidi w:val="0"/>
        <w:spacing w:before="0" w:after="240"/>
        <w:ind w:left="0" w:right="0" w:firstLine="720"/>
        <w:jc w:val="both"/>
        <w:rPr/>
      </w:pPr>
      <w:r>
        <w:rPr/>
        <w:t>“</w:t>
      </w:r>
      <w:r>
        <w:rPr>
          <w:rFonts w:ascii="Times New Roman;Times;serif" w:hAnsi="Times New Roman;Times;serif"/>
          <w:b/>
          <w:sz w:val="22"/>
        </w:rPr>
        <w:t>margin stock</w:t>
      </w:r>
      <w:r>
        <w:rPr>
          <w:rFonts w:ascii="Times New Roman;Times;serif" w:hAnsi="Times New Roman;Times;serif"/>
          <w:sz w:val="20"/>
        </w:rPr>
        <w:t xml:space="preserve">” </w:t>
      </w:r>
      <w:r>
        <w:rPr>
          <w:rFonts w:ascii="Times New Roman;Times;serif" w:hAnsi="Times New Roman;Times;serif"/>
          <w:sz w:val="22"/>
        </w:rPr>
        <w:t>is defined in paragraph 8I.</w:t>
      </w:r>
    </w:p>
    <w:p>
      <w:pPr>
        <w:pStyle w:val="TextBody"/>
        <w:bidi w:val="0"/>
        <w:spacing w:before="0" w:after="240"/>
        <w:ind w:left="0" w:right="0" w:firstLine="720"/>
        <w:jc w:val="both"/>
        <w:rPr/>
      </w:pPr>
      <w:r>
        <w:rPr/>
        <w:t>“</w:t>
      </w:r>
      <w:r>
        <w:rPr>
          <w:rFonts w:ascii="Times New Roman;Times;serif" w:hAnsi="Times New Roman;Times;serif"/>
          <w:b/>
          <w:sz w:val="22"/>
        </w:rPr>
        <w:t>Material Adverse Effect</w:t>
      </w:r>
      <w:r>
        <w:rPr>
          <w:rFonts w:ascii="Times New Roman;Times;serif" w:hAnsi="Times New Roman;Times;serif"/>
          <w:sz w:val="20"/>
        </w:rPr>
        <w:t xml:space="preserve">” </w:t>
      </w:r>
      <w:r>
        <w:rPr>
          <w:rFonts w:ascii="Times New Roman;Times;serif" w:hAnsi="Times New Roman;Times;serif"/>
          <w:sz w:val="22"/>
        </w:rPr>
        <w:t>means: (a) a material adverse change in, or a material adverse effect upon, on the business, financial condition or operations of the Company and its Subsidiaries taken as a whole; (b) a material impairment of the ability of any Credit Party to perform its obligations under any Transaction Document; or (c) a material adverse effect on the material rights and remedies of the holders of the Notes, which material adverse effect was not caused by any holder of a Note.</w:t>
      </w:r>
    </w:p>
    <w:p>
      <w:pPr>
        <w:pStyle w:val="TextBody"/>
        <w:bidi w:val="0"/>
        <w:spacing w:before="0" w:after="240"/>
        <w:ind w:left="0" w:right="0" w:firstLine="720"/>
        <w:jc w:val="both"/>
        <w:rPr/>
      </w:pPr>
      <w:r>
        <w:rPr/>
        <w:t>“</w:t>
      </w:r>
      <w:r>
        <w:rPr>
          <w:rFonts w:ascii="Times New Roman;Times;serif" w:hAnsi="Times New Roman;Times;serif"/>
          <w:b/>
          <w:sz w:val="22"/>
        </w:rPr>
        <w:t>Material Domestic Subsidiary</w:t>
      </w:r>
      <w:r>
        <w:rPr>
          <w:rFonts w:ascii="Times New Roman;Times;serif" w:hAnsi="Times New Roman;Times;serif"/>
          <w:sz w:val="20"/>
        </w:rPr>
        <w:t xml:space="preserve">” </w:t>
      </w:r>
      <w:r>
        <w:rPr>
          <w:rFonts w:ascii="Times New Roman;Times;serif" w:hAnsi="Times New Roman;Times;serif"/>
          <w:sz w:val="22"/>
        </w:rPr>
        <w:t>means any Domestic Subsidiary of the Company (other than a Foreign Holdco) that accounts for, on the date of determination, 5% or more of Consolidated EBITDA of the Company and its Subsidiaries for the period of four consecutive fiscal quarters then or most recently ended.</w:t>
      </w:r>
    </w:p>
    <w:p>
      <w:pPr>
        <w:pStyle w:val="TextBody"/>
        <w:bidi w:val="0"/>
        <w:spacing w:before="0" w:after="240"/>
        <w:ind w:left="0" w:right="0" w:firstLine="720"/>
        <w:jc w:val="both"/>
        <w:rPr/>
      </w:pPr>
      <w:r>
        <w:rPr/>
        <w:t>“</w:t>
      </w:r>
      <w:r>
        <w:rPr>
          <w:rFonts w:ascii="Times New Roman;Times;serif" w:hAnsi="Times New Roman;Times;serif"/>
          <w:b/>
          <w:sz w:val="22"/>
        </w:rPr>
        <w:t>Material Line of Business</w:t>
      </w:r>
      <w:r>
        <w:rPr>
          <w:rFonts w:ascii="Times New Roman;Times;serif" w:hAnsi="Times New Roman;Times;serif"/>
          <w:sz w:val="20"/>
        </w:rPr>
        <w:t xml:space="preserve">” </w:t>
      </w:r>
      <w:r>
        <w:rPr>
          <w:rFonts w:ascii="Times New Roman;Times;serif" w:hAnsi="Times New Roman;Times;serif"/>
          <w:sz w:val="22"/>
        </w:rPr>
        <w:t>means a line of business or an operating division that accounts for, as of the most recently ended four fiscal quarter period of the Company, 5% or more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of Consolidated EBITDA of the Company and its Subsidiaries for the most recently ended four fiscal quarter period of the Company.</w:t>
      </w:r>
    </w:p>
    <w:p>
      <w:pPr>
        <w:pStyle w:val="TextBody"/>
        <w:bidi w:val="0"/>
        <w:spacing w:before="0" w:after="240"/>
        <w:ind w:left="0" w:right="0" w:firstLine="720"/>
        <w:jc w:val="both"/>
        <w:rPr/>
      </w:pPr>
      <w:r>
        <w:rPr/>
        <w:t>“</w:t>
      </w:r>
      <w:r>
        <w:rPr>
          <w:rFonts w:ascii="Times New Roman;Times;serif" w:hAnsi="Times New Roman;Times;serif"/>
          <w:b/>
          <w:sz w:val="22"/>
        </w:rPr>
        <w:t>Material Subsidiary</w:t>
      </w:r>
      <w:r>
        <w:rPr>
          <w:rFonts w:ascii="Times New Roman;Times;serif" w:hAnsi="Times New Roman;Times;serif"/>
          <w:sz w:val="20"/>
        </w:rPr>
        <w:t xml:space="preserve">” </w:t>
      </w:r>
      <w:r>
        <w:rPr>
          <w:rFonts w:ascii="Times New Roman;Times;serif" w:hAnsi="Times New Roman;Times;serif"/>
          <w:sz w:val="22"/>
        </w:rPr>
        <w:t>means (a) any Guarantor and (b) any Subsidiary that accounts for, as of the most recently ended four fiscal quarter period of the Company, 5% or more of Consolidated EBITDA of the Company and its Subsidiaries for the most recently ended four fiscal quarter period of the Company.</w:t>
      </w:r>
    </w:p>
    <w:p>
      <w:pPr>
        <w:pStyle w:val="TextBody"/>
        <w:bidi w:val="0"/>
        <w:spacing w:before="0" w:after="240"/>
        <w:ind w:left="0" w:right="0" w:firstLine="720"/>
        <w:jc w:val="both"/>
        <w:rPr/>
      </w:pPr>
      <w:r>
        <w:rPr/>
        <w:t>“</w:t>
      </w:r>
      <w:r>
        <w:rPr>
          <w:rFonts w:ascii="Times New Roman;Times;serif" w:hAnsi="Times New Roman;Times;serif"/>
          <w:b/>
          <w:sz w:val="22"/>
        </w:rPr>
        <w:t>Matson Alaska</w:t>
      </w:r>
      <w:r>
        <w:rPr>
          <w:rFonts w:ascii="Times New Roman;Times;serif" w:hAnsi="Times New Roman;Times;serif"/>
          <w:sz w:val="20"/>
        </w:rPr>
        <w:t xml:space="preserve">” </w:t>
      </w:r>
      <w:r>
        <w:rPr>
          <w:rFonts w:ascii="Times New Roman;Times;serif" w:hAnsi="Times New Roman;Times;serif"/>
          <w:sz w:val="22"/>
        </w:rPr>
        <w:t>means Matson Alaska, Inc. (formerly known as Horizon Lines, Inc.), a Delaware corporation.</w:t>
      </w:r>
    </w:p>
    <w:p>
      <w:pPr>
        <w:pStyle w:val="TextBody"/>
        <w:bidi w:val="0"/>
        <w:spacing w:before="0" w:after="240"/>
        <w:ind w:left="0" w:right="0" w:firstLine="720"/>
        <w:jc w:val="both"/>
        <w:rPr/>
      </w:pPr>
      <w:r>
        <w:rPr/>
        <w:t>“</w:t>
      </w:r>
      <w:r>
        <w:rPr>
          <w:rFonts w:ascii="Times New Roman;Times;serif" w:hAnsi="Times New Roman;Times;serif"/>
          <w:b/>
          <w:sz w:val="22"/>
        </w:rPr>
        <w:t>Matson Navigation</w:t>
      </w:r>
      <w:r>
        <w:rPr>
          <w:rFonts w:ascii="Times New Roman;Times;serif" w:hAnsi="Times New Roman;Times;serif"/>
          <w:sz w:val="20"/>
        </w:rPr>
        <w:t xml:space="preserve">” </w:t>
      </w:r>
      <w:r>
        <w:rPr>
          <w:rFonts w:ascii="Times New Roman;Times;serif" w:hAnsi="Times New Roman;Times;serif"/>
          <w:sz w:val="22"/>
        </w:rPr>
        <w:t>means Matson Navigation Company, Inc., a Hawaii corporation.</w:t>
      </w:r>
    </w:p>
    <w:p>
      <w:pPr>
        <w:pStyle w:val="TextBody"/>
        <w:bidi w:val="0"/>
        <w:spacing w:before="0" w:after="240"/>
        <w:ind w:left="0" w:right="0" w:firstLine="720"/>
        <w:jc w:val="both"/>
        <w:rPr/>
      </w:pPr>
      <w:r>
        <w:rPr/>
        <w:t>“</w:t>
      </w:r>
      <w:r>
        <w:rPr>
          <w:rFonts w:ascii="Times New Roman;Times;serif" w:hAnsi="Times New Roman;Times;serif"/>
          <w:b/>
          <w:sz w:val="22"/>
        </w:rPr>
        <w:t>MetLife</w:t>
      </w:r>
      <w:r>
        <w:rPr>
          <w:rFonts w:ascii="Times New Roman;Times;serif" w:hAnsi="Times New Roman;Times;serif"/>
          <w:sz w:val="20"/>
        </w:rPr>
        <w:t xml:space="preserve">” </w:t>
      </w:r>
      <w:r>
        <w:rPr>
          <w:rFonts w:ascii="Times New Roman;Times;serif" w:hAnsi="Times New Roman;Times;serif"/>
          <w:sz w:val="22"/>
        </w:rPr>
        <w:t>means Metropolitan Life Insurance Company.</w:t>
      </w:r>
    </w:p>
    <w:p>
      <w:pPr>
        <w:pStyle w:val="TextBody"/>
        <w:bidi w:val="0"/>
        <w:spacing w:before="0" w:after="240"/>
        <w:ind w:left="0" w:right="0" w:firstLine="720"/>
        <w:jc w:val="both"/>
        <w:rPr/>
      </w:pPr>
      <w:r>
        <w:rPr/>
        <w:t>“</w:t>
      </w:r>
      <w:r>
        <w:rPr>
          <w:rFonts w:ascii="Times New Roman;Times;serif" w:hAnsi="Times New Roman;Times;serif"/>
          <w:b/>
          <w:sz w:val="22"/>
        </w:rPr>
        <w:t>Moody’s</w:t>
      </w:r>
      <w:r>
        <w:rPr>
          <w:rFonts w:ascii="Times New Roman;Times;serif" w:hAnsi="Times New Roman;Times;serif"/>
          <w:sz w:val="20"/>
        </w:rPr>
        <w:t xml:space="preserve">” </w:t>
      </w:r>
      <w:r>
        <w:rPr>
          <w:rFonts w:ascii="Times New Roman;Times;serif" w:hAnsi="Times New Roman;Times;serif"/>
          <w:sz w:val="22"/>
        </w:rPr>
        <w:t>means Moody’s Investors Service, Inc. or any successor thereto.</w:t>
      </w:r>
    </w:p>
    <w:p>
      <w:pPr>
        <w:pStyle w:val="TextBody"/>
        <w:bidi w:val="0"/>
        <w:spacing w:before="0" w:after="240"/>
        <w:ind w:left="0" w:right="0" w:firstLine="720"/>
        <w:jc w:val="both"/>
        <w:rPr/>
      </w:pPr>
      <w:r>
        <w:rPr/>
        <w:t>“</w:t>
      </w:r>
      <w:r>
        <w:rPr>
          <w:rFonts w:ascii="Times New Roman;Times;serif" w:hAnsi="Times New Roman;Times;serif"/>
          <w:b/>
          <w:sz w:val="22"/>
        </w:rPr>
        <w:t>Multiemployer Plan</w:t>
      </w:r>
      <w:r>
        <w:rPr>
          <w:rFonts w:ascii="Times New Roman;Times;serif" w:hAnsi="Times New Roman;Times;serif"/>
          <w:sz w:val="20"/>
        </w:rPr>
        <w:t xml:space="preserve">” </w:t>
      </w:r>
      <w:r>
        <w:rPr>
          <w:rFonts w:ascii="Times New Roman;Times;serif" w:hAnsi="Times New Roman;Times;serif"/>
          <w:sz w:val="22"/>
        </w:rPr>
        <w:t>means any Plan which is a “</w:t>
      </w:r>
      <w:r>
        <w:rPr>
          <w:rFonts w:ascii="Times New Roman;Times;serif" w:hAnsi="Times New Roman;Times;serif"/>
          <w:b/>
          <w:sz w:val="22"/>
        </w:rPr>
        <w:t>multiemployer plan</w:t>
      </w:r>
      <w:r>
        <w:rPr>
          <w:rFonts w:ascii="Times New Roman;Times;serif" w:hAnsi="Times New Roman;Times;serif"/>
          <w:sz w:val="20"/>
        </w:rPr>
        <w:t xml:space="preserve">” </w:t>
      </w:r>
      <w:r>
        <w:rPr>
          <w:rFonts w:ascii="Times New Roman;Times;serif" w:hAnsi="Times New Roman;Times;serif"/>
          <w:sz w:val="22"/>
        </w:rPr>
        <w:t>(as such term is defined in section 4001(a)(3) of ERISA).</w:t>
      </w:r>
    </w:p>
    <w:p>
      <w:pPr>
        <w:pStyle w:val="TextBody"/>
        <w:bidi w:val="0"/>
        <w:spacing w:before="0" w:after="240"/>
        <w:ind w:left="0" w:right="0" w:firstLine="720"/>
        <w:jc w:val="both"/>
        <w:rPr/>
      </w:pPr>
      <w:r>
        <w:rPr/>
        <w:t>“</w:t>
      </w:r>
      <w:r>
        <w:rPr>
          <w:rFonts w:ascii="Times New Roman;Times;serif" w:hAnsi="Times New Roman;Times;serif"/>
          <w:b/>
          <w:sz w:val="22"/>
        </w:rPr>
        <w:t>Multiparty Guaranty</w:t>
      </w:r>
      <w:r>
        <w:rPr>
          <w:rFonts w:ascii="Times New Roman;Times;serif" w:hAnsi="Times New Roman;Times;serif"/>
          <w:sz w:val="20"/>
        </w:rPr>
        <w:t xml:space="preserve">” </w:t>
      </w:r>
      <w:r>
        <w:rPr>
          <w:rFonts w:ascii="Times New Roman;Times;serif" w:hAnsi="Times New Roman;Times;serif"/>
          <w:sz w:val="22"/>
        </w:rPr>
        <w:t>is defined in paragraph 3A.</w:t>
      </w:r>
    </w:p>
    <w:p>
      <w:pPr>
        <w:pStyle w:val="TextBody"/>
        <w:bidi w:val="0"/>
        <w:spacing w:before="0" w:after="240"/>
        <w:ind w:left="0" w:right="0" w:firstLine="720"/>
        <w:jc w:val="both"/>
        <w:rPr/>
      </w:pPr>
      <w:r>
        <w:rPr/>
        <w:t>“</w:t>
      </w:r>
      <w:r>
        <w:rPr>
          <w:rFonts w:ascii="Times New Roman;Times;serif" w:hAnsi="Times New Roman;Times;serif"/>
          <w:b/>
          <w:sz w:val="22"/>
        </w:rPr>
        <w:t>Notes</w:t>
      </w:r>
      <w:r>
        <w:rPr>
          <w:rFonts w:ascii="Times New Roman;Times;serif" w:hAnsi="Times New Roman;Times;serif"/>
          <w:sz w:val="20"/>
        </w:rPr>
        <w:t xml:space="preserve">” </w:t>
      </w:r>
      <w:r>
        <w:rPr>
          <w:rFonts w:ascii="Times New Roman;Times;serif" w:hAnsi="Times New Roman;Times;serif"/>
          <w:sz w:val="22"/>
        </w:rPr>
        <w:t>is defined in paragraph 1.</w:t>
      </w:r>
    </w:p>
    <w:p>
      <w:pPr>
        <w:pStyle w:val="TextBody"/>
        <w:bidi w:val="0"/>
        <w:spacing w:before="0" w:after="240"/>
        <w:ind w:left="0" w:right="0" w:firstLine="720"/>
        <w:jc w:val="both"/>
        <w:rPr/>
      </w:pPr>
      <w:r>
        <w:rPr/>
        <w:t>“</w:t>
      </w:r>
      <w:r>
        <w:rPr>
          <w:rFonts w:ascii="Times New Roman;Times;serif" w:hAnsi="Times New Roman;Times;serif"/>
          <w:b/>
          <w:sz w:val="22"/>
        </w:rPr>
        <w:t>NYL Note Agreements</w:t>
      </w:r>
      <w:r>
        <w:rPr>
          <w:rFonts w:ascii="Times New Roman;Times;serif" w:hAnsi="Times New Roman;Times;serif"/>
          <w:sz w:val="20"/>
        </w:rPr>
        <w:t xml:space="preserve">” </w:t>
      </w:r>
      <w:r>
        <w:rPr>
          <w:rFonts w:ascii="Times New Roman;Times;serif" w:hAnsi="Times New Roman;Times;serif"/>
          <w:sz w:val="22"/>
        </w:rPr>
        <w:t>means (a) that certain Note Purchase Agreement, dated as of November 5, 2013, by and between the Company, on the one hand, and New York Life Insurance Company and the other Purchasers named therein, on the other hand, as the same may be amended, amended and restated, supplemented, refinanced, replaced or otherwise modified from time to time, and (b) that certain Note Purchase Agreement, dated as of July 30, 2015, by and between the Company, on the one hand, and New York Life Insurance Company and the other Purchasers named therein, on the other hand, as the same may be amended, amended and restated, supplemented, refinanced, replaced or otherwise modified from time to time.</w:t>
      </w:r>
    </w:p>
    <w:p>
      <w:pPr>
        <w:pStyle w:val="TextBody"/>
        <w:bidi w:val="0"/>
        <w:spacing w:before="0" w:after="240"/>
        <w:ind w:left="0" w:right="0" w:firstLine="720"/>
        <w:jc w:val="both"/>
        <w:rPr/>
      </w:pPr>
      <w:r>
        <w:rPr/>
        <w:t>“</w:t>
      </w:r>
      <w:r>
        <w:rPr>
          <w:rFonts w:ascii="Times New Roman;Times;serif" w:hAnsi="Times New Roman;Times;serif"/>
          <w:b/>
          <w:sz w:val="22"/>
        </w:rPr>
        <w:t>OFAC</w:t>
      </w:r>
      <w:r>
        <w:rPr>
          <w:rFonts w:ascii="Times New Roman;Times;serif" w:hAnsi="Times New Roman;Times;serif"/>
          <w:sz w:val="20"/>
        </w:rPr>
        <w:t xml:space="preserve">” </w:t>
      </w:r>
      <w:r>
        <w:rPr>
          <w:rFonts w:ascii="Times New Roman;Times;serif" w:hAnsi="Times New Roman;Times;serif"/>
          <w:sz w:val="22"/>
        </w:rPr>
        <w:t>means the Office of Foreign Assets Control of the United States Department of the Treasury.</w:t>
      </w:r>
    </w:p>
    <w:p>
      <w:pPr>
        <w:pStyle w:val="TextBody"/>
        <w:bidi w:val="0"/>
        <w:spacing w:before="0" w:after="240"/>
        <w:ind w:left="0" w:right="0" w:firstLine="720"/>
        <w:jc w:val="both"/>
        <w:rPr/>
      </w:pPr>
      <w:r>
        <w:rPr/>
        <w:t>“</w:t>
      </w:r>
      <w:r>
        <w:rPr>
          <w:rFonts w:ascii="Times New Roman;Times;serif" w:hAnsi="Times New Roman;Times;serif"/>
          <w:b/>
          <w:sz w:val="22"/>
        </w:rPr>
        <w:t>OFAC Sanctions Program</w:t>
      </w:r>
      <w:r>
        <w:rPr>
          <w:rFonts w:ascii="Times New Roman;Times;serif" w:hAnsi="Times New Roman;Times;serif"/>
          <w:sz w:val="20"/>
        </w:rPr>
        <w:t xml:space="preserve">” </w:t>
      </w:r>
      <w:r>
        <w:rPr>
          <w:rFonts w:ascii="Times New Roman;Times;serif" w:hAnsi="Times New Roman;Times;serif"/>
          <w:sz w:val="22"/>
        </w:rPr>
        <w:t>means any economic or trade sanction that OFAC is responsible for administering and enforcing. A list of OFAC Sanctions Programs may be found at http://www.treasury.gov/resource-center/sanctions/Programs/Pages/Programs.aspx.</w:t>
      </w:r>
    </w:p>
    <w:p>
      <w:pPr>
        <w:pStyle w:val="TextBody"/>
        <w:bidi w:val="0"/>
        <w:spacing w:before="0" w:after="240"/>
        <w:ind w:left="0" w:right="0" w:firstLine="720"/>
        <w:jc w:val="both"/>
        <w:rPr/>
      </w:pPr>
      <w:r>
        <w:rPr/>
        <w:t>“</w:t>
      </w:r>
      <w:r>
        <w:rPr>
          <w:rFonts w:ascii="Times New Roman;Times;serif" w:hAnsi="Times New Roman;Times;serif"/>
          <w:b/>
          <w:sz w:val="22"/>
        </w:rPr>
        <w:t>Officer’s Certificate</w:t>
      </w:r>
      <w:r>
        <w:rPr>
          <w:rFonts w:ascii="Times New Roman;Times;serif" w:hAnsi="Times New Roman;Times;serif"/>
          <w:sz w:val="20"/>
        </w:rPr>
        <w:t xml:space="preserve">” </w:t>
      </w:r>
      <w:r>
        <w:rPr>
          <w:rFonts w:ascii="Times New Roman;Times;serif" w:hAnsi="Times New Roman;Times;serif"/>
          <w:sz w:val="22"/>
        </w:rPr>
        <w:t>means a certificate signed in the name of the Company by its Chief Executive Officer, Chief Financial Officer, President, one of its Vice Presidents or its Treasurer.</w:t>
      </w:r>
    </w:p>
    <w:p>
      <w:pPr>
        <w:pStyle w:val="TextBody"/>
        <w:bidi w:val="0"/>
        <w:spacing w:before="0" w:after="240"/>
        <w:ind w:left="0" w:right="0" w:firstLine="720"/>
        <w:jc w:val="both"/>
        <w:rPr/>
      </w:pPr>
      <w:r>
        <w:rPr/>
        <w:t>“</w:t>
      </w:r>
      <w:r>
        <w:rPr>
          <w:rFonts w:ascii="Times New Roman;Times;serif" w:hAnsi="Times New Roman;Times;serif"/>
          <w:b/>
          <w:sz w:val="22"/>
        </w:rPr>
        <w:t>Other Note Agreements</w:t>
      </w:r>
      <w:r>
        <w:rPr>
          <w:rFonts w:ascii="Times New Roman;Times;serif" w:hAnsi="Times New Roman;Times;serif"/>
          <w:sz w:val="20"/>
        </w:rPr>
        <w:t xml:space="preserve">” </w:t>
      </w:r>
      <w:r>
        <w:rPr>
          <w:rFonts w:ascii="Times New Roman;Times;serif" w:hAnsi="Times New Roman;Times;serif"/>
          <w:sz w:val="22"/>
        </w:rPr>
        <w:t xml:space="preserve">means, for any date of determination, (i) the NYL Note Agreements, (ii) the Pru Note Agreement and (iii) any other note purchase agreement entered into by a Credit Party on or after the date hereof, in each of cases (i) and (ii) under which notes in an aggregate principal amount of at least $30,000,000 are issued and sold and remain outstanding as of such date of determination;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the term “Other Note Agreements” shall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exclude (a) Title XI Debt, (b) financings to build, modify and/or acquire Vessel(s) secured by such Vessel(s) (other than Vessel(s) constituting Collateral) and (c) for the avoidance of doubt, any Debt between or among the Company and its Subsidiaries.</w:t>
      </w:r>
    </w:p>
    <w:p>
      <w:pPr>
        <w:pStyle w:val="TextBody"/>
        <w:bidi w:val="0"/>
        <w:spacing w:before="0" w:after="240"/>
        <w:ind w:left="0" w:right="0" w:firstLine="720"/>
        <w:jc w:val="both"/>
        <w:rPr/>
      </w:pPr>
      <w:r>
        <w:rPr>
          <w:color w:val="0000FF"/>
          <w:u w:val="single"/>
        </w:rPr>
        <w:t>“</w:t>
      </w:r>
      <w:r>
        <w:rPr>
          <w:rFonts w:ascii="Times New Roman;Times;serif" w:hAnsi="Times New Roman;Times;serif"/>
          <w:b/>
          <w:color w:val="0000FF"/>
          <w:sz w:val="22"/>
        </w:rPr>
        <w:t>Outbound Investment Rules</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means the regulations administered and enforced, together with any related public guidance issued, by the United States Treasury Department under U.S. Executive Order 14105 of August 9, 2023, or any similar law or regulation; as of the Closing Date, and as codified at 31 C.F.R. § 850.101 et seq.</w:t>
      </w:r>
    </w:p>
    <w:p>
      <w:pPr>
        <w:pStyle w:val="TextBody"/>
        <w:bidi w:val="0"/>
        <w:spacing w:before="0" w:after="240"/>
        <w:ind w:left="0" w:right="0" w:firstLine="720"/>
        <w:jc w:val="both"/>
        <w:rPr/>
      </w:pPr>
      <w:r>
        <w:rPr/>
        <w:t>“</w:t>
      </w:r>
      <w:r>
        <w:rPr>
          <w:rFonts w:ascii="Times New Roman;Times;serif" w:hAnsi="Times New Roman;Times;serif"/>
          <w:b/>
          <w:sz w:val="22"/>
        </w:rPr>
        <w:t>PBGC</w:t>
      </w:r>
      <w:r>
        <w:rPr>
          <w:rFonts w:ascii="Times New Roman;Times;serif" w:hAnsi="Times New Roman;Times;serif"/>
          <w:sz w:val="20"/>
        </w:rPr>
        <w:t xml:space="preserve">” </w:t>
      </w:r>
      <w:r>
        <w:rPr>
          <w:rFonts w:ascii="Times New Roman;Times;serif" w:hAnsi="Times New Roman;Times;serif"/>
          <w:sz w:val="22"/>
        </w:rPr>
        <w:t>means the Pension Benefit Guaranty Corporation, or any successor or replacement entity thereto under ERISA.</w:t>
      </w:r>
    </w:p>
    <w:p>
      <w:pPr>
        <w:pStyle w:val="TextBody"/>
        <w:bidi w:val="0"/>
        <w:spacing w:before="0" w:after="240"/>
        <w:ind w:left="0" w:right="0" w:firstLine="720"/>
        <w:jc w:val="both"/>
        <w:rPr/>
      </w:pPr>
      <w:r>
        <w:rPr/>
        <w:t>“</w:t>
      </w:r>
      <w:r>
        <w:rPr>
          <w:rFonts w:ascii="Times New Roman;Times;serif" w:hAnsi="Times New Roman;Times;serif"/>
          <w:b/>
          <w:sz w:val="22"/>
        </w:rPr>
        <w:t>Person</w:t>
      </w:r>
      <w:r>
        <w:rPr>
          <w:rFonts w:ascii="Times New Roman;Times;serif" w:hAnsi="Times New Roman;Times;serif"/>
          <w:sz w:val="20"/>
        </w:rPr>
        <w:t xml:space="preserve">” </w:t>
      </w:r>
      <w:r>
        <w:rPr>
          <w:rFonts w:ascii="Times New Roman;Times;serif" w:hAnsi="Times New Roman;Times;serif"/>
          <w:sz w:val="22"/>
        </w:rPr>
        <w:t>means and include an individual, a partnership, a joint venture, a corporation, a trust, a limited liability company, an unincorporated organization and a government or any department or agency thereof.</w:t>
      </w:r>
    </w:p>
    <w:p>
      <w:pPr>
        <w:pStyle w:val="TextBody"/>
        <w:bidi w:val="0"/>
        <w:spacing w:before="0" w:after="240"/>
        <w:ind w:left="0" w:right="0" w:firstLine="720"/>
        <w:jc w:val="both"/>
        <w:rPr/>
      </w:pPr>
      <w:r>
        <w:rPr/>
        <w:t>“</w:t>
      </w:r>
      <w:r>
        <w:rPr>
          <w:rFonts w:ascii="Times New Roman;Times;serif" w:hAnsi="Times New Roman;Times;serif"/>
          <w:b/>
          <w:sz w:val="22"/>
        </w:rPr>
        <w:t>Plan</w:t>
      </w:r>
      <w:r>
        <w:rPr>
          <w:rFonts w:ascii="Times New Roman;Times;serif" w:hAnsi="Times New Roman;Times;serif"/>
          <w:sz w:val="20"/>
        </w:rPr>
        <w:t xml:space="preserve">” </w:t>
      </w:r>
      <w:r>
        <w:rPr>
          <w:rFonts w:ascii="Times New Roman;Times;serif" w:hAnsi="Times New Roman;Times;serif"/>
          <w:sz w:val="22"/>
        </w:rPr>
        <w:t>means any “</w:t>
      </w:r>
      <w:r>
        <w:rPr>
          <w:rFonts w:ascii="Times New Roman;Times;serif" w:hAnsi="Times New Roman;Times;serif"/>
          <w:b/>
          <w:sz w:val="22"/>
        </w:rPr>
        <w:t>employee pension benefit plan</w:t>
      </w:r>
      <w:r>
        <w:rPr>
          <w:rFonts w:ascii="Times New Roman;Times;serif" w:hAnsi="Times New Roman;Times;serif"/>
          <w:sz w:val="20"/>
        </w:rPr>
        <w:t xml:space="preserve">” </w:t>
      </w:r>
      <w:r>
        <w:rPr>
          <w:rFonts w:ascii="Times New Roman;Times;serif" w:hAnsi="Times New Roman;Times;serif"/>
          <w:sz w:val="22"/>
        </w:rPr>
        <w:t>(as such term is defined in section 3 of ERISA) which is or has been established or maintained, or to which contributions are or have been made, by either Company or any ERISA Affiliate.</w:t>
      </w:r>
    </w:p>
    <w:p>
      <w:pPr>
        <w:pStyle w:val="TextBody"/>
        <w:bidi w:val="0"/>
        <w:spacing w:before="0" w:after="240"/>
        <w:ind w:left="0" w:right="0" w:firstLine="720"/>
        <w:jc w:val="both"/>
        <w:rPr/>
      </w:pPr>
      <w:r>
        <w:rPr/>
        <w:t>“</w:t>
      </w:r>
      <w:r>
        <w:rPr>
          <w:rFonts w:ascii="Times New Roman;Times;serif" w:hAnsi="Times New Roman;Times;serif"/>
          <w:b/>
          <w:sz w:val="22"/>
        </w:rPr>
        <w:t>Priority Debt</w:t>
      </w:r>
      <w:r>
        <w:rPr>
          <w:rFonts w:ascii="Times New Roman;Times;serif" w:hAnsi="Times New Roman;Times;serif"/>
          <w:sz w:val="20"/>
        </w:rPr>
        <w:t xml:space="preserve">” </w:t>
      </w:r>
      <w:r>
        <w:rPr>
          <w:rFonts w:ascii="Times New Roman;Times;serif" w:hAnsi="Times New Roman;Times;serif"/>
          <w:sz w:val="22"/>
        </w:rPr>
        <w:t xml:space="preserve">means, at any time of determination thereof and without duplication, (a) Debt of the Company </w:t>
      </w:r>
      <w:r>
        <w:rPr>
          <w:rFonts w:ascii="Times New Roman;Times;serif" w:hAnsi="Times New Roman;Times;serif"/>
          <w:color w:val="0000FF"/>
          <w:sz w:val="22"/>
          <w:u w:val="single"/>
        </w:rPr>
        <w:t>or Matson Navigation</w:t>
      </w:r>
      <w:r>
        <w:rPr>
          <w:rFonts w:ascii="Times New Roman;Times;serif" w:hAnsi="Times New Roman;Times;serif"/>
          <w:sz w:val="20"/>
        </w:rPr>
        <w:t xml:space="preserve"> </w:t>
      </w:r>
      <w:r>
        <w:rPr>
          <w:rFonts w:ascii="Times New Roman;Times;serif" w:hAnsi="Times New Roman;Times;serif"/>
          <w:sz w:val="22"/>
        </w:rPr>
        <w:t xml:space="preserve">secured by any Lien (including, without limitation, all Title XI Debt and all Debt secured by marine assets, in each case whether full recourse or limited recourse) and (b) all Debt secured by a Lien (including, without limitation, all Title XI Debt and all Debt secured by a Lien on marine assets, in each case whether full recourse or limited recourse) and all unsecured Debt of Subsidiaries of the Company (other than unsecured Debt of Guarantors),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Priority Debt shall not include (i) Debt owing from any Subsidiaries to the Company or any other Subsidiary, (ii) the Notes and obligations under the Multiparty Guaranty, (iii) the notes issued under the Other Note Agreements and Guarantees in respect thereof, (iv) any Debt or other obligations of the Company or any Subsidiary under the Bank Credit Agreement, including any obligations with respect to any letter of credit issued thereunder (other than those described in paragraph 6C(1)(vi)), and any Guarantee with respect to any Debt or other obligations under the Bank Credit Agreement, so long as the Company is in compliance with the second and third provisos of paragraph 6C(1)(vii), </w:t>
      </w:r>
      <w:r>
        <w:rPr>
          <w:rFonts w:ascii="Times New Roman;Times;serif" w:hAnsi="Times New Roman;Times;serif"/>
          <w:color w:val="0000FF"/>
          <w:sz w:val="22"/>
          <w:u w:val="single"/>
        </w:rPr>
        <w:t>or</w:t>
      </w:r>
      <w:r>
        <w:rPr>
          <w:rFonts w:ascii="Times New Roman;Times;serif" w:hAnsi="Times New Roman;Times;serif"/>
          <w:sz w:val="20"/>
        </w:rPr>
        <w:t xml:space="preserve"> </w:t>
      </w:r>
      <w:r>
        <w:rPr>
          <w:rFonts w:ascii="Times New Roman;Times;serif" w:hAnsi="Times New Roman;Times;serif"/>
          <w:sz w:val="22"/>
        </w:rPr>
        <w:t xml:space="preserve">(v) </w:t>
      </w:r>
      <w:r>
        <w:rPr>
          <w:rFonts w:ascii="Times New Roman;Times;serif" w:hAnsi="Times New Roman;Times;serif"/>
          <w:color w:val="FF0000"/>
          <w:sz w:val="22"/>
        </w:rPr>
        <w:t>any Debt secured solely by Collateral, or (vi)</w:t>
      </w:r>
      <w:r>
        <w:rPr>
          <w:rFonts w:ascii="Times New Roman;Times;serif" w:hAnsi="Times New Roman;Times;serif"/>
          <w:sz w:val="20"/>
        </w:rPr>
        <w:t xml:space="preserve"> </w:t>
      </w:r>
      <w:r>
        <w:rPr>
          <w:rFonts w:ascii="Times New Roman;Times;serif" w:hAnsi="Times New Roman;Times;serif"/>
          <w:sz w:val="22"/>
        </w:rPr>
        <w:t>the Horizon Notes, so long as the aggregate principal amount outstanding under the Horizon Notes is less than $3,000,000.</w:t>
      </w:r>
    </w:p>
    <w:p>
      <w:pPr>
        <w:pStyle w:val="TextBody"/>
        <w:bidi w:val="0"/>
        <w:spacing w:before="0" w:after="240"/>
        <w:ind w:left="0" w:right="0" w:firstLine="720"/>
        <w:jc w:val="both"/>
        <w:rPr/>
      </w:pPr>
      <w:r>
        <w:rPr/>
        <w:t>“</w:t>
      </w:r>
      <w:r>
        <w:rPr>
          <w:rFonts w:ascii="Times New Roman;Times;serif" w:hAnsi="Times New Roman;Times;serif"/>
          <w:b/>
          <w:sz w:val="22"/>
        </w:rPr>
        <w:t>Pru Note Agreement</w:t>
      </w:r>
      <w:r>
        <w:rPr>
          <w:rFonts w:ascii="Times New Roman;Times;serif" w:hAnsi="Times New Roman;Times;serif"/>
          <w:sz w:val="20"/>
        </w:rPr>
        <w:t xml:space="preserve">” </w:t>
      </w:r>
      <w:r>
        <w:rPr>
          <w:rFonts w:ascii="Times New Roman;Times;serif" w:hAnsi="Times New Roman;Times;serif"/>
          <w:sz w:val="22"/>
        </w:rPr>
        <w:t>that certain Third Amended and Restated Note Purchase and Private Shelf Agreement, dated as of September 14, 2016, by and between the Company, on the one hand, and PGIM, Inc. (formerly known as Prudential Investment Management, Inc.) and the other Purchasers (as defined therein) from time to time party thereto, on the other hand, as the same may be amended, amended and restated, supplemented, refinanced, replaced or otherwise modified from time to time.</w:t>
      </w:r>
    </w:p>
    <w:p>
      <w:pPr>
        <w:pStyle w:val="TextBody"/>
        <w:bidi w:val="0"/>
        <w:spacing w:before="0" w:after="240"/>
        <w:ind w:left="0" w:right="0" w:firstLine="720"/>
        <w:jc w:val="both"/>
        <w:rPr/>
      </w:pPr>
      <w:r>
        <w:rPr/>
        <w:t>“</w:t>
      </w:r>
      <w:r>
        <w:rPr>
          <w:rFonts w:ascii="Times New Roman;Times;serif" w:hAnsi="Times New Roman;Times;serif"/>
          <w:b/>
          <w:sz w:val="22"/>
        </w:rPr>
        <w:t>Purchasers</w:t>
      </w:r>
      <w:r>
        <w:rPr>
          <w:rFonts w:ascii="Times New Roman;Times;serif" w:hAnsi="Times New Roman;Times;serif"/>
          <w:sz w:val="20"/>
        </w:rPr>
        <w:t xml:space="preserve">” </w:t>
      </w:r>
      <w:r>
        <w:rPr>
          <w:rFonts w:ascii="Times New Roman;Times;serif" w:hAnsi="Times New Roman;Times;serif"/>
          <w:sz w:val="22"/>
        </w:rPr>
        <w:t>means each holder of Notes which is a signatory to this Agreement.</w:t>
      </w:r>
    </w:p>
    <w:p>
      <w:pPr>
        <w:pStyle w:val="TextBody"/>
        <w:bidi w:val="0"/>
        <w:spacing w:before="0" w:after="240"/>
        <w:ind w:left="0" w:right="0" w:firstLine="720"/>
        <w:jc w:val="both"/>
        <w:rPr/>
      </w:pPr>
      <w:r>
        <w:rPr/>
        <w:t>“</w:t>
      </w:r>
      <w:r>
        <w:rPr>
          <w:rFonts w:ascii="Times New Roman;Times;serif" w:hAnsi="Times New Roman;Times;serif"/>
          <w:b/>
          <w:sz w:val="22"/>
        </w:rPr>
        <w:t>Ratable Share</w:t>
      </w:r>
      <w:r>
        <w:rPr>
          <w:rFonts w:ascii="Times New Roman;Times;serif" w:hAnsi="Times New Roman;Times;serif"/>
          <w:sz w:val="20"/>
        </w:rPr>
        <w:t xml:space="preserve">” </w:t>
      </w:r>
      <w:r>
        <w:rPr>
          <w:rFonts w:ascii="Times New Roman;Times;serif" w:hAnsi="Times New Roman;Times;serif"/>
          <w:sz w:val="22"/>
        </w:rPr>
        <w:t>means, at any time with respect to any Note, the aggregate principal amount of such Note outstanding at such time as a percentage of the sum of (x) the aggregate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principal amount of notes outstanding under the Pru Note Agreement at such time, (y) the aggregate principal amount of notes outstanding under the NYL Note Agreements at such time, and (z) the aggregate principal amount of all Notes outstanding at such time.</w:t>
      </w:r>
    </w:p>
    <w:p>
      <w:pPr>
        <w:pStyle w:val="TextBody"/>
        <w:bidi w:val="0"/>
        <w:spacing w:before="0" w:after="240"/>
        <w:ind w:left="0" w:right="0" w:firstLine="720"/>
        <w:jc w:val="both"/>
        <w:rPr/>
      </w:pPr>
      <w:r>
        <w:rPr/>
        <w:t>“</w:t>
      </w:r>
      <w:r>
        <w:rPr>
          <w:rFonts w:ascii="Times New Roman;Times;serif" w:hAnsi="Times New Roman;Times;serif"/>
          <w:b/>
          <w:sz w:val="22"/>
        </w:rPr>
        <w:t>Rating Agency</w:t>
      </w:r>
      <w:r>
        <w:rPr>
          <w:rFonts w:ascii="Times New Roman;Times;serif" w:hAnsi="Times New Roman;Times;serif"/>
          <w:sz w:val="20"/>
        </w:rPr>
        <w:t xml:space="preserve">” </w:t>
      </w:r>
      <w:r>
        <w:rPr>
          <w:rFonts w:ascii="Times New Roman;Times;serif" w:hAnsi="Times New Roman;Times;serif"/>
          <w:sz w:val="22"/>
        </w:rPr>
        <w:t>means, at any time, any nationally recognized statistical rating organization which qualifies at such time for the ratings exception of the Securities Valuation Office of the National Association of Insurance Commissioners, except as agreed in writing by the parties to the First Amendment on or before June 29, 2017.</w:t>
      </w:r>
    </w:p>
    <w:p>
      <w:pPr>
        <w:pStyle w:val="TextBody"/>
        <w:bidi w:val="0"/>
        <w:spacing w:before="0" w:after="240"/>
        <w:ind w:left="0" w:right="0" w:firstLine="720"/>
        <w:jc w:val="both"/>
        <w:rPr/>
      </w:pPr>
      <w:r>
        <w:rPr/>
        <w:t>“</w:t>
      </w:r>
      <w:r>
        <w:rPr>
          <w:rFonts w:ascii="Times New Roman;Times;serif" w:hAnsi="Times New Roman;Times;serif"/>
          <w:b/>
          <w:sz w:val="22"/>
        </w:rPr>
        <w:t>Required Holder(s)</w:t>
      </w:r>
      <w:r>
        <w:rPr>
          <w:rFonts w:ascii="Times New Roman;Times;serif" w:hAnsi="Times New Roman;Times;serif"/>
          <w:sz w:val="20"/>
        </w:rPr>
        <w:t xml:space="preserve">” </w:t>
      </w:r>
      <w:r>
        <w:rPr>
          <w:rFonts w:ascii="Times New Roman;Times;serif" w:hAnsi="Times New Roman;Times;serif"/>
          <w:sz w:val="22"/>
        </w:rPr>
        <w:t>means the holder or holders of at least 51% of the aggregate principal amount of the Notes from time to time outstanding.</w:t>
      </w:r>
    </w:p>
    <w:p>
      <w:pPr>
        <w:pStyle w:val="TextBody"/>
        <w:bidi w:val="0"/>
        <w:spacing w:before="0" w:after="240"/>
        <w:ind w:left="0" w:right="0" w:firstLine="720"/>
        <w:jc w:val="both"/>
        <w:rPr/>
      </w:pPr>
      <w:r>
        <w:rPr/>
        <w:t>“</w:t>
      </w:r>
      <w:r>
        <w:rPr>
          <w:rFonts w:ascii="Times New Roman;Times;serif" w:hAnsi="Times New Roman;Times;serif"/>
          <w:b/>
          <w:sz w:val="22"/>
        </w:rPr>
        <w:t>Responsible Officer</w:t>
      </w:r>
      <w:r>
        <w:rPr>
          <w:rFonts w:ascii="Times New Roman;Times;serif" w:hAnsi="Times New Roman;Times;serif"/>
          <w:sz w:val="20"/>
        </w:rPr>
        <w:t xml:space="preserve">” </w:t>
      </w:r>
      <w:r>
        <w:rPr>
          <w:rFonts w:ascii="Times New Roman;Times;serif" w:hAnsi="Times New Roman;Times;serif"/>
          <w:sz w:val="22"/>
        </w:rPr>
        <w:t>means any of the Company’s chief financial officer, principal accounting officer, treasurer or controller and any other officer of the Company with responsibility for the administration of the relevant portion of this Agreement or matters referenced therein.</w:t>
      </w:r>
    </w:p>
    <w:p>
      <w:pPr>
        <w:pStyle w:val="TextBody"/>
        <w:bidi w:val="0"/>
        <w:spacing w:before="0" w:after="240"/>
        <w:ind w:left="0" w:right="0" w:firstLine="720"/>
        <w:jc w:val="both"/>
        <w:rPr/>
      </w:pPr>
      <w:r>
        <w:rPr/>
        <w:t>“</w:t>
      </w:r>
      <w:r>
        <w:rPr>
          <w:rFonts w:ascii="Times New Roman;Times;serif" w:hAnsi="Times New Roman;Times;serif"/>
          <w:b/>
          <w:sz w:val="22"/>
        </w:rPr>
        <w:t>Restricted Payments</w:t>
      </w:r>
      <w:r>
        <w:rPr>
          <w:rFonts w:ascii="Times New Roman;Times;serif" w:hAnsi="Times New Roman;Times;serif"/>
          <w:sz w:val="20"/>
        </w:rPr>
        <w:t xml:space="preserve">” </w:t>
      </w:r>
      <w:r>
        <w:rPr>
          <w:rFonts w:ascii="Times New Roman;Times;serif" w:hAnsi="Times New Roman;Times;serif"/>
          <w:sz w:val="22"/>
        </w:rPr>
        <w:t>is defined in paragraph 6B.</w:t>
      </w:r>
    </w:p>
    <w:p>
      <w:pPr>
        <w:pStyle w:val="TextBody"/>
        <w:bidi w:val="0"/>
        <w:spacing w:before="0" w:after="240"/>
        <w:ind w:left="0" w:right="0" w:firstLine="720"/>
        <w:jc w:val="both"/>
        <w:rPr/>
      </w:pPr>
      <w:r>
        <w:rPr/>
        <w:t>“</w:t>
      </w:r>
      <w:r>
        <w:rPr>
          <w:rFonts w:ascii="Times New Roman;Times;serif" w:hAnsi="Times New Roman;Times;serif"/>
          <w:b/>
          <w:sz w:val="22"/>
        </w:rPr>
        <w:t>SEC</w:t>
      </w:r>
      <w:r>
        <w:rPr>
          <w:rFonts w:ascii="Times New Roman;Times;serif" w:hAnsi="Times New Roman;Times;serif"/>
          <w:sz w:val="20"/>
        </w:rPr>
        <w:t xml:space="preserve">” </w:t>
      </w:r>
      <w:r>
        <w:rPr>
          <w:rFonts w:ascii="Times New Roman;Times;serif" w:hAnsi="Times New Roman;Times;serif"/>
          <w:sz w:val="22"/>
        </w:rPr>
        <w:t>means the Securities and Exchange Commission, and any Governmental Authority succeeding to any of its principal functions.</w:t>
      </w:r>
    </w:p>
    <w:p>
      <w:pPr>
        <w:pStyle w:val="TextBody"/>
        <w:bidi w:val="0"/>
        <w:spacing w:before="0" w:after="240"/>
        <w:ind w:left="0" w:right="0" w:firstLine="720"/>
        <w:jc w:val="both"/>
        <w:rPr/>
      </w:pPr>
      <w:r>
        <w:rPr/>
        <w:t>“</w:t>
      </w:r>
      <w:r>
        <w:rPr>
          <w:rFonts w:ascii="Times New Roman;Times;serif" w:hAnsi="Times New Roman;Times;serif"/>
          <w:b/>
          <w:sz w:val="22"/>
        </w:rPr>
        <w:t>Section 2 Citizen</w:t>
      </w:r>
      <w:r>
        <w:rPr>
          <w:rFonts w:ascii="Times New Roman;Times;serif" w:hAnsi="Times New Roman;Times;serif"/>
          <w:sz w:val="20"/>
        </w:rPr>
        <w:t xml:space="preserve">” </w:t>
      </w:r>
      <w:r>
        <w:rPr>
          <w:rFonts w:ascii="Times New Roman;Times;serif" w:hAnsi="Times New Roman;Times;serif"/>
          <w:sz w:val="22"/>
        </w:rPr>
        <w:t>means a Person that is a citizen of the United States of America as required for the coastwise trade under Section 50501 of Title 46 of the United States Code and the regulations in effect from time to time thereunder.</w:t>
      </w:r>
    </w:p>
    <w:p>
      <w:pPr>
        <w:pStyle w:val="TextBody"/>
        <w:bidi w:val="0"/>
        <w:spacing w:before="0" w:after="240"/>
        <w:ind w:left="0" w:right="0" w:firstLine="720"/>
        <w:jc w:val="both"/>
        <w:rPr/>
      </w:pPr>
      <w:r>
        <w:rPr/>
        <w:t>“</w:t>
      </w:r>
      <w:r>
        <w:rPr>
          <w:rFonts w:ascii="Times New Roman;Times;serif" w:hAnsi="Times New Roman;Times;serif"/>
          <w:b/>
          <w:sz w:val="22"/>
        </w:rPr>
        <w:t>Securities Act</w:t>
      </w:r>
      <w:r>
        <w:rPr>
          <w:rFonts w:ascii="Times New Roman;Times;serif" w:hAnsi="Times New Roman;Times;serif"/>
          <w:sz w:val="20"/>
        </w:rPr>
        <w:t xml:space="preserve">” </w:t>
      </w:r>
      <w:r>
        <w:rPr>
          <w:rFonts w:ascii="Times New Roman;Times;serif" w:hAnsi="Times New Roman;Times;serif"/>
          <w:sz w:val="22"/>
        </w:rPr>
        <w:t>means the Securities Act of 1933, as amended from time to time, and the rules and regulations promulgated thereunder from time to time in effect.</w:t>
      </w:r>
    </w:p>
    <w:p>
      <w:pPr>
        <w:pStyle w:val="TextBody"/>
        <w:bidi w:val="0"/>
        <w:spacing w:before="0" w:after="240"/>
        <w:ind w:left="0" w:right="0" w:firstLine="720"/>
        <w:jc w:val="both"/>
        <w:rPr/>
      </w:pPr>
      <w:r>
        <w:rPr/>
        <w:t>“</w:t>
      </w:r>
      <w:r>
        <w:rPr>
          <w:rFonts w:ascii="Times New Roman;Times;serif" w:hAnsi="Times New Roman;Times;serif"/>
          <w:b/>
          <w:sz w:val="22"/>
        </w:rPr>
        <w:t>Security Agreement</w:t>
      </w:r>
      <w:r>
        <w:rPr>
          <w:rFonts w:ascii="Times New Roman;Times;serif" w:hAnsi="Times New Roman;Times;serif"/>
          <w:sz w:val="20"/>
        </w:rPr>
        <w:t xml:space="preserve">” </w:t>
      </w:r>
      <w:r>
        <w:rPr>
          <w:rFonts w:ascii="Times New Roman;Times;serif" w:hAnsi="Times New Roman;Times;serif"/>
          <w:sz w:val="22"/>
        </w:rPr>
        <w:t xml:space="preserve">means, individually, each of (a) that certain Security Agreement (Vessel Type Aloha Class – Hull No. 29) dated as of the applicable date thereof between Matson Navigation and the Collateral Agent in substantially the form set forth as </w:t>
      </w:r>
      <w:r>
        <w:rPr>
          <w:rFonts w:ascii="Times New Roman;Times;serif" w:hAnsi="Times New Roman;Times;serif"/>
          <w:sz w:val="22"/>
          <w:u w:val="single"/>
        </w:rPr>
        <w:t>Exhibit C-3</w:t>
      </w:r>
      <w:r>
        <w:rPr>
          <w:rFonts w:ascii="Times New Roman;Times;serif" w:hAnsi="Times New Roman;Times;serif"/>
          <w:sz w:val="22"/>
        </w:rPr>
        <w:t xml:space="preserve">, (b) that certain Security Agreement (Vessel Type Aloha Class – Hull No. 30) dated as of the applicable date thereof between Matson Navigation and the Collateral Agent in substantially the form set forth as </w:t>
      </w:r>
      <w:r>
        <w:rPr>
          <w:rFonts w:ascii="Times New Roman;Times;serif" w:hAnsi="Times New Roman;Times;serif"/>
          <w:sz w:val="22"/>
          <w:u w:val="single"/>
        </w:rPr>
        <w:t>Exhibit C-4</w:t>
      </w:r>
      <w:r>
        <w:rPr>
          <w:rFonts w:ascii="Times New Roman;Times;serif" w:hAnsi="Times New Roman;Times;serif"/>
          <w:sz w:val="22"/>
        </w:rPr>
        <w:t xml:space="preserve">, (c) that certain Security Agreement (Vessel Type Kanaloa Class – Hull Nos. 601 and 602) dated as of the applicable date thereof between Matson Navigation and the Collateral Agent in substantially the form set forth as </w:t>
      </w:r>
      <w:r>
        <w:rPr>
          <w:rFonts w:ascii="Times New Roman;Times;serif" w:hAnsi="Times New Roman;Times;serif"/>
          <w:sz w:val="22"/>
          <w:u w:val="single"/>
        </w:rPr>
        <w:t>Exhibit C-5</w:t>
      </w:r>
      <w:r>
        <w:rPr>
          <w:rFonts w:ascii="Times New Roman;Times;serif" w:hAnsi="Times New Roman;Times;serif"/>
          <w:sz w:val="22"/>
        </w:rPr>
        <w:t xml:space="preserve">, and (d) any other Security Agreement with respect to an applicable Vessel (or contract to build a Vessel) between a Credit Party and the Collateral Agent in substantially the form set forth as </w:t>
      </w:r>
      <w:r>
        <w:rPr>
          <w:rFonts w:ascii="Times New Roman;Times;serif" w:hAnsi="Times New Roman;Times;serif"/>
          <w:sz w:val="22"/>
          <w:u w:val="single"/>
        </w:rPr>
        <w:t>Exhibits C-3</w:t>
      </w:r>
      <w:r>
        <w:rPr>
          <w:rFonts w:ascii="Times New Roman;Times;serif" w:hAnsi="Times New Roman;Times;serif"/>
          <w:sz w:val="22"/>
        </w:rPr>
        <w:t xml:space="preserve">, </w:t>
      </w:r>
      <w:r>
        <w:rPr>
          <w:rFonts w:ascii="Times New Roman;Times;serif" w:hAnsi="Times New Roman;Times;serif"/>
          <w:sz w:val="22"/>
          <w:u w:val="single"/>
        </w:rPr>
        <w:t>C-4</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C-5</w:t>
      </w:r>
      <w:r>
        <w:rPr>
          <w:rFonts w:ascii="Times New Roman;Times;serif" w:hAnsi="Times New Roman;Times;serif"/>
          <w:sz w:val="20"/>
        </w:rPr>
        <w:t xml:space="preserve"> </w:t>
      </w:r>
      <w:r>
        <w:rPr>
          <w:rFonts w:ascii="Times New Roman;Times;serif" w:hAnsi="Times New Roman;Times;serif"/>
          <w:sz w:val="22"/>
        </w:rPr>
        <w:t>with respect to such applicable Vessel (or contract to build a Vessel) and designated in writing from time to time by any Credit Party to the Collateral Agent as a “Security Agreement” hereunder.</w:t>
      </w:r>
    </w:p>
    <w:p>
      <w:pPr>
        <w:pStyle w:val="TextBody"/>
        <w:bidi w:val="0"/>
        <w:spacing w:before="0" w:after="240"/>
        <w:ind w:left="0" w:right="0" w:firstLine="720"/>
        <w:jc w:val="both"/>
        <w:rPr/>
      </w:pPr>
      <w:r>
        <w:rPr/>
        <w:t>“</w:t>
      </w:r>
      <w:r>
        <w:rPr>
          <w:rFonts w:ascii="Times New Roman;Times;serif" w:hAnsi="Times New Roman;Times;serif"/>
          <w:b/>
          <w:sz w:val="22"/>
        </w:rPr>
        <w:t>Significant Holder</w:t>
      </w:r>
      <w:r>
        <w:rPr>
          <w:rFonts w:ascii="Times New Roman;Times;serif" w:hAnsi="Times New Roman;Times;serif"/>
          <w:sz w:val="20"/>
        </w:rPr>
        <w:t xml:space="preserve">” </w:t>
      </w:r>
      <w:r>
        <w:rPr>
          <w:rFonts w:ascii="Times New Roman;Times;serif" w:hAnsi="Times New Roman;Times;serif"/>
          <w:sz w:val="22"/>
        </w:rPr>
        <w:t>means (i) each Purchaser, so long as such Purchaser shall hold any Note, or (ii) any other holder of at least 10% of the aggregate principal amount of the Notes from time to time outstanding.</w:t>
      </w:r>
    </w:p>
    <w:p>
      <w:pPr>
        <w:pStyle w:val="TextBody"/>
        <w:bidi w:val="0"/>
        <w:spacing w:before="0" w:after="240"/>
        <w:ind w:left="0" w:right="0" w:firstLine="720"/>
        <w:jc w:val="both"/>
        <w:rPr/>
      </w:pPr>
      <w:r>
        <w:rPr/>
        <w:t>“</w:t>
      </w:r>
      <w:r>
        <w:rPr>
          <w:rFonts w:ascii="Times New Roman;Times;serif" w:hAnsi="Times New Roman;Times;serif"/>
          <w:b/>
          <w:sz w:val="22"/>
        </w:rPr>
        <w:t>S&amp;P</w:t>
      </w:r>
      <w:r>
        <w:rPr>
          <w:rFonts w:ascii="Times New Roman;Times;serif" w:hAnsi="Times New Roman;Times;serif"/>
          <w:sz w:val="20"/>
        </w:rPr>
        <w:t xml:space="preserve">” </w:t>
      </w:r>
      <w:r>
        <w:rPr>
          <w:rFonts w:ascii="Times New Roman;Times;serif" w:hAnsi="Times New Roman;Times;serif"/>
          <w:sz w:val="22"/>
        </w:rPr>
        <w:t>means Standard &amp; Poor’s Financial Services LLC, a subsidiary of The McGraw-Hill Companies, Inc. or any successor thereto.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2"/>
        </w:rPr>
        <w:t>State Sanctions List</w:t>
      </w:r>
      <w:r>
        <w:rPr>
          <w:rFonts w:ascii="Times New Roman;Times;serif" w:hAnsi="Times New Roman;Times;serif"/>
          <w:sz w:val="20"/>
        </w:rPr>
        <w:t xml:space="preserve">” </w:t>
      </w:r>
      <w:r>
        <w:rPr>
          <w:rFonts w:ascii="Times New Roman;Times;serif" w:hAnsi="Times New Roman;Times;serif"/>
          <w:sz w:val="22"/>
        </w:rPr>
        <w:t>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w:t>
      </w:r>
    </w:p>
    <w:p>
      <w:pPr>
        <w:pStyle w:val="TextBody"/>
        <w:bidi w:val="0"/>
        <w:spacing w:before="0" w:after="240"/>
        <w:ind w:left="0" w:right="0" w:firstLine="720"/>
        <w:jc w:val="both"/>
        <w:rPr/>
      </w:pPr>
      <w:r>
        <w:rPr/>
        <w:t>“</w:t>
      </w:r>
      <w:r>
        <w:rPr>
          <w:rFonts w:ascii="Times New Roman;Times;serif" w:hAnsi="Times New Roman;Times;serif"/>
          <w:b/>
          <w:sz w:val="22"/>
        </w:rPr>
        <w:t>Subsidiary</w:t>
      </w:r>
      <w:r>
        <w:rPr>
          <w:rFonts w:ascii="Times New Roman;Times;serif" w:hAnsi="Times New Roman;Times;serif"/>
          <w:sz w:val="20"/>
        </w:rPr>
        <w:t xml:space="preserve">” </w:t>
      </w:r>
      <w:r>
        <w:rPr>
          <w:rFonts w:ascii="Times New Roman;Times;serif" w:hAnsi="Times New Roman;Times;serif"/>
          <w:sz w:val="22"/>
        </w:rPr>
        <w:t>means, as to any Person, any company, whether operating as a corporation, joint venture, partnership, limited liability company or other entity, which is consolidated with such Person in accordance with GAAP. Unless otherwise specified, all references herein to a “Subsidiary” or to “Subsidiaries” shall refer to a Subsidiary or Subsidiaries of the Company.</w:t>
      </w:r>
    </w:p>
    <w:p>
      <w:pPr>
        <w:pStyle w:val="TextBody"/>
        <w:bidi w:val="0"/>
        <w:spacing w:before="0" w:after="240"/>
        <w:ind w:left="0" w:right="0" w:firstLine="720"/>
        <w:jc w:val="both"/>
        <w:rPr/>
      </w:pPr>
      <w:r>
        <w:rPr/>
        <w:t>“</w:t>
      </w:r>
      <w:r>
        <w:rPr>
          <w:rFonts w:ascii="Times New Roman;Times;serif" w:hAnsi="Times New Roman;Times;serif"/>
          <w:b/>
          <w:sz w:val="22"/>
        </w:rPr>
        <w:t>Title XI Debt</w:t>
      </w:r>
      <w:r>
        <w:rPr>
          <w:rFonts w:ascii="Times New Roman;Times;serif" w:hAnsi="Times New Roman;Times;serif"/>
          <w:sz w:val="20"/>
        </w:rPr>
        <w:t xml:space="preserve">” </w:t>
      </w:r>
      <w:r>
        <w:rPr>
          <w:rFonts w:ascii="Times New Roman;Times;serif" w:hAnsi="Times New Roman;Times;serif"/>
          <w:sz w:val="22"/>
        </w:rPr>
        <w:t>means all Debt of the Company or Matson Navigation or any Subsidiary that is guaranteed by the United States of America pursuant to 46 USC Chapter 537.</w:t>
      </w:r>
    </w:p>
    <w:p>
      <w:pPr>
        <w:pStyle w:val="TextBody"/>
        <w:bidi w:val="0"/>
        <w:spacing w:before="0" w:after="240"/>
        <w:ind w:left="0" w:right="0" w:firstLine="720"/>
        <w:jc w:val="both"/>
        <w:rPr/>
      </w:pPr>
      <w:r>
        <w:rPr/>
        <w:t>“</w:t>
      </w:r>
      <w:r>
        <w:rPr>
          <w:rFonts w:ascii="Times New Roman;Times;serif" w:hAnsi="Times New Roman;Times;serif"/>
          <w:b/>
          <w:sz w:val="22"/>
        </w:rPr>
        <w:t>Transaction Documents</w:t>
      </w:r>
      <w:r>
        <w:rPr>
          <w:rFonts w:ascii="Times New Roman;Times;serif" w:hAnsi="Times New Roman;Times;serif"/>
          <w:sz w:val="20"/>
        </w:rPr>
        <w:t xml:space="preserve">” </w:t>
      </w:r>
      <w:r>
        <w:rPr>
          <w:rFonts w:ascii="Times New Roman;Times;serif" w:hAnsi="Times New Roman;Times;serif"/>
          <w:sz w:val="22"/>
        </w:rPr>
        <w:t>means this Agreement, the Notes, the Multiparty Guaranty, the Indemnity and Contribution Agreement and the other agreements, documents, certificates and instruments now or hereafter executed or delivered by the Company or any Subsidiary or Affiliate in connection with this Agreement</w:t>
      </w:r>
      <w:r>
        <w:rPr>
          <w:rFonts w:ascii="Times New Roman;Times;serif" w:hAnsi="Times New Roman;Times;serif"/>
          <w:color w:val="FF0000"/>
          <w:sz w:val="22"/>
        </w:rPr>
        <w:t>.</w:t>
      </w:r>
      <w:r>
        <w:rPr>
          <w:rFonts w:ascii="Times New Roman;Times;serif" w:hAnsi="Times New Roman;Times;serif"/>
          <w:color w:val="0000FF"/>
          <w:sz w:val="22"/>
          <w:u w:val="single"/>
        </w:rPr>
        <w:t>, but excluding any Collateral Documents.</w:t>
      </w:r>
    </w:p>
    <w:p>
      <w:pPr>
        <w:pStyle w:val="TextBody"/>
        <w:bidi w:val="0"/>
        <w:spacing w:before="0" w:after="240"/>
        <w:ind w:left="0" w:right="0" w:firstLine="720"/>
        <w:jc w:val="both"/>
        <w:rPr/>
      </w:pPr>
      <w:r>
        <w:rPr/>
        <w:t>“</w:t>
      </w:r>
      <w:r>
        <w:rPr>
          <w:rFonts w:ascii="Times New Roman;Times;serif" w:hAnsi="Times New Roman;Times;serif"/>
          <w:b/>
          <w:sz w:val="22"/>
        </w:rPr>
        <w:t>Transferee</w:t>
      </w:r>
      <w:r>
        <w:rPr>
          <w:rFonts w:ascii="Times New Roman;Times;serif" w:hAnsi="Times New Roman;Times;serif"/>
          <w:sz w:val="20"/>
        </w:rPr>
        <w:t xml:space="preserve">” </w:t>
      </w:r>
      <w:r>
        <w:rPr>
          <w:rFonts w:ascii="Times New Roman;Times;serif" w:hAnsi="Times New Roman;Times;serif"/>
          <w:sz w:val="22"/>
        </w:rPr>
        <w:t>means any direct or indirect transferee of all or any part of any Note purchased under this Agreement.</w:t>
      </w:r>
    </w:p>
    <w:p>
      <w:pPr>
        <w:pStyle w:val="TextBody"/>
        <w:bidi w:val="0"/>
        <w:spacing w:before="0" w:after="240"/>
        <w:ind w:left="0" w:right="0" w:firstLine="720"/>
        <w:jc w:val="both"/>
        <w:rPr/>
      </w:pPr>
      <w:r>
        <w:rPr>
          <w:color w:val="0000FF"/>
          <w:u w:val="single"/>
        </w:rPr>
        <w:t>“</w:t>
      </w:r>
      <w:r>
        <w:rPr>
          <w:rFonts w:ascii="Times New Roman;Times;serif" w:hAnsi="Times New Roman;Times;serif"/>
          <w:b/>
          <w:color w:val="0000FF"/>
          <w:sz w:val="22"/>
        </w:rPr>
        <w:t>United States Person</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means any United States citizen, lawful permanent resident Person organized under the laws of the United States or any jurisdiction within the United States, including any foreign branch of any such entity, or any Person in the United States.</w:t>
      </w:r>
    </w:p>
    <w:p>
      <w:pPr>
        <w:pStyle w:val="TextBody"/>
        <w:bidi w:val="0"/>
        <w:spacing w:before="0" w:after="240"/>
        <w:ind w:left="0" w:right="0" w:firstLine="720"/>
        <w:jc w:val="both"/>
        <w:rPr/>
      </w:pPr>
      <w:r>
        <w:rPr/>
        <w:t>“</w:t>
      </w:r>
      <w:r>
        <w:rPr>
          <w:rFonts w:ascii="Times New Roman;Times;serif" w:hAnsi="Times New Roman;Times;serif"/>
          <w:b/>
          <w:sz w:val="22"/>
        </w:rPr>
        <w:t>USA PATRIOT Act</w:t>
      </w:r>
      <w:r>
        <w:rPr>
          <w:rFonts w:ascii="Times New Roman;Times;serif" w:hAnsi="Times New Roman;Times;serif"/>
          <w:sz w:val="20"/>
        </w:rPr>
        <w:t xml:space="preserve">” </w:t>
      </w:r>
      <w:r>
        <w:rPr>
          <w:rFonts w:ascii="Times New Roman;Times;serif" w:hAnsi="Times New Roman;Times;serif"/>
          <w:sz w:val="22"/>
        </w:rPr>
        <w:t>means United States Public Law 107-56, Uniting and Strengthening America by Providing Appropriate Tools Required to Intercept and Obstruct Terrorism (USA PATRIOT ACT) Act of 2001 and the rules and regulations promulgated thereunder from time to time in effect.</w:t>
      </w:r>
    </w:p>
    <w:p>
      <w:pPr>
        <w:pStyle w:val="TextBody"/>
        <w:bidi w:val="0"/>
        <w:spacing w:before="0" w:after="240"/>
        <w:ind w:left="0" w:right="0" w:firstLine="720"/>
        <w:jc w:val="both"/>
        <w:rPr/>
      </w:pPr>
      <w:r>
        <w:rPr/>
        <w:t>“</w:t>
      </w:r>
      <w:r>
        <w:rPr>
          <w:rFonts w:ascii="Times New Roman;Times;serif" w:hAnsi="Times New Roman;Times;serif"/>
          <w:b/>
          <w:sz w:val="22"/>
        </w:rPr>
        <w:t>U.S. Economic Sanctions Laws</w:t>
      </w:r>
      <w:r>
        <w:rPr>
          <w:rFonts w:ascii="Times New Roman;Times;serif" w:hAnsi="Times New Roman;Times;serif"/>
          <w:sz w:val="20"/>
        </w:rPr>
        <w:t xml:space="preserve">” </w:t>
      </w:r>
      <w:r>
        <w:rPr>
          <w:rFonts w:ascii="Times New Roman;Times;serif" w:hAnsi="Times New Roman;Times;serif"/>
          <w:sz w:val="22"/>
        </w:rPr>
        <w:t>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pStyle w:val="TextBody"/>
        <w:bidi w:val="0"/>
        <w:spacing w:before="0" w:after="240"/>
        <w:ind w:left="0" w:right="0" w:firstLine="720"/>
        <w:jc w:val="both"/>
        <w:rPr/>
      </w:pPr>
      <w:r>
        <w:rPr/>
        <w:t>“</w:t>
      </w:r>
      <w:r>
        <w:rPr>
          <w:rFonts w:ascii="Times New Roman;Times;serif" w:hAnsi="Times New Roman;Times;serif"/>
          <w:b/>
          <w:sz w:val="22"/>
        </w:rPr>
        <w:t>Vessel</w:t>
      </w:r>
      <w:r>
        <w:rPr>
          <w:rFonts w:ascii="Times New Roman;Times;serif" w:hAnsi="Times New Roman;Times;serif"/>
          <w:sz w:val="20"/>
        </w:rPr>
        <w:t xml:space="preserve">” </w:t>
      </w:r>
      <w:r>
        <w:rPr>
          <w:rFonts w:ascii="Times New Roman;Times;serif" w:hAnsi="Times New Roman;Times;serif"/>
          <w:sz w:val="22"/>
        </w:rPr>
        <w:t>means each vessel that is (or is required to be) documented under and pursuant to the laws of the United States with a coastwise endorsement owned or operated by the Company or any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10C.</w:t>
      </w:r>
      <w:r>
        <w:rPr>
          <w:rFonts w:ascii="Times New Roman;Times;serif" w:hAnsi="Times New Roman;Times;serif"/>
          <w:b/>
          <w:sz w:val="22"/>
        </w:rPr>
        <w:t>Accounting Principles, Terms and Determinations; Changes in</w:t>
      </w:r>
      <w:r>
        <w:rPr>
          <w:rFonts w:ascii="Times New Roman;Times;serif" w:hAnsi="Times New Roman;Times;serif"/>
          <w:caps/>
          <w:sz w:val="20"/>
        </w:rPr>
        <w:t xml:space="preserve"> </w:t>
      </w:r>
      <w:r>
        <w:rPr>
          <w:rFonts w:ascii="Times New Roman;Times;serif" w:hAnsi="Times New Roman;Times;serif"/>
          <w:b/>
          <w:caps/>
          <w:sz w:val="22"/>
        </w:rPr>
        <w:t>GAAP</w:t>
      </w:r>
      <w:r>
        <w:rPr>
          <w:rFonts w:ascii="Times New Roman;Times;serif" w:hAnsi="Times New Roman;Times;serif"/>
          <w:sz w:val="22"/>
        </w:rPr>
        <w:t>. All references in this Agreement to “</w:t>
      </w:r>
      <w:r>
        <w:rPr>
          <w:rFonts w:ascii="Times New Roman;Times;serif" w:hAnsi="Times New Roman;Times;serif"/>
          <w:b/>
          <w:sz w:val="22"/>
        </w:rPr>
        <w:t>generally accepted accounting principles</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b/>
          <w:sz w:val="22"/>
        </w:rPr>
        <w:t>GAAP</w:t>
      </w:r>
      <w:r>
        <w:rPr>
          <w:rFonts w:ascii="Times New Roman;Times;serif" w:hAnsi="Times New Roman;Times;serif"/>
          <w:sz w:val="20"/>
        </w:rPr>
        <w:t xml:space="preserve">” </w:t>
      </w:r>
      <w:r>
        <w:rPr>
          <w:rFonts w:ascii="Times New Roman;Times;serif" w:hAnsi="Times New Roman;Times;serif"/>
          <w:sz w:val="22"/>
        </w:rPr>
        <w:t xml:space="preserve">shall be deemed to refer to generally accepted accounting principles in effect in the United States of America at the time of application thereof, but excluding in each case the effects of Financial Accounting Standards Board Accounting Standards Codification Topic No. 825-10-25 – </w:t>
      </w:r>
      <w:r>
        <w:rPr>
          <w:rFonts w:ascii="Times New Roman;Times;serif" w:hAnsi="Times New Roman;Times;serif"/>
          <w:i/>
          <w:sz w:val="22"/>
        </w:rPr>
        <w:t>Fair Value Option</w:t>
      </w:r>
      <w:r>
        <w:rPr>
          <w:rFonts w:ascii="Times New Roman;Times;serif" w:hAnsi="Times New Roman;Times;serif"/>
          <w:sz w:val="22"/>
        </w:rPr>
        <w:t xml:space="preserve">, International Accounting Standard 39 – </w:t>
      </w:r>
      <w:r>
        <w:rPr>
          <w:rFonts w:ascii="Times New Roman;Times;serif" w:hAnsi="Times New Roman;Times;serif"/>
          <w:i/>
          <w:sz w:val="22"/>
        </w:rPr>
        <w:t>Financial Instruments: Recognition and Measurement</w:t>
      </w:r>
      <w:r>
        <w:rPr>
          <w:rFonts w:ascii="Times New Roman;Times;serif" w:hAnsi="Times New Roman;Times;serif"/>
          <w:sz w:val="22"/>
        </w:rPr>
        <w:t>, or any other accounting standard that would result in any financial liability being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set forth at an amount less than the actual outstanding principal amount thereof. Unless otherwise specified herein, all accounting terms used herein shall be interpreted, all determinations with respect to accounting matters hereunder shall be made, and all unaudited financial statements and certificates and reports as to financial matters required to be furnished hereunder shall be prepared, in accordance with generally accepted accounting principles, applied on a basis consistent with the most recent audited consolidated financial statements of the Company and its Subsidiaries delivered pursuant to clause (ii) of paragraph 5A or, if no such statements have been so delivered, the most recent audited financial statements referred to in clause (i) of paragraph 8B.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If at any time any change in GAAP would affect the computation of any financial ratio or requirement set forth in any Transaction Document, and either the Company or the Required Holders shall so request, the holders of the Notes and the Company shall negotiate in good faith to amend such ratio or requirement to preserve the original intent thereof in light of such change in GAAP (subject to the approval of the Required Holders);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 until so amended, such ratio or requirement shall continue to be computed in accordance with GAAP prior to such change therein and (B) until so amended, the Company shall provide to the holders of the Notes financial statements and other documents reasonably requested by any holder of a Note setting forth a reconciliation between calculations of such ratio or requirement made before and after giving effect to such change in GAAP. Without limiting the foregoing, leases shall continue to be classified and accounted for on a basis consistent with the rules in effect on December 21, 2016 for all purposes of this Agreement, notwithstanding any change in GAAP relating thereto, unless the parties hereto shall enter into a mutually acceptable amendment addressing such changes, as provided for above.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w:t>
      </w:r>
      <w:r>
        <w:rPr>
          <w:rFonts w:ascii="Times New Roman;Times;serif" w:hAnsi="Times New Roman;Times;serif"/>
          <w:b/>
          <w:caps/>
          <w:sz w:val="22"/>
        </w:rPr>
        <w:t>MISCELLANEOUS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11A.</w:t>
      </w:r>
      <w:r>
        <w:rPr>
          <w:rFonts w:ascii="Times New Roman;Times;serif" w:hAnsi="Times New Roman;Times;serif"/>
          <w:b/>
          <w:sz w:val="22"/>
        </w:rPr>
        <w:t>Note Payments</w:t>
      </w:r>
      <w:r>
        <w:rPr>
          <w:rFonts w:ascii="Times New Roman;Times;serif" w:hAnsi="Times New Roman;Times;serif"/>
          <w:sz w:val="22"/>
        </w:rPr>
        <w:t>. The Company agrees that, so long as any Purchaser shall hold any Note, it will make payments of principal of, interest on, and any Yield-Maintenance Amount payable with respect to, such Note, which comply with the terms of this Agreement, by wire transfer of immediately available funds for credit on the date due to the account or accounts of such Purchaser specified in the Purchaser Schedule attached hereto or such other account or accounts in the United States as such Purchaser may from time to time designate in writing, notwithstanding any contrary provision herein or in any Note with respect to the place of payment. Each Purchaser agrees that, before disposing of any Note, it will make a notation thereon (or on a schedule attached thereto) of all principal payments previously made thereon and of the date to which interest thereon has been paid. The Company agrees to afford the benefits of this paragraph 11A to any Transferee which shall have made the same agreement as the Purchasers have made in this paragraph 11A.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11B.</w:t>
      </w:r>
      <w:r>
        <w:rPr>
          <w:rFonts w:ascii="Times New Roman;Times;serif" w:hAnsi="Times New Roman;Times;serif"/>
          <w:b/>
          <w:sz w:val="22"/>
        </w:rPr>
        <w:t>Expenses</w:t>
      </w:r>
      <w:r>
        <w:rPr>
          <w:rFonts w:ascii="Times New Roman;Times;serif" w:hAnsi="Times New Roman;Times;serif"/>
          <w:sz w:val="22"/>
        </w:rPr>
        <w:t xml:space="preserve">. The Company agrees, whether or not the transactions contemplated hereby shall be consummated, to pay, and save each Purchaser and any Transferee harmless against liability for the payment of, all reasonable out-of-pocket expenses arising in connection with such transactions, including (i) all document production and duplication charges and the fees and expenses of any special counsel engaged by the Purchasers or any Transferee in connection with this Agreement or any other Transaction Document, the Intercreditor Agreement, the Collateral Documents, the transactions contemplated hereby and thereby and any subsequent proposed modification of, or proposed consent under, this Agreement or any other Transaction Document, the Intercreditor Agreement or the Collateral Documents, whether or not such proposed modification shall be effected or proposed consent granted, and (ii) the reasonable costs and expenses, including attorneys’ fees, incurred by any Purchaser or any Transferee in enforcing any rights under this Agreement, the Notes or any other Transaction Document, the Intercreditor Agreement or the Collateral Documents or in responding to any subpoena or other legal process or informal investigative demand issued in connection with this Agreement, the Notes or any other Transaction Document, the Intercreditor Agreement or the Collateral Documents or the transactions contemplated hereby or thereby or by reason of any Purchaser’s or any Transferee’s having acquired any Note, including without limitation costs and expenses incurred in any bankruptcy case, </w:t>
      </w:r>
      <w:r>
        <w:rPr>
          <w:rFonts w:ascii="Times New Roman;Times;serif" w:hAnsi="Times New Roman;Times;serif"/>
          <w:sz w:val="22"/>
          <w:u w:val="single"/>
        </w:rPr>
        <w:t>provided however</w:t>
      </w:r>
      <w:r>
        <w:rPr>
          <w:rFonts w:ascii="Times New Roman;Times;serif" w:hAnsi="Times New Roman;Times;serif"/>
          <w:sz w:val="22"/>
        </w:rPr>
        <w:t>, the Company will not be required to pay the expenses of any holder of a Note or any Transferee in connection with the transfer of any Note by any holder of a Note to any Transferee. The obligations of the Company under this paragraph 11B shall survive the transfer of any Note or portion thereof or interest therein by any Purchaser or any Transferee and the payment of any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11C.</w:t>
      </w:r>
      <w:r>
        <w:rPr>
          <w:rFonts w:ascii="Times New Roman;Times;serif" w:hAnsi="Times New Roman;Times;serif"/>
          <w:b/>
          <w:sz w:val="22"/>
        </w:rPr>
        <w:t>Consent to Amendments</w:t>
      </w:r>
      <w:r>
        <w:rPr>
          <w:rFonts w:ascii="Times New Roman;Times;serif" w:hAnsi="Times New Roman;Times;serif"/>
          <w:sz w:val="22"/>
        </w:rPr>
        <w:t>. This Agreement may be amended, and the Company may take any action herein prohibited, or omit to perform any act herein required to be performed by it, if the Company shall obtain the written consent to such amendment, action or omission to act, of the Required Holder(s) except that, (i) without the written consent of the holder or holders of all Notes at the time outstanding, no amendment to this Agreement shall change the maturity of any Note, or change or affect the principal thereof, or change or affect the rate or time of payment of interest on or any Yield-Maintenance Amount payable with respect to the Notes, and (ii) without the written consent of the holder or holders of all Notes at the time outstanding, no amendment to or waiver of the provisions of this Agreement shall change or affect the provisions of paragraph 7A or this paragraph 11C insofar as such provisions relate to proportions of the principal amount of the Notes, or the rights of any individual holder of Notes, required with respect to any declaration of Notes to be due and payable or with respect to any consent, amendment, waiver or declaration. Each holder of any Note at the time or thereafter outstanding shall be bound by any consent authorized by this paragraph 11C, whether or not such Note shall have been marked to indicate such consent, but any Notes issued thereafter may bear a notation referring to any such consent. No course of dealing between the Company and the holder of any Note nor any delay in exercising any rights hereunder or under any Note shall operate as a waiver of any rights of any holder of such Note. As used herein and in the Notes, the term “</w:t>
      </w:r>
      <w:r>
        <w:rPr>
          <w:rFonts w:ascii="Times New Roman;Times;serif" w:hAnsi="Times New Roman;Times;serif"/>
          <w:b/>
          <w:sz w:val="22"/>
        </w:rPr>
        <w:t>this Agreement</w:t>
      </w:r>
      <w:r>
        <w:rPr>
          <w:rFonts w:ascii="Times New Roman;Times;serif" w:hAnsi="Times New Roman;Times;serif"/>
          <w:sz w:val="20"/>
        </w:rPr>
        <w:t xml:space="preserve">” </w:t>
      </w:r>
      <w:r>
        <w:rPr>
          <w:rFonts w:ascii="Times New Roman;Times;serif" w:hAnsi="Times New Roman;Times;serif"/>
          <w:sz w:val="22"/>
        </w:rPr>
        <w:t>and references thereto means this Agreement as it may from time to time be amended or supplemented.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11D.</w:t>
      </w:r>
      <w:r>
        <w:rPr>
          <w:rFonts w:ascii="Times New Roman;Times;serif" w:hAnsi="Times New Roman;Times;serif"/>
          <w:b/>
          <w:sz w:val="22"/>
        </w:rPr>
        <w:t>Form, Registration, Transfer and Exchange of Notes</w:t>
      </w:r>
      <w:r>
        <w:rPr>
          <w:rFonts w:ascii="Times New Roman;Times;serif" w:hAnsi="Times New Roman;Times;serif"/>
          <w:sz w:val="22"/>
        </w:rPr>
        <w:t>. The Notes are issuable as registered notes without coupons in denominations of at least $1,000,000, except as may be necessary to reflect any principal amount not evenly divisible by $1,000,000. The Company shall keep at its principal office a register in which the Company shall provide for the registration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Notes and of transfers of Notes. Upon surrender for registration of transfer of any Note at the principal office of the Company, the Company shall, at its expense, execute and deliver one or more new Notes of like tenor and of a like aggregate principal amount, registered in the name of such transferee or transferees. At the option of the holder of any Note, such Note may be exchanged for other Notes of like tenor and of any authorized denominations, of a like aggregate principal amount, upon surrender of the Note to be exchanged at the principal office of the Company. Whenever any Notes are so surrendered for exchange, the Company shall, at its expense, execute and deliver the Notes which the holder making the exchange is entitled to receive. Each prepayment of principal payable on each prepayment date upon each new Note issued upon any such transfer or exchange shall be in the same proportion to the unpaid principal amount of such new Note as the prepayment of principal payable on such date on the Note surrendered for registration of transfer or exchange bore to the unpaid principal amount of such Note. No reference need be made in any such new Note to any prepayment or prepayments of principal previously due and paid upon the Note surrendered for registration of transfer or exchange. Every Note surrendered for registration of transfer or exchange shall be duly endorsed, or be accompanied by a written instrument of transfer duly executed, by the holder of such Note or such holder’s attorney duly authorized in writing. Any Note or Notes issued in exchange for any Note or upon transfer thereof shall carry the rights to unpaid interest and interest to accrue which were carried by the Note so exchanged or transferred, so that neither gain nor loss of interest shall result from any such transfer or exchange. Upon receipt of written notice from the holder of any Note of the loss, theft, destruction or mutilation of such Note and, in the case of any such loss, theft or destruction, upon receipt of such holder’s unsecured indemnity agreement, or in the case of any such mutilation upon surrender and cancellation of such Note, the Company will make and deliver a new Note, of like tenor, in lieu of the lost, stolen, destroyed or mutilated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11E.</w:t>
      </w:r>
      <w:r>
        <w:rPr>
          <w:rFonts w:ascii="Times New Roman;Times;serif" w:hAnsi="Times New Roman;Times;serif"/>
          <w:b/>
          <w:sz w:val="22"/>
        </w:rPr>
        <w:t>Persons Deemed Owners; Participations</w:t>
      </w:r>
      <w:r>
        <w:rPr>
          <w:rFonts w:ascii="Times New Roman;Times;serif" w:hAnsi="Times New Roman;Times;serif"/>
          <w:sz w:val="22"/>
        </w:rPr>
        <w:t>. Prior to due presentment for registration of transfer, the Company may treat the Person in whose name any Note is registered as the owner and holder of such Note for the purpose of receiving payment of principal of and Yield Maintenance Amount, if any, and interest on such Note and for all other purposes whatsoever, whether or not such Note shall be overdue, and the Company shall not be affected by notice to the contrary. Subject to the preceding sentence, the holder of any Note may from time to time grant participations in all or any part of such Note on such terms and conditions as may be determined by such holder in its sole and absolute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11F.</w:t>
      </w:r>
      <w:r>
        <w:rPr>
          <w:rFonts w:ascii="Times New Roman;Times;serif" w:hAnsi="Times New Roman;Times;serif"/>
          <w:b/>
          <w:sz w:val="22"/>
        </w:rPr>
        <w:t>Survival of Representations and Warranties; Entire Agreement</w:t>
      </w:r>
      <w:r>
        <w:rPr>
          <w:rFonts w:ascii="Times New Roman;Times;serif" w:hAnsi="Times New Roman;Times;serif"/>
          <w:sz w:val="22"/>
        </w:rPr>
        <w:t>. All representations and warranties contained herein, in any other Transaction Document or made in writing by or on behalf of the Company or any other Credit Party in connection herewith or therewith shall survive the execution and delivery of this Agreement, the Notes and the other Transaction Documents, the transfer of any Note or portion thereof or interest therein and the payment of any Note, and may be relied upon by any Transferee, regardless of any investigation made at any time by or on behalf of any Purchaser or any Transferee. Subject to the preceding sentence, this Agreement, the Notes and the other Transaction Documents embody the entire agreement and understanding between the parties hereto with respect to the subject matter hereof and supersede all prior agreements and understandings relating to the subject matter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11G.</w:t>
      </w:r>
      <w:r>
        <w:rPr>
          <w:rFonts w:ascii="Times New Roman;Times;serif" w:hAnsi="Times New Roman;Times;serif"/>
          <w:b/>
          <w:sz w:val="22"/>
        </w:rPr>
        <w:t>Successors and Assigns</w:t>
      </w:r>
      <w:r>
        <w:rPr>
          <w:rFonts w:ascii="Times New Roman;Times;serif" w:hAnsi="Times New Roman;Times;serif"/>
          <w:sz w:val="22"/>
        </w:rPr>
        <w:t>. All covenants and other agreements in this Agreement contained by or on behalf of any of the parties hereto shall bind and inure to the benefit of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respective successors and assigns of the parties hereto (including, without limitation, any Transferee) whether so expressed or not.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11H.</w:t>
      </w:r>
      <w:r>
        <w:rPr>
          <w:rFonts w:ascii="Times New Roman;Times;serif" w:hAnsi="Times New Roman;Times;serif"/>
          <w:b/>
          <w:sz w:val="22"/>
        </w:rPr>
        <w:t>Independence of Covenants</w:t>
      </w:r>
      <w:r>
        <w:rPr>
          <w:rFonts w:ascii="Times New Roman;Times;serif" w:hAnsi="Times New Roman;Times;serif"/>
          <w:sz w:val="22"/>
        </w:rPr>
        <w:t>. All covenants hereunder and in the other Transaction Documents shall be given independent effect so that if a particular action or condition is prohibited by any one of such covenants, the fact that it would be permitted by an exception to, or otherwise be in compliance within the limitations of, another covenant shall not (i) avoid the occurrence of a Default or Event of Default if such action is taken or such condition exists or (ii) in any way prejudice an attempt by the holder of any Note to prohibit, through equitable action or otherwise, the taking of any action by the Company or any Subsidiary which would result in a Default or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11I.</w:t>
      </w:r>
      <w:r>
        <w:rPr>
          <w:rFonts w:ascii="Times New Roman;Times;serif" w:hAnsi="Times New Roman;Times;serif"/>
          <w:b/>
          <w:sz w:val="22"/>
        </w:rPr>
        <w:t>Notices</w:t>
      </w:r>
      <w:r>
        <w:rPr>
          <w:rFonts w:ascii="Times New Roman;Times;serif" w:hAnsi="Times New Roman;Times;serif"/>
          <w:sz w:val="22"/>
        </w:rPr>
        <w:t xml:space="preserve">. All written communications provided for hereunder shall be sent by first class mail or nationwide overnight delivery service (with charges prepaid) and (i) if to any Purchaser, addressed as specified for such communications in the Purchaser Schedule attached hereto or at such other address as any such Purchaser shall have specified to the Company in writing, (ii) if to any other holder of any Note, addressed to it at such address as it shall have specified in writing to the Company or, if any such holder shall not have so specified an address, then addressed to such holder in care of the last holder of such Note which shall have so specified an address to the Company and (iii) if to the Company, addressed to it at 555 12th Street, 8th Floor, Oakland, CA 94067, Attention: Chief Financial Officer or at such other address as the Company shall have specified to each holder of a Note in writing,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any such communication to the Company may also, at the option of the Person sending such communication, be delivered by any other means either to the Company at its address specified above or to any Authorized Officer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11J.</w:t>
      </w:r>
      <w:r>
        <w:rPr>
          <w:rFonts w:ascii="Times New Roman;Times;serif" w:hAnsi="Times New Roman;Times;serif"/>
          <w:b/>
          <w:sz w:val="22"/>
        </w:rPr>
        <w:t>Descriptive Headings</w:t>
      </w:r>
      <w:r>
        <w:rPr>
          <w:rFonts w:ascii="Times New Roman;Times;serif" w:hAnsi="Times New Roman;Times;serif"/>
          <w:sz w:val="22"/>
        </w:rPr>
        <w:t>. The descriptive headings of the several paragraphs of this Agreement are inserted for convenience only and do not constitute a part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11K.</w:t>
      </w:r>
      <w:r>
        <w:rPr>
          <w:rFonts w:ascii="Times New Roman;Times;serif" w:hAnsi="Times New Roman;Times;serif"/>
          <w:b/>
          <w:sz w:val="22"/>
        </w:rPr>
        <w:t>Satisfaction Requirement</w:t>
      </w:r>
      <w:r>
        <w:rPr>
          <w:rFonts w:ascii="Times New Roman;Times;serif" w:hAnsi="Times New Roman;Times;serif"/>
          <w:sz w:val="22"/>
        </w:rPr>
        <w:t>. If any agreement, certificate or other writing, or any action taken or to be taken, is, by the terms of this Agreement, required to be satisfactory to any Purchaser or the Required Holder(s), the determination of such satisfaction shall be made by such Purchaser or the Required Holder(s), as the case may be, in the sole and exclusive judgment (exercised in good faith) of the Person(s) making such determination.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11L.</w:t>
      </w:r>
      <w:r>
        <w:rPr>
          <w:rFonts w:ascii="Times New Roman;Times;serif" w:hAnsi="Times New Roman;Times;serif"/>
          <w:b/>
          <w:sz w:val="22"/>
        </w:rPr>
        <w:t>Governing Law</w:t>
      </w:r>
      <w:r>
        <w:rPr>
          <w:rFonts w:ascii="Times New Roman;Times;serif" w:hAnsi="Times New Roman;Times;serif"/>
          <w:sz w:val="22"/>
        </w:rPr>
        <w:t>. This Agreement shall be construed and enforced in accordance with, and the rights of the parties shall be governed by, the law of the State of New York excluding choice of law principles of the law of such state that would permit the application of the laws of a jurisdiction other than such state.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11M.</w:t>
      </w:r>
      <w:r>
        <w:rPr>
          <w:rFonts w:ascii="Times New Roman;Times;serif" w:hAnsi="Times New Roman;Times;serif"/>
          <w:b/>
          <w:sz w:val="22"/>
        </w:rPr>
        <w:t>Payments Due on Non-Business Days</w:t>
      </w:r>
      <w:r>
        <w:rPr>
          <w:rFonts w:ascii="Times New Roman;Times;serif" w:hAnsi="Times New Roman;Times;serif"/>
          <w:sz w:val="22"/>
        </w:rPr>
        <w:t>. Anything in this Agreement or the Notes to the contrary notwithstanding, (x) subject to clause (y), any payment of interest on any such Note that is due on a date that is not a Business Day shall be made on the next succeeding Business Day without including the additional days elapsed in the computation of the interest payable on such next succeeding Business Day, and (y) any payment of principal of or Yield-Maintenance Amount on any such Note (including principal due on the final maturity date of such Note) that is due on a date that is not a Business Day shall be made on the next succeeding Business Day and shall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include the additional days elapsed in the computation of interest payable on such next succeeding Business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11N.</w:t>
      </w:r>
      <w:r>
        <w:rPr>
          <w:rFonts w:ascii="Times New Roman;Times;serif" w:hAnsi="Times New Roman;Times;serif"/>
          <w:b/>
          <w:sz w:val="22"/>
        </w:rPr>
        <w:t>Severability</w:t>
      </w:r>
      <w:r>
        <w:rPr>
          <w:rFonts w:ascii="Times New Roman;Times;serif" w:hAnsi="Times New Roman;Times;serif"/>
          <w:sz w:val="22"/>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11O.</w:t>
      </w:r>
      <w:r>
        <w:rPr>
          <w:rFonts w:ascii="Times New Roman;Times;serif" w:hAnsi="Times New Roman;Times;serif"/>
          <w:b/>
          <w:sz w:val="22"/>
        </w:rPr>
        <w:t>Jurisdiction and Process; Waiver of Jury Trial</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The Company irrevocably submits to the non-exclusive jurisdiction of any New York State or federal court sitting in the Borough of Manhattan, The City of New York, over any suit, action or proceeding arising out of or relating to this Agreement, the Notes or the other Transaction Documents</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or Collateral Documents</w:t>
      </w:r>
      <w:r>
        <w:rPr>
          <w:rFonts w:ascii="Times New Roman;Times;serif" w:hAnsi="Times New Roman;Times;serif"/>
          <w:sz w:val="22"/>
        </w:rPr>
        <w:t>.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The Company consents to process being served by or on behalf of any holder of Notes in any suit, action or proceeding of the nature referred to in paragraph 11O(i) by mailing a copy thereof by registered or certified mail (or any substantially similar form of mail), postage prepaid, return receipt requested, to it at its address specified in paragraph 11I or at such other address of which such holder shall then have been notified pursuant to paragraph 11I. The Company agrees that such service upon receipt (a) shall be deemed in every respect effective service of process upon it in any such suit, action or proceeding and (b)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Nothing in this paragraph 11O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The parties hereto hereby waive trial by jury in any action brought on or with respect to this Agreement, the Notes or any other document executed in connection herewith or therewith.</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WITHOUT INTENDING IN ANY WAY TO LIMIT THE PARTIES’ AGREEMENT TO WAIVE THEIR RESPECTIVE RIGHT TO A TRIAL BY JURY, IF THE ABOVE WAIVER OF THE RIGHT TO A TRIAL BY JURY IS NOT ENFORCEABLE, THE PARTIES 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AGREE THAT ANY AND ALL DISPUTES OR CONTROVERSIES OF ANY NATURE CONCERNING THIS AGREEMENT AND THE MATTERS CONTEMPLATED HEREBY (EACH, A “</w:t>
      </w:r>
      <w:r>
        <w:rPr>
          <w:rFonts w:ascii="Times New Roman;Times;serif" w:hAnsi="Times New Roman;Times;serif"/>
          <w:b/>
          <w:sz w:val="22"/>
        </w:rPr>
        <w:t>CLAIM</w:t>
      </w:r>
      <w:r>
        <w:rPr>
          <w:rFonts w:ascii="Times New Roman;Times;serif" w:hAnsi="Times New Roman;Times;serif"/>
          <w:sz w:val="20"/>
        </w:rPr>
        <w:t>”</w:t>
      </w:r>
      <w:r>
        <w:rPr>
          <w:rFonts w:ascii="Times New Roman;Times;serif" w:hAnsi="Times New Roman;Times;serif"/>
          <w:sz w:val="22"/>
        </w:rPr>
        <w:t>), INCLUDING ANY AND ALL QUESTIONS OF LAW OR FACT RELATING THERETO, SHALL, AT THE WRITTEN REQUEST OF ANY PARTY TO THIS AGREEMENT, BE DETERMINED BY JUDICIAL REFERENCE PURSUANT TO THE CALIFORNIA CODE OF CIVIL PROCEDURE (“</w:t>
      </w:r>
      <w:r>
        <w:rPr>
          <w:rFonts w:ascii="Times New Roman;Times;serif" w:hAnsi="Times New Roman;Times;serif"/>
          <w:b/>
          <w:sz w:val="22"/>
        </w:rPr>
        <w:t>REFERENCE</w:t>
      </w:r>
      <w:r>
        <w:rPr>
          <w:rFonts w:ascii="Times New Roman;Times;serif" w:hAnsi="Times New Roman;Times;serif"/>
          <w:sz w:val="20"/>
        </w:rPr>
        <w:t>”</w:t>
      </w:r>
      <w:r>
        <w:rPr>
          <w:rFonts w:ascii="Times New Roman;Times;serif" w:hAnsi="Times New Roman;Times;serif"/>
          <w:sz w:val="22"/>
        </w:rPr>
        <w:t>). IN SUCH EVENT, THE PARTIES SHALL SELECT A SINGLE NEUTRAL REFEREE, WHO SHALL BE A RETIRED STATE OR FEDERAL JUDGE. IN THE EVENT THAT THE PARTIES CANNOT AGREE UPON A REFEREE, THE REFEREE SHALL BE APPOINTED BY THE COURT. THE REFEREE SHALL REPORT A STATEMENT OF DECISION TO THE COURT. NOTHING IN THIS PARAGRAPH SHALL LIMIT THE RIGHT OF ANY PARTY AT ANY TIME TO EXERCISE ANY AVAILABLE SELF-HELP REMEDIES, FORECLOSE AGAINST ANY COLLATERAL OR OBTAIN PROVISIONAL REMEDIES. THE PARTIES SHALL BEAR THE FEES AND EXPENSES OF THE REFEREE EQUALLY UNLESS THE REFEREE ORDERS OTHERWISE. THE REFEREE SHALL ALSO DETERMINE ALL ISSUES RELATING TO THE APPLICABILITY, INTERPRETATION, AND ENFORCEABILITY OF THIS PARAGRAPH. THE PARTIES ACKNOWLEDGE THAT THE CLAIMS WILL NOT BE ADJUDICATED BY A JURY.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11P.</w:t>
      </w:r>
      <w:r>
        <w:rPr>
          <w:rFonts w:ascii="Times New Roman;Times;serif" w:hAnsi="Times New Roman;Times;serif"/>
          <w:b/>
          <w:sz w:val="22"/>
        </w:rPr>
        <w:t>Counterparts</w:t>
      </w:r>
      <w:r>
        <w:rPr>
          <w:rFonts w:ascii="Times New Roman;Times;serif" w:hAnsi="Times New Roman;Times;serif"/>
          <w:sz w:val="22"/>
        </w:rPr>
        <w:t>. This Agreement may be executed in any number of counterparts, each of which shall be an original, but all of which together shall constitute one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11Q.</w:t>
      </w:r>
      <w:r>
        <w:rPr>
          <w:rFonts w:ascii="Times New Roman;Times;serif" w:hAnsi="Times New Roman;Times;serif"/>
          <w:b/>
          <w:sz w:val="22"/>
        </w:rPr>
        <w:t>Binding Agreement</w:t>
      </w:r>
      <w:r>
        <w:rPr>
          <w:rFonts w:ascii="Times New Roman;Times;serif" w:hAnsi="Times New Roman;Times;serif"/>
          <w:sz w:val="22"/>
        </w:rPr>
        <w:t>. When this Agreement is executed and delivered by the signatories hereto, it shall become a binding agreement (subject to satisfaction of the conditions precedent set forth herein) of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11R.</w:t>
      </w:r>
      <w:r>
        <w:rPr>
          <w:rFonts w:ascii="Times New Roman;Times;serif" w:hAnsi="Times New Roman;Times;serif"/>
          <w:b/>
          <w:sz w:val="22"/>
        </w:rPr>
        <w:t>Confidentiality</w:t>
      </w:r>
      <w:r>
        <w:rPr>
          <w:rFonts w:ascii="Times New Roman;Times;serif" w:hAnsi="Times New Roman;Times;serif"/>
          <w:sz w:val="22"/>
        </w:rPr>
        <w:t>. For the purposes of this paragraph 11R, “</w:t>
      </w:r>
      <w:r>
        <w:rPr>
          <w:rFonts w:ascii="Times New Roman;Times;serif" w:hAnsi="Times New Roman;Times;serif"/>
          <w:b/>
          <w:sz w:val="22"/>
        </w:rPr>
        <w:t>Confidential Information</w:t>
      </w:r>
      <w:r>
        <w:rPr>
          <w:rFonts w:ascii="Times New Roman;Times;serif" w:hAnsi="Times New Roman;Times;serif"/>
          <w:sz w:val="20"/>
        </w:rPr>
        <w:t xml:space="preserve">” </w:t>
      </w:r>
      <w:r>
        <w:rPr>
          <w:rFonts w:ascii="Times New Roman;Times;serif" w:hAnsi="Times New Roman;Times;serif"/>
          <w:sz w:val="22"/>
        </w:rPr>
        <w:t xml:space="preserve">means information delivered to any Purchaser by or on behalf of the Company or any Subsidiary in connection with the transactions contemplated by or otherwise pursuant to this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paragraph 5A that are otherwise publicly available. Each Purchaser will maintain the confidentiality of such Confidential Information in accordance with procedures adopted by such Purchaser in good faith to protect confidential information of third parties delivered to such Purchaser,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Purchaser may deliver or disclose Confidential Information to (i) its directors, officers and employees (it being understood that such Persons will be informed of the confidential nature of such Confidential Information and instructed to keep such Confidential Information confidential), (ii) its agents, attorneys and affiliates (to the extent such disclosure reasonably relates to the administration of the investment represented by its Notes) (it being understood that such Persons will be informed of the confidential nature of such Confidential Information and instructed to keep such Confidential Information confidential), (iii) its auditors, financial advisors and other professional advisors who agree to hold confidential the Confidential Information substantially in accordance with this paragraph 11R, (iv) any other holder of any Note, (v) any Institutional Investor to which it sells or offers to sell such Note or any part thereof or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participation therein (if such Person has agreed in writing prior to its receipt of such Confidential Information to be bound by this paragraph 11R), (vi) any Person from which it offers to purchase any security of the Company (if such Person has agreed in writing prior to its receipt of such Confidential Information to be bound by this paragraph 11R), (vii) any federal or state regulatory authority having jurisdiction over such Purchaser, (viii) the National Association of Insurance Commissioners (including the Securities Valuations Office) or, in each case, any similar organization, or any nationally recognized rating agency that requires access to information about such Purchaser’s investment portfolio, or (ix)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so long as none of the Company or any of its affiliates is a party to such litigation, such Purchaser shall, if not prohibited by applicable law, endeavor to notify the Company prior to such delivery or disclosure), or (z) if an Event of Default has occurred and is continuing, to the extent such Purchaser may reasonably determine such delivery and disclosure to be necessary or appropriate in connection with the exercise of remedies hereunder or under any Transaction Document</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or Collateral Document</w:t>
      </w:r>
      <w:r>
        <w:rPr>
          <w:rFonts w:ascii="Times New Roman;Times;serif" w:hAnsi="Times New Roman;Times;serif"/>
          <w:sz w:val="22"/>
        </w:rPr>
        <w:t xml:space="preserve">, or any action or proceeding related to the Transaction </w:t>
      </w:r>
      <w:r>
        <w:rPr>
          <w:rFonts w:ascii="Times New Roman;Times;serif" w:hAnsi="Times New Roman;Times;serif"/>
          <w:color w:val="0000FF"/>
          <w:sz w:val="22"/>
          <w:u w:val="single"/>
        </w:rPr>
        <w:t>Documents or Collateral</w:t>
      </w:r>
      <w:r>
        <w:rPr>
          <w:rFonts w:ascii="Times New Roman;Times;serif" w:hAnsi="Times New Roman;Times;serif"/>
          <w:sz w:val="20"/>
        </w:rPr>
        <w:t xml:space="preserve"> </w:t>
      </w:r>
      <w:r>
        <w:rPr>
          <w:rFonts w:ascii="Times New Roman;Times;serif" w:hAnsi="Times New Roman;Times;serif"/>
          <w:sz w:val="22"/>
        </w:rPr>
        <w:t>Documents or the enforcement of rights hereunder or thereunder. Each holder of a Note, by its acceptance of a Note, will be deemed to have agreed to be bound by and to be entitled to the benefits of this paragraph 11R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this paragraph 11R.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the event that as a condition to receiving access to information relating to the Company or its Subsidiaries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paragraph 11R, this paragraph 11R shall not be amended thereby and, as between such Purchaser or such holder and the Company, this paragraph 11R shall supersede any such other confidentiality undertaking.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949" w:type="dxa"/>
        <w:jc w:val="left"/>
        <w:tblInd w:w="0" w:type="dxa"/>
        <w:tblLayout w:type="fixed"/>
        <w:tblCellMar>
          <w:top w:w="0" w:type="dxa"/>
          <w:left w:w="0" w:type="dxa"/>
          <w:bottom w:w="0" w:type="dxa"/>
          <w:right w:w="0" w:type="dxa"/>
        </w:tblCellMar>
      </w:tblPr>
      <w:tblGrid>
        <w:gridCol w:w="2967"/>
        <w:gridCol w:w="828"/>
        <w:gridCol w:w="154"/>
      </w:tblGrid>
      <w:tr>
        <w:trPr/>
        <w:tc>
          <w:tcPr>
            <w:tcW w:w="2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884045" cy="175260"/>
                      <wp:effectExtent l="0" t="0" r="0" b="0"/>
                      <wp:wrapNone/>
                      <wp:docPr id="551" name="Frame551"/>
                      <a:graphic xmlns:a="http://schemas.openxmlformats.org/drawingml/2006/main">
                        <a:graphicData uri="http://schemas.microsoft.com/office/word/2010/wordprocessingShape">
                          <wps:wsp>
                            <wps:cNvSpPr txBox="1"/>
                            <wps:spPr>
                              <a:xfrm>
                                <a:off x="0" y="0"/>
                                <a:ext cx="188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525780" cy="175260"/>
                      <wp:effectExtent l="0" t="0" r="0" b="0"/>
                      <wp:wrapNone/>
                      <wp:docPr id="552" name="Frame552"/>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97790" cy="175260"/>
                      <wp:effectExtent l="0" t="0" r="0" b="0"/>
                      <wp:wrapNone/>
                      <wp:docPr id="553" name="Frame55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MATSON, INC.</w:t>
            </w:r>
            <w:r>
              <w:rPr>
                <w:rFonts w:ascii="Times New Roman;Times;serif" w:hAnsi="Times New Roman;Times;serif"/>
                <w:sz w:val="22"/>
              </w:rPr>
              <w:t>, a Hawaii corporation</w:t>
            </w:r>
          </w:p>
        </w:tc>
        <w:tc>
          <w:tcPr>
            <w:tcW w:w="154" w:type="dxa"/>
            <w:tcBorders/>
            <w:vAlign w:val="center"/>
          </w:tcPr>
          <w:p>
            <w:pPr>
              <w:pStyle w:val="TableContents"/>
              <w:bidi w:val="0"/>
              <w:spacing w:before="0" w:after="0"/>
              <w:ind w:left="0" w:right="0" w:hanging="0"/>
              <w:jc w:val="left"/>
              <w:rPr/>
            </w:pPr>
            <w:r>
              <w:rPr/>
              <w:t>​</w:t>
            </w:r>
          </w:p>
        </w:tc>
      </w:tr>
      <w:tr>
        <w:trPr/>
        <w:tc>
          <w:tcPr>
            <w:tcW w:w="379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6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96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Its:</w:t>
            </w:r>
          </w:p>
        </w:tc>
        <w:tc>
          <w:tcPr>
            <w:tcW w:w="8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9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6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96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Its:</w:t>
            </w:r>
          </w:p>
        </w:tc>
        <w:tc>
          <w:tcPr>
            <w:tcW w:w="8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684" w:type="dxa"/>
        <w:jc w:val="left"/>
        <w:tblInd w:w="0" w:type="dxa"/>
        <w:tblLayout w:type="fixed"/>
        <w:tblCellMar>
          <w:top w:w="0" w:type="dxa"/>
          <w:left w:w="0" w:type="dxa"/>
          <w:bottom w:w="0" w:type="dxa"/>
          <w:right w:w="0" w:type="dxa"/>
        </w:tblCellMar>
      </w:tblPr>
      <w:tblGrid>
        <w:gridCol w:w="4006"/>
        <w:gridCol w:w="3524"/>
        <w:gridCol w:w="154"/>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543810" cy="175260"/>
                      <wp:effectExtent l="0" t="0" r="0" b="0"/>
                      <wp:wrapNone/>
                      <wp:docPr id="554" name="Frame554"/>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237740" cy="175260"/>
                      <wp:effectExtent l="0" t="0" r="0" b="0"/>
                      <wp:wrapNone/>
                      <wp:docPr id="555" name="Frame555"/>
                      <a:graphic xmlns:a="http://schemas.openxmlformats.org/drawingml/2006/main">
                        <a:graphicData uri="http://schemas.microsoft.com/office/word/2010/wordprocessingShape">
                          <wps:wsp>
                            <wps:cNvSpPr txBox="1"/>
                            <wps:spPr>
                              <a:xfrm>
                                <a:off x="0" y="0"/>
                                <a:ext cx="2237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97790" cy="175260"/>
                      <wp:effectExtent l="0" t="0" r="0" b="0"/>
                      <wp:wrapNone/>
                      <wp:docPr id="556" name="Frame55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3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The foregoing Agreement is hereby accepted as of the date first above written. </w:t>
            </w:r>
          </w:p>
        </w:tc>
        <w:tc>
          <w:tcPr>
            <w:tcW w:w="154" w:type="dxa"/>
            <w:tcBorders/>
            <w:vAlign w:val="center"/>
          </w:tcPr>
          <w:p>
            <w:pPr>
              <w:pStyle w:val="TableContents"/>
              <w:bidi w:val="0"/>
              <w:spacing w:before="0" w:after="0"/>
              <w:ind w:left="0" w:right="0" w:hanging="0"/>
              <w:jc w:val="left"/>
              <w:rPr/>
            </w:pPr>
            <w:r>
              <w:rPr/>
              <w:t>​</w:t>
            </w:r>
          </w:p>
        </w:tc>
      </w:tr>
      <w:tr>
        <w:trPr/>
        <w:tc>
          <w:tcPr>
            <w:tcW w:w="753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METROPOLITAN LIFE INSURANCE COMPANY</w:t>
            </w:r>
          </w:p>
        </w:tc>
        <w:tc>
          <w:tcPr>
            <w:tcW w:w="154" w:type="dxa"/>
            <w:tcBorders/>
            <w:vAlign w:val="center"/>
          </w:tcPr>
          <w:p>
            <w:pPr>
              <w:pStyle w:val="TableContents"/>
              <w:bidi w:val="0"/>
              <w:spacing w:before="0" w:after="0"/>
              <w:ind w:left="0" w:right="0" w:hanging="0"/>
              <w:jc w:val="left"/>
              <w:rPr/>
            </w:pPr>
            <w:r>
              <w:rPr/>
              <w:t>​</w:t>
            </w:r>
          </w:p>
        </w:tc>
      </w:tr>
      <w:tr>
        <w:trPr/>
        <w:tc>
          <w:tcPr>
            <w:tcW w:w="753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GENERAL AMERICAN LIFE INSURANCE COMPANY</w:t>
            </w:r>
            <w:r>
              <w:rPr>
                <w:rFonts w:ascii="Times New Roman;Times;serif" w:hAnsi="Times New Roman;Times;serif"/>
                <w:sz w:val="20"/>
              </w:rPr>
              <w:t xml:space="preserve"> </w:t>
            </w:r>
            <w:r>
              <w:rPr>
                <w:rFonts w:ascii="Times New Roman;Times;serif" w:hAnsi="Times New Roman;Times;serif"/>
                <w:sz w:val="22"/>
              </w:rPr>
              <w:br/>
              <w:t>by Metropolitan Life Insurance Company, its Investment Manager</w:t>
            </w:r>
          </w:p>
        </w:tc>
        <w:tc>
          <w:tcPr>
            <w:tcW w:w="154" w:type="dxa"/>
            <w:tcBorders/>
            <w:vAlign w:val="center"/>
          </w:tcPr>
          <w:p>
            <w:pPr>
              <w:pStyle w:val="TableContents"/>
              <w:bidi w:val="0"/>
              <w:spacing w:before="0" w:after="0"/>
              <w:ind w:left="0" w:right="0" w:hanging="0"/>
              <w:jc w:val="left"/>
              <w:rPr/>
            </w:pPr>
            <w:r>
              <w:rPr/>
              <w:t>​</w:t>
            </w:r>
          </w:p>
        </w:tc>
      </w:tr>
      <w:tr>
        <w:trPr/>
        <w:tc>
          <w:tcPr>
            <w:tcW w:w="753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METLIFE INSURANCE COMPANY USA</w:t>
            </w:r>
            <w:r>
              <w:rPr>
                <w:rFonts w:ascii="Times New Roman;Times;serif" w:hAnsi="Times New Roman;Times;serif"/>
                <w:sz w:val="20"/>
              </w:rPr>
              <w:t xml:space="preserve"> </w:t>
            </w:r>
            <w:r>
              <w:rPr>
                <w:rFonts w:ascii="Times New Roman;Times;serif" w:hAnsi="Times New Roman;Times;serif"/>
                <w:sz w:val="22"/>
              </w:rPr>
              <w:br/>
              <w:t>by Metropolitan Life Insurance Company, its Investment Manager</w:t>
            </w:r>
          </w:p>
        </w:tc>
        <w:tc>
          <w:tcPr>
            <w:tcW w:w="154" w:type="dxa"/>
            <w:tcBorders/>
            <w:vAlign w:val="center"/>
          </w:tcPr>
          <w:p>
            <w:pPr>
              <w:pStyle w:val="TableContents"/>
              <w:bidi w:val="0"/>
              <w:spacing w:before="0" w:after="0"/>
              <w:ind w:left="0" w:right="0" w:hanging="0"/>
              <w:jc w:val="left"/>
              <w:rPr/>
            </w:pPr>
            <w:r>
              <w:rPr/>
              <w:t>​</w:t>
            </w:r>
          </w:p>
        </w:tc>
      </w:tr>
      <w:tr>
        <w:trPr/>
        <w:tc>
          <w:tcPr>
            <w:tcW w:w="753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NEW ENGLAND LIFE INSURANCE COMPANY</w:t>
            </w:r>
            <w:r>
              <w:rPr>
                <w:rFonts w:ascii="Times New Roman;Times;serif" w:hAnsi="Times New Roman;Times;serif"/>
                <w:sz w:val="20"/>
              </w:rPr>
              <w:t xml:space="preserve"> </w:t>
            </w:r>
            <w:r>
              <w:rPr>
                <w:rFonts w:ascii="Times New Roman;Times;serif" w:hAnsi="Times New Roman;Times;serif"/>
                <w:sz w:val="22"/>
              </w:rPr>
              <w:br/>
              <w:t>by Metropolitan Life Insurance Company, its Investment Manager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999" w:type="dxa"/>
        <w:jc w:val="left"/>
        <w:tblInd w:w="0" w:type="dxa"/>
        <w:tblLayout w:type="fixed"/>
        <w:tblCellMar>
          <w:top w:w="0" w:type="dxa"/>
          <w:left w:w="0" w:type="dxa"/>
          <w:bottom w:w="0" w:type="dxa"/>
          <w:right w:w="0" w:type="dxa"/>
        </w:tblCellMar>
      </w:tblPr>
      <w:tblGrid>
        <w:gridCol w:w="736"/>
        <w:gridCol w:w="109"/>
        <w:gridCol w:w="154"/>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154" w:type="dxa"/>
        <w:jc w:val="left"/>
        <w:tblInd w:w="0" w:type="dxa"/>
        <w:tblLayout w:type="fixed"/>
        <w:tblCellMar>
          <w:top w:w="0" w:type="dxa"/>
          <w:left w:w="0" w:type="dxa"/>
          <w:bottom w:w="0" w:type="dxa"/>
          <w:right w:w="0" w:type="dxa"/>
        </w:tblCellMar>
      </w:tblPr>
      <w:tblGrid>
        <w:gridCol w:w="3190"/>
        <w:gridCol w:w="2810"/>
        <w:gridCol w:w="154"/>
      </w:tblGrid>
      <w:tr>
        <w:trPr/>
        <w:tc>
          <w:tcPr>
            <w:tcW w:w="3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025650" cy="175260"/>
                      <wp:effectExtent l="0" t="0" r="0" b="0"/>
                      <wp:wrapNone/>
                      <wp:docPr id="557" name="Frame557"/>
                      <a:graphic xmlns:a="http://schemas.openxmlformats.org/drawingml/2006/main">
                        <a:graphicData uri="http://schemas.microsoft.com/office/word/2010/wordprocessingShape">
                          <wps:wsp>
                            <wps:cNvSpPr txBox="1"/>
                            <wps:spPr>
                              <a:xfrm>
                                <a:off x="0" y="0"/>
                                <a:ext cx="2025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784350" cy="175260"/>
                      <wp:effectExtent l="0" t="0" r="0" b="0"/>
                      <wp:wrapNone/>
                      <wp:docPr id="558" name="Frame558"/>
                      <a:graphic xmlns:a="http://schemas.openxmlformats.org/drawingml/2006/main">
                        <a:graphicData uri="http://schemas.microsoft.com/office/word/2010/wordprocessingShape">
                          <wps:wsp>
                            <wps:cNvSpPr txBox="1"/>
                            <wps:spPr>
                              <a:xfrm>
                                <a:off x="0" y="0"/>
                                <a:ext cx="178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97790" cy="175260"/>
                      <wp:effectExtent l="0" t="0" r="0" b="0"/>
                      <wp:wrapNone/>
                      <wp:docPr id="559" name="Frame55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0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METLIFE INSURANCE K.K.</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MetLife Investment Advisors, LLC, its Investment Manager</w:t>
            </w:r>
          </w:p>
        </w:tc>
        <w:tc>
          <w:tcPr>
            <w:tcW w:w="154" w:type="dxa"/>
            <w:tcBorders/>
            <w:vAlign w:val="center"/>
          </w:tcPr>
          <w:p>
            <w:pPr>
              <w:pStyle w:val="TableContents"/>
              <w:bidi w:val="0"/>
              <w:spacing w:before="0" w:after="0"/>
              <w:ind w:left="0" w:right="0" w:hanging="0"/>
              <w:jc w:val="left"/>
              <w:rPr/>
            </w:pPr>
            <w:r>
              <w:rPr/>
              <w:t>​</w:t>
            </w:r>
          </w:p>
        </w:tc>
      </w:tr>
      <w:tr>
        <w:trPr/>
        <w:tc>
          <w:tcPr>
            <w:tcW w:w="600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00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ERIE FAMILY LIFE INSURANCE COMPANY</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MetLife Investment Advisors, LLC, its Investment Manager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999" w:type="dxa"/>
        <w:jc w:val="left"/>
        <w:tblInd w:w="0" w:type="dxa"/>
        <w:tblLayout w:type="fixed"/>
        <w:tblCellMar>
          <w:top w:w="0" w:type="dxa"/>
          <w:left w:w="0" w:type="dxa"/>
          <w:bottom w:w="0" w:type="dxa"/>
          <w:right w:w="0" w:type="dxa"/>
        </w:tblCellMar>
      </w:tblPr>
      <w:tblGrid>
        <w:gridCol w:w="736"/>
        <w:gridCol w:w="109"/>
        <w:gridCol w:w="154"/>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4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065" w:type="dxa"/>
        <w:jc w:val="left"/>
        <w:tblInd w:w="0" w:type="dxa"/>
        <w:tblLayout w:type="fixed"/>
        <w:tblCellMar>
          <w:top w:w="0" w:type="dxa"/>
          <w:left w:w="0" w:type="dxa"/>
          <w:bottom w:w="0" w:type="dxa"/>
          <w:right w:w="0" w:type="dxa"/>
        </w:tblCellMar>
      </w:tblPr>
      <w:tblGrid>
        <w:gridCol w:w="5911"/>
        <w:gridCol w:w="154"/>
      </w:tblGrid>
      <w:tr>
        <w:trPr/>
        <w:tc>
          <w:tcPr>
            <w:tcW w:w="59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UNION FIDELITY LIFE INSURANCE COMPANY</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MetLife Investment Advisors, LLC, its Investment Adviser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999" w:type="dxa"/>
        <w:jc w:val="left"/>
        <w:tblInd w:w="0" w:type="dxa"/>
        <w:tblLayout w:type="fixed"/>
        <w:tblCellMar>
          <w:top w:w="0" w:type="dxa"/>
          <w:left w:w="0" w:type="dxa"/>
          <w:bottom w:w="0" w:type="dxa"/>
          <w:right w:w="0" w:type="dxa"/>
        </w:tblCellMar>
      </w:tblPr>
      <w:tblGrid>
        <w:gridCol w:w="736"/>
        <w:gridCol w:w="109"/>
        <w:gridCol w:w="154"/>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754" w:type="dxa"/>
        <w:jc w:val="left"/>
        <w:tblInd w:w="0" w:type="dxa"/>
        <w:tblLayout w:type="fixed"/>
        <w:tblCellMar>
          <w:top w:w="0" w:type="dxa"/>
          <w:left w:w="0" w:type="dxa"/>
          <w:bottom w:w="0" w:type="dxa"/>
          <w:right w:w="0" w:type="dxa"/>
        </w:tblCellMar>
      </w:tblPr>
      <w:tblGrid>
        <w:gridCol w:w="3512"/>
        <w:gridCol w:w="3088"/>
        <w:gridCol w:w="154"/>
      </w:tblGrid>
      <w:tr>
        <w:trPr/>
        <w:tc>
          <w:tcPr>
            <w:tcW w:w="3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230120" cy="175260"/>
                      <wp:effectExtent l="0" t="0" r="0" b="0"/>
                      <wp:wrapNone/>
                      <wp:docPr id="560" name="Frame560"/>
                      <a:graphic xmlns:a="http://schemas.openxmlformats.org/drawingml/2006/main">
                        <a:graphicData uri="http://schemas.microsoft.com/office/word/2010/wordprocessingShape">
                          <wps:wsp>
                            <wps:cNvSpPr txBox="1"/>
                            <wps:spPr>
                              <a:xfrm>
                                <a:off x="0" y="0"/>
                                <a:ext cx="2230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960880" cy="175260"/>
                      <wp:effectExtent l="0" t="0" r="0" b="0"/>
                      <wp:wrapNone/>
                      <wp:docPr id="561" name="Frame561"/>
                      <a:graphic xmlns:a="http://schemas.openxmlformats.org/drawingml/2006/main">
                        <a:graphicData uri="http://schemas.microsoft.com/office/word/2010/wordprocessingShape">
                          <wps:wsp>
                            <wps:cNvSpPr txBox="1"/>
                            <wps:spPr>
                              <a:xfrm>
                                <a:off x="0" y="0"/>
                                <a:ext cx="1960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97790" cy="175260"/>
                      <wp:effectExtent l="0" t="0" r="0" b="0"/>
                      <wp:wrapNone/>
                      <wp:docPr id="562" name="Frame56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0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PENSIONSKASSE DES BUNDES PUBLICA</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MetLife Investment Management Limited, as Investment Manager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999" w:type="dxa"/>
        <w:jc w:val="left"/>
        <w:tblInd w:w="0" w:type="dxa"/>
        <w:tblLayout w:type="fixed"/>
        <w:tblCellMar>
          <w:top w:w="0" w:type="dxa"/>
          <w:left w:w="0" w:type="dxa"/>
          <w:bottom w:w="0" w:type="dxa"/>
          <w:right w:w="0" w:type="dxa"/>
        </w:tblCellMar>
      </w:tblPr>
      <w:tblGrid>
        <w:gridCol w:w="736"/>
        <w:gridCol w:w="109"/>
        <w:gridCol w:w="154"/>
      </w:tblGrid>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82" w:name="matx-20250630xex10d7.htm"/>
      <w:bookmarkStart w:id="1483" w:name="ksmatx20250630xex10d7"/>
      <w:bookmarkEnd w:id="1482"/>
      <w:bookmarkEnd w:id="1483"/>
      <w:r>
        <w:rPr>
          <w:rFonts w:ascii="Times New Roman;Times;serif" w:hAnsi="Times New Roman;Times;serif"/>
          <w:b/>
          <w:sz w:val="20"/>
        </w:rPr>
        <w:t>Exhibit 10.7</w:t>
      </w:r>
      <w:r>
        <w:br w:type="page"/>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Share Award Package – Executives, ROIC metric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EXECUTIVE NOTICE OF AWARD OF PERFORMANCE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Corporation hereby awards to Participant, as of the Award Date indicated below, an award (the “Award”) of Performance Shares under the Corporation’s 2025 Incentive Compensation Plan (as amended from time to time, the “Plan”).  Each Performance Share represents the right to receive one or more shares of Common Stock on the applicable issuance date following the vesting of that Performance Share.  The number of Performance Shares subject to this Award and the applicable performance vesting requirements for those Performance Shares and the underlying shares are set forth below. The remaining terms and conditions governing the Award, including the applicable service vesting requirements and the applicable issuance date or dates for the shares of Common Stock that vest under the Award, shall be as set forth in the form Performance Share Award Agreement for Awards with combined performance and service vesting requirements.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AWARD SUMMARY</w:t>
      </w:r>
    </w:p>
    <w:tbl>
      <w:tblPr>
        <w:tblW w:w="10205" w:type="dxa"/>
        <w:jc w:val="center"/>
        <w:tblInd w:w="0" w:type="dxa"/>
        <w:tblLayout w:type="fixed"/>
        <w:tblCellMar>
          <w:top w:w="0" w:type="dxa"/>
          <w:left w:w="0" w:type="dxa"/>
          <w:bottom w:w="0" w:type="dxa"/>
          <w:right w:w="0" w:type="dxa"/>
        </w:tblCellMar>
      </w:tblPr>
      <w:tblGrid>
        <w:gridCol w:w="1222"/>
        <w:gridCol w:w="2064"/>
        <w:gridCol w:w="2038"/>
        <w:gridCol w:w="2038"/>
        <w:gridCol w:w="2843"/>
      </w:tblGrid>
      <w:tr>
        <w:trPr/>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775970" cy="175260"/>
                      <wp:effectExtent l="0" t="0" r="0" b="0"/>
                      <wp:wrapNone/>
                      <wp:docPr id="563" name="Frame563"/>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310640" cy="175260"/>
                      <wp:effectExtent l="0" t="0" r="0" b="0"/>
                      <wp:wrapNone/>
                      <wp:docPr id="564" name="Frame564"/>
                      <a:graphic xmlns:a="http://schemas.openxmlformats.org/drawingml/2006/main">
                        <a:graphicData uri="http://schemas.microsoft.com/office/word/2010/wordprocessingShape">
                          <wps:wsp>
                            <wps:cNvSpPr txBox="1"/>
                            <wps:spPr>
                              <a:xfrm>
                                <a:off x="0" y="0"/>
                                <a:ext cx="1310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8" w:type="dxa"/>
            <w:tcBorders/>
            <w:vAlign w:val="center"/>
          </w:tcPr>
          <w:p>
            <w:pPr>
              <w:pStyle w:val="TableContents"/>
              <w:bidi w:val="0"/>
              <w:spacing w:before="0" w:after="0"/>
              <w:ind w:left="0" w:right="0" w:hanging="0"/>
              <w:jc w:val="left"/>
              <w:rPr/>
            </w:pPr>
            <w:r>
              <w:rPr/>
              <w:t>​</w:t>
            </w:r>
          </w:p>
        </w:tc>
        <w:tc>
          <w:tcPr>
            <w:tcW w:w="2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294130" cy="175260"/>
                      <wp:effectExtent l="0" t="0" r="0" b="0"/>
                      <wp:wrapNone/>
                      <wp:docPr id="565" name="Frame565"/>
                      <a:graphic xmlns:a="http://schemas.openxmlformats.org/drawingml/2006/main">
                        <a:graphicData uri="http://schemas.microsoft.com/office/word/2010/wordprocessingShape">
                          <wps:wsp>
                            <wps:cNvSpPr txBox="1"/>
                            <wps:spPr>
                              <a:xfrm>
                                <a:off x="0" y="0"/>
                                <a:ext cx="1294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3" w:type="dxa"/>
            <w:tcBorders/>
            <w:vAlign w:val="center"/>
          </w:tcPr>
          <w:p>
            <w:pPr>
              <w:pStyle w:val="TableContents"/>
              <w:bidi w:val="0"/>
              <w:spacing w:before="0" w:after="0"/>
              <w:ind w:left="0" w:right="0" w:hanging="0"/>
              <w:jc w:val="left"/>
              <w:rPr/>
            </w:pPr>
            <w:r>
              <w:rPr/>
              <w:t>​</w:t>
            </w:r>
          </w:p>
        </w:tc>
      </w:tr>
      <w:tr>
        <w:trPr/>
        <w:tc>
          <w:tcPr>
            <w:tcW w:w="1222"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Participant</w:t>
            </w:r>
          </w:p>
        </w:tc>
        <w:tc>
          <w:tcPr>
            <w:tcW w:w="8983" w:type="dxa"/>
            <w:gridSpan w:val="4"/>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w:t>
            </w:r>
          </w:p>
        </w:tc>
      </w:tr>
      <w:tr>
        <w:trPr/>
        <w:tc>
          <w:tcPr>
            <w:tcW w:w="1222" w:type="dxa"/>
            <w:tcBorders/>
            <w:vAlign w:val="center"/>
          </w:tcPr>
          <w:p>
            <w:pPr>
              <w:pStyle w:val="TableContents"/>
              <w:bidi w:val="0"/>
              <w:spacing w:before="0" w:after="0"/>
              <w:ind w:left="0" w:right="0" w:hanging="0"/>
              <w:jc w:val="both"/>
              <w:rPr/>
            </w:pPr>
            <w:r>
              <w:rPr/>
              <w:t>​</w:t>
            </w:r>
          </w:p>
        </w:tc>
        <w:tc>
          <w:tcPr>
            <w:tcW w:w="8983" w:type="dxa"/>
            <w:gridSpan w:val="4"/>
            <w:tcBorders/>
            <w:vAlign w:val="center"/>
          </w:tcPr>
          <w:p>
            <w:pPr>
              <w:pStyle w:val="TableContents"/>
              <w:bidi w:val="0"/>
              <w:spacing w:before="0" w:after="0"/>
              <w:ind w:left="0" w:right="0" w:hanging="0"/>
              <w:jc w:val="both"/>
              <w:rPr/>
            </w:pPr>
            <w:r>
              <w:rPr/>
              <w:t>​</w:t>
            </w:r>
          </w:p>
        </w:tc>
      </w:tr>
      <w:tr>
        <w:trPr/>
        <w:tc>
          <w:tcPr>
            <w:tcW w:w="1222"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Award Date:</w:t>
            </w:r>
          </w:p>
        </w:tc>
        <w:tc>
          <w:tcPr>
            <w:tcW w:w="8983" w:type="dxa"/>
            <w:gridSpan w:val="4"/>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w:t>
            </w:r>
          </w:p>
        </w:tc>
      </w:tr>
      <w:tr>
        <w:trPr/>
        <w:tc>
          <w:tcPr>
            <w:tcW w:w="1222" w:type="dxa"/>
            <w:tcBorders/>
            <w:vAlign w:val="center"/>
          </w:tcPr>
          <w:p>
            <w:pPr>
              <w:pStyle w:val="TableContents"/>
              <w:bidi w:val="0"/>
              <w:spacing w:before="0" w:after="0"/>
              <w:ind w:left="0" w:right="0" w:hanging="0"/>
              <w:jc w:val="left"/>
              <w:rPr/>
            </w:pPr>
            <w:r>
              <w:rPr/>
              <w:t>​</w:t>
            </w:r>
          </w:p>
        </w:tc>
        <w:tc>
          <w:tcPr>
            <w:tcW w:w="8983" w:type="dxa"/>
            <w:gridSpan w:val="4"/>
            <w:tcBorders/>
            <w:vAlign w:val="center"/>
          </w:tcPr>
          <w:p>
            <w:pPr>
              <w:pStyle w:val="TableContents"/>
              <w:bidi w:val="0"/>
              <w:spacing w:before="0" w:after="0"/>
              <w:ind w:left="0" w:right="0" w:hanging="0"/>
              <w:jc w:val="both"/>
              <w:rPr/>
            </w:pPr>
            <w:r>
              <w:rPr/>
              <w:t>​</w:t>
            </w:r>
          </w:p>
        </w:tc>
      </w:tr>
      <w:tr>
        <w:trPr/>
        <w:tc>
          <w:tcPr>
            <w:tcW w:w="1222" w:type="dxa"/>
            <w:tcBorders/>
            <w:vAlign w:val="center"/>
          </w:tcPr>
          <w:p>
            <w:pPr>
              <w:pStyle w:val="TableContents"/>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 xml:space="preserve">Performance Shares: </w:t>
            </w:r>
          </w:p>
        </w:tc>
        <w:tc>
          <w:tcPr>
            <w:tcW w:w="8983" w:type="dxa"/>
            <w:gridSpan w:val="4"/>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number of shares of Common Stock issuable pursuant to the Award shall be determined in accordance with the Vesting Schedule below. For purposes of the percentage calculations set forth in the performance vesting section of such schedule, the number of shares of Common Stock to be utilized is </w:t>
            </w:r>
            <w:r>
              <w:rPr>
                <w:rFonts w:ascii="Times New Roman;Times;serif" w:hAnsi="Times New Roman;Times;serif"/>
                <w:b/>
                <w:sz w:val="20"/>
              </w:rPr>
              <w:t>______</w:t>
            </w:r>
            <w:r>
              <w:rPr>
                <w:rFonts w:ascii="Times New Roman;Times;serif" w:hAnsi="Times New Roman;Times;serif"/>
                <w:sz w:val="20"/>
              </w:rPr>
              <w:t xml:space="preserve"> shares (the “Performance Shares”). The specific number of Performance Shares set forth in this paragraph shall be referred to as the “Designated Shares”.</w:t>
            </w:r>
          </w:p>
        </w:tc>
      </w:tr>
      <w:tr>
        <w:trPr/>
        <w:tc>
          <w:tcPr>
            <w:tcW w:w="1222" w:type="dxa"/>
            <w:tcBorders/>
            <w:vAlign w:val="center"/>
          </w:tcPr>
          <w:p>
            <w:pPr>
              <w:pStyle w:val="TableContents"/>
              <w:bidi w:val="0"/>
              <w:spacing w:before="0" w:after="0"/>
              <w:ind w:left="0" w:right="0" w:hanging="0"/>
              <w:jc w:val="left"/>
              <w:rPr/>
            </w:pPr>
            <w:r>
              <w:rPr/>
              <w:t>​</w:t>
            </w:r>
          </w:p>
        </w:tc>
        <w:tc>
          <w:tcPr>
            <w:tcW w:w="8983" w:type="dxa"/>
            <w:gridSpan w:val="4"/>
            <w:tcBorders/>
            <w:vAlign w:val="center"/>
          </w:tcPr>
          <w:p>
            <w:pPr>
              <w:pStyle w:val="TableContents"/>
              <w:bidi w:val="0"/>
              <w:spacing w:before="0" w:after="0"/>
              <w:ind w:left="0" w:right="0" w:hanging="0"/>
              <w:jc w:val="left"/>
              <w:rPr/>
            </w:pPr>
            <w:r>
              <w:rPr/>
              <w:t>​</w:t>
            </w:r>
          </w:p>
        </w:tc>
      </w:tr>
      <w:tr>
        <w:trPr/>
        <w:tc>
          <w:tcPr>
            <w:tcW w:w="1222"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Vesting Schedule:</w:t>
            </w:r>
          </w:p>
        </w:tc>
        <w:tc>
          <w:tcPr>
            <w:tcW w:w="8983" w:type="dxa"/>
            <w:gridSpan w:val="4"/>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shares of Common Stock which may actually vest and become issuable pursuant to the Award shall be determined pursuant to a two-step process: (i) first there shall be calculated the maximum number of shares of Common Stock in which Participant can vest under the performance vesting section below based upon the actual level at which the Performance Goal specified on attached Schedule I is attained and (ii) then the number of shares calculated under clause (i) in which Participant may actually vest shall be determined on the basis of his or her satisfaction of the applicable Service vesting requirements set forth in the form Performance Share Award Agreement.</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Performance Vesting</w:t>
            </w:r>
            <w:r>
              <w:rPr>
                <w:rFonts w:ascii="Times New Roman;Times;serif" w:hAnsi="Times New Roman;Times;serif"/>
                <w:sz w:val="20"/>
              </w:rPr>
              <w:t>:  Attached Schedule I specifies the Performance Goal and Performance Period established for the Award.</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Performance Goal</w:t>
            </w:r>
            <w:r>
              <w:rPr>
                <w:rFonts w:ascii="Times New Roman;Times;serif" w:hAnsi="Times New Roman;Times;serif"/>
                <w:sz w:val="20"/>
              </w:rPr>
              <w:t xml:space="preserve">:  There are three designated levels of attainment set forth in Schedule I for the Performance Goal: Threshold, Target and Maximum.  Following the completion of the Performance Period, the Plan Administrator shall determine and certify the actual level of attainment for the Performance </w:t>
            </w:r>
          </w:p>
        </w:tc>
      </w:tr>
      <w:tr>
        <w:trPr/>
        <w:tc>
          <w:tcPr>
            <w:tcW w:w="1222" w:type="dxa"/>
            <w:tcBorders/>
            <w:vAlign w:val="center"/>
          </w:tcPr>
          <w:p>
            <w:pPr>
              <w:pStyle w:val="TableContents"/>
              <w:bidi w:val="0"/>
              <w:spacing w:before="0" w:after="0"/>
              <w:ind w:left="0" w:right="0" w:hanging="0"/>
              <w:jc w:val="left"/>
              <w:rPr/>
            </w:pPr>
            <w:r>
              <w:rPr/>
              <w:t>​</w:t>
            </w:r>
          </w:p>
        </w:tc>
        <w:tc>
          <w:tcPr>
            <w:tcW w:w="2064" w:type="dxa"/>
            <w:tcBorders/>
            <w:vAlign w:val="center"/>
          </w:tcPr>
          <w:p>
            <w:pPr>
              <w:pStyle w:val="TableContents"/>
              <w:bidi w:val="0"/>
              <w:spacing w:before="0" w:after="0"/>
              <w:ind w:left="0" w:right="0" w:hanging="0"/>
              <w:jc w:val="left"/>
              <w:rPr/>
            </w:pPr>
            <w:r>
              <w:rPr/>
              <w:t>​</w:t>
            </w:r>
          </w:p>
        </w:tc>
        <w:tc>
          <w:tcPr>
            <w:tcW w:w="2038" w:type="dxa"/>
            <w:tcBorders/>
            <w:vAlign w:val="center"/>
          </w:tcPr>
          <w:p>
            <w:pPr>
              <w:pStyle w:val="TableContents"/>
              <w:bidi w:val="0"/>
              <w:spacing w:before="0" w:after="0"/>
              <w:ind w:left="0" w:right="0" w:hanging="0"/>
              <w:jc w:val="left"/>
              <w:rPr/>
            </w:pPr>
            <w:r>
              <w:rPr/>
              <w:t>​</w:t>
            </w:r>
          </w:p>
        </w:tc>
        <w:tc>
          <w:tcPr>
            <w:tcW w:w="2038" w:type="dxa"/>
            <w:tcBorders/>
            <w:vAlign w:val="center"/>
          </w:tcPr>
          <w:p>
            <w:pPr>
              <w:pStyle w:val="TableContents"/>
              <w:bidi w:val="0"/>
              <w:spacing w:before="0" w:after="0"/>
              <w:ind w:left="0" w:right="0" w:hanging="0"/>
              <w:jc w:val="left"/>
              <w:rPr/>
            </w:pPr>
            <w:r>
              <w:rPr/>
              <w:t>​</w:t>
            </w:r>
          </w:p>
        </w:tc>
        <w:tc>
          <w:tcPr>
            <w:tcW w:w="284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24"/>
        <w:gridCol w:w="4016"/>
        <w:gridCol w:w="704"/>
        <w:gridCol w:w="5026"/>
        <w:gridCol w:w="335"/>
      </w:tblGrid>
      <w:tr>
        <w:trPr/>
        <w:tc>
          <w:tcPr>
            <w:tcW w:w="124" w:type="dxa"/>
            <w:tcBorders/>
            <w:vAlign w:val="center"/>
          </w:tcPr>
          <w:p>
            <w:pPr>
              <w:pStyle w:val="TableContents"/>
              <w:bidi w:val="0"/>
              <w:spacing w:before="0" w:after="0"/>
              <w:ind w:left="0" w:right="0" w:hanging="0"/>
              <w:jc w:val="left"/>
              <w:rPr/>
            </w:pPr>
            <w:r>
              <w:rPr/>
              <w:t>​</w:t>
            </w:r>
          </w:p>
        </w:tc>
        <w:tc>
          <w:tcPr>
            <w:tcW w:w="10081" w:type="dxa"/>
            <w:gridSpan w:val="4"/>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Goal and shall then measure that level of attainment against the Threshold, Target and Maximum Levels set forth for that Performance Goal in attached Schedule I.  The Plan Administrator generally expects to complete this determination within sixty (60) days after the end of the Performance Period. The maximum number of shares of Common Stock in which Participant can vest based upon the actual level of attainment of such Performance Goal shall initially be determined by applying the corresponding percentage below for that level of attainment to the number of Designated Shares set forth above:</w:t>
            </w:r>
          </w:p>
        </w:tc>
      </w:tr>
      <w:tr>
        <w:trPr/>
        <w:tc>
          <w:tcPr>
            <w:tcW w:w="124" w:type="dxa"/>
            <w:tcBorders/>
            <w:vAlign w:val="center"/>
          </w:tcPr>
          <w:p>
            <w:pPr>
              <w:pStyle w:val="TableContents"/>
              <w:bidi w:val="0"/>
              <w:spacing w:before="0" w:after="0"/>
              <w:ind w:left="0" w:right="0" w:hanging="0"/>
              <w:jc w:val="left"/>
              <w:rPr/>
            </w:pPr>
            <w:r>
              <w:rPr/>
              <w:t>​</w:t>
            </w:r>
          </w:p>
        </w:tc>
        <w:tc>
          <w:tcPr>
            <w:tcW w:w="4016"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Level of Attainment</w:t>
            </w:r>
          </w:p>
        </w:tc>
        <w:tc>
          <w:tcPr>
            <w:tcW w:w="704" w:type="dxa"/>
            <w:tcBorders/>
            <w:vAlign w:val="center"/>
          </w:tcPr>
          <w:p>
            <w:pPr>
              <w:pStyle w:val="TableContents"/>
              <w:bidi w:val="0"/>
              <w:spacing w:before="0" w:after="0"/>
              <w:ind w:left="0" w:right="0" w:hanging="0"/>
              <w:jc w:val="left"/>
              <w:rPr/>
            </w:pPr>
            <w:r>
              <w:rPr/>
              <w:t>    </w:t>
            </w:r>
          </w:p>
        </w:tc>
        <w:tc>
          <w:tcPr>
            <w:tcW w:w="5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Percentage of Performance Shares</w:t>
            </w:r>
          </w:p>
        </w:tc>
        <w:tc>
          <w:tcPr>
            <w:tcW w:w="3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the Threshold Level:</w:t>
            </w:r>
          </w:p>
        </w:tc>
        <w:tc>
          <w:tcPr>
            <w:tcW w:w="704"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3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the Threshold Level:</w:t>
            </w:r>
          </w:p>
        </w:tc>
        <w:tc>
          <w:tcPr>
            <w:tcW w:w="704"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the Target Level:</w:t>
            </w:r>
          </w:p>
        </w:tc>
        <w:tc>
          <w:tcPr>
            <w:tcW w:w="704"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the Maximum Level:</w:t>
            </w:r>
          </w:p>
        </w:tc>
        <w:tc>
          <w:tcPr>
            <w:tcW w:w="704"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3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6"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center"/>
              <w:rPr/>
            </w:pPr>
            <w:r>
              <w:rPr/>
              <w:t>​</w:t>
            </w:r>
          </w:p>
        </w:tc>
        <w:tc>
          <w:tcPr>
            <w:tcW w:w="3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4"/>
            <w:tcBorders/>
            <w:vAlign w:val="center"/>
          </w:tcPr>
          <w:p>
            <w:pPr>
              <w:pStyle w:val="TableContents"/>
              <w:pBdr/>
              <w:bidi w:val="0"/>
              <w:spacing w:before="0" w:after="240"/>
              <w:ind w:left="0" w:right="0" w:hanging="18"/>
              <w:jc w:val="both"/>
              <w:rPr>
                <w:rFonts w:ascii="Times New Roman;Times;serif" w:hAnsi="Times New Roman;Times;serif"/>
                <w:sz w:val="20"/>
              </w:rPr>
            </w:pPr>
            <w:r>
              <w:rPr>
                <w:rFonts w:ascii="Times New Roman;Times;serif" w:hAnsi="Times New Roman;Times;serif"/>
                <w:sz w:val="20"/>
              </w:rPr>
              <w:t>To the extent the actual level of attainment of the Performance Goal is at a point between the Threshold and Target Levels, the maximum number of shares of Common Stock in which Participant can vest shall be interpolated between the two points on a straight line basis.</w:t>
            </w:r>
          </w:p>
          <w:p>
            <w:pPr>
              <w:pStyle w:val="TableContents"/>
              <w:pBdr/>
              <w:bidi w:val="0"/>
              <w:spacing w:before="0" w:after="240"/>
              <w:ind w:left="0" w:right="0" w:hanging="18"/>
              <w:jc w:val="both"/>
              <w:rPr>
                <w:rFonts w:ascii="Times New Roman;Times;serif" w:hAnsi="Times New Roman;Times;serif"/>
                <w:sz w:val="20"/>
              </w:rPr>
            </w:pPr>
            <w:r>
              <w:rPr>
                <w:rFonts w:ascii="Times New Roman;Times;serif" w:hAnsi="Times New Roman;Times;serif"/>
                <w:sz w:val="20"/>
              </w:rPr>
              <w:t>To the extent the actual level of attainment of a Performance Goal is at a point between the Target and Maximum Levels, the maximum number of shares of Common Stock in which Participant can vest shall be interpolated between the two points on a straight line basis.</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Performance-Qualified Shares</w:t>
            </w:r>
            <w:r>
              <w:rPr>
                <w:rFonts w:ascii="Times New Roman;Times;serif" w:hAnsi="Times New Roman;Times;serif"/>
                <w:sz w:val="20"/>
              </w:rPr>
              <w:t>:  The maximum number of shares of Common Stock in which Participant can vest on the basis of the foregoing performance measures shall be hereinafter designated the “Performance-Qualified Shares” and shall in no event exceed in the aggregate 250% of the number of Designated Shares set forth in the Number of Shares Subject to Award section above.</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Service Vesting.  </w:t>
            </w:r>
            <w:r>
              <w:rPr>
                <w:rFonts w:ascii="Times New Roman;Times;serif" w:hAnsi="Times New Roman;Times;serif"/>
                <w:sz w:val="20"/>
              </w:rPr>
              <w:t xml:space="preserve">The number of Performance-Qualified Shares in which Participant actually vests shall be determined on the basis of his or her satisfaction of the Service-vesting requirements set forth in Paragraph 3 of the form Performance Share Award Agreement attached hereto as </w:t>
            </w:r>
            <w:r>
              <w:rPr>
                <w:rFonts w:ascii="Times New Roman;Times;serif" w:hAnsi="Times New Roman;Times;serif"/>
                <w:sz w:val="20"/>
                <w:u w:val="single"/>
              </w:rPr>
              <w:t>Exhibit A</w:t>
            </w:r>
            <w:r>
              <w:rPr>
                <w:rFonts w:ascii="Times New Roman;Times;serif" w:hAnsi="Times New Roman;Times;serif"/>
                <w:sz w:val="20"/>
              </w:rPr>
              <w:t xml:space="preserve"> (the “Award Agreement”).   </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Participant agrees to electronic delivery of any and all communications relating to the Award, the Award Agreement or the Plan, including but not limited to documentation of the Award, the official prospectus for the Plan, and any and all other documents and materials relating to the Award, the Award Agreement or the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Coverage under Recoupment Policy</w:t>
      </w:r>
      <w:r>
        <w:rPr>
          <w:rFonts w:ascii="Times New Roman;Times;serif" w:hAnsi="Times New Roman;Times;serif"/>
          <w:sz w:val="20"/>
        </w:rPr>
        <w:t>. Participant hereby agrees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Participant is subject to the Matson, Inc. Policy Regarding Recoupment of Certain Compensation, as it may be amended from time to time, the terms of which are hereby incorporated herein by reference;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incentive compensation that is paid or granted to, or received by, Participant under the Award shall be subject to recovery and recoupment pursuant to the terms of such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copy of the recoupment policy is available upon request made to the Corporate Secretary.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Continuing Consent</w:t>
      </w:r>
      <w:r>
        <w:rPr>
          <w:rFonts w:ascii="Times New Roman;Times;serif" w:hAnsi="Times New Roman;Times;serif"/>
          <w:sz w:val="20"/>
        </w:rPr>
        <w:t>. Participant further acknowledges and agrees that, except to the extent the Plan Administrator notifies Participant in writing to the contrary, each subsequent award of Performance Shares made to him or her under the Plan shall be subject to the same terms and conditions set forth in the Award Agreement, and Participant hereby understands and agrees to those terms and conditions for each such subsequent Performance Shares award that may be made to him or her under the Plan and hereby agrees to be bound by those terms and conditions for any such Performance Share awards, without any further consent or action required on his or her part at the time or times when those awards may be made.  However, Participant may, at any time he or she holds an outstanding Performance Share award under the Plan, request a written copy of the Award Agreement from the Corporation by contacting the Corporation’s Human Resources Department.</w:t>
      </w:r>
    </w:p>
    <w:p>
      <w:pPr>
        <w:pStyle w:val="TextBody"/>
        <w:bidi w:val="0"/>
        <w:spacing w:before="0" w:after="480"/>
        <w:ind w:left="0" w:right="0" w:hanging="0"/>
        <w:jc w:val="both"/>
        <w:rPr>
          <w:rFonts w:ascii="Times New Roman;Times;serif" w:hAnsi="Times New Roman;Times;serif"/>
          <w:sz w:val="20"/>
        </w:rPr>
      </w:pPr>
      <w:r>
        <w:rPr>
          <w:rFonts w:ascii="Times New Roman;Times;serif" w:hAnsi="Times New Roman;Times;serif"/>
          <w:sz w:val="20"/>
          <w:u w:val="single"/>
        </w:rPr>
        <w:t>Employment at Will</w:t>
      </w:r>
      <w:r>
        <w:rPr>
          <w:rFonts w:ascii="Times New Roman;Times;serif" w:hAnsi="Times New Roman;Times;serif"/>
          <w:sz w:val="20"/>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Remainder of page intentionally left blank</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Definitions</w:t>
      </w:r>
      <w:r>
        <w:rPr>
          <w:rFonts w:ascii="Times New Roman;Times;serif" w:hAnsi="Times New Roman;Times;serif"/>
          <w:sz w:val="20"/>
        </w:rPr>
        <w:t>.  All capitalized terms in this Notice shall have the meaning assigned to them in this Notice or in the Award Agreement.</w:t>
      </w:r>
    </w:p>
    <w:tbl>
      <w:tblPr>
        <w:tblW w:w="2166" w:type="dxa"/>
        <w:jc w:val="center"/>
        <w:tblInd w:w="0" w:type="dxa"/>
        <w:tblLayout w:type="fixed"/>
        <w:tblCellMar>
          <w:top w:w="0" w:type="dxa"/>
          <w:left w:w="0" w:type="dxa"/>
          <w:bottom w:w="0" w:type="dxa"/>
          <w:right w:w="0" w:type="dxa"/>
        </w:tblCellMar>
      </w:tblPr>
      <w:tblGrid>
        <w:gridCol w:w="124"/>
        <w:gridCol w:w="556"/>
        <w:gridCol w:w="1486"/>
      </w:tblGrid>
      <w:tr>
        <w:trPr/>
        <w:tc>
          <w:tcPr>
            <w:tcW w:w="124" w:type="dxa"/>
            <w:tcBorders/>
            <w:vAlign w:val="center"/>
          </w:tcPr>
          <w:p>
            <w:pPr>
              <w:pStyle w:val="TableContents"/>
              <w:bidi w:val="0"/>
              <w:spacing w:before="0" w:after="0"/>
              <w:ind w:left="0" w:right="0" w:hanging="0"/>
              <w:jc w:val="left"/>
              <w:rPr/>
            </w:pPr>
            <w:r>
              <w:rPr/>
              <w:t>​</w:t>
            </w:r>
          </w:p>
        </w:tc>
        <w:tc>
          <w:tcPr>
            <w:tcW w:w="20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MATSON, INC.</w:t>
            </w:r>
          </w:p>
        </w:tc>
      </w:tr>
      <w:tr>
        <w:trPr/>
        <w:tc>
          <w:tcPr>
            <w:tcW w:w="124" w:type="dxa"/>
            <w:tcBorders/>
            <w:vAlign w:val="center"/>
          </w:tcPr>
          <w:p>
            <w:pPr>
              <w:pStyle w:val="TableContents"/>
              <w:bidi w:val="0"/>
              <w:spacing w:before="0" w:after="0"/>
              <w:ind w:left="0" w:right="0" w:hanging="0"/>
              <w:jc w:val="left"/>
              <w:rPr/>
            </w:pPr>
            <w:r>
              <w:rPr/>
              <w:t>​</w:t>
            </w:r>
          </w:p>
        </w:tc>
        <w:tc>
          <w:tcPr>
            <w:tcW w:w="20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PARTICIPANT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SCHEDULE 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PERFORMANCE PERIOD, PERFORMANCE GOAL</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AND LEVELS OF ATTAINMENT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PERIOD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Performance Period shall be the three (3)-year period beginning January 1, 20XX and ending December 31, 20XX.</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GOAL – RETURN ON INVESTED CAPITAL</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performance vesting requirement for this Award shall be tied to the level of attainment of the Average Adjusted ROIC for the Performance Period. The required levels of attainment of Average Adjusted ROIC for the Performance Period at the Threshold, Target and Maximum Levels are as follows:</w:t>
      </w:r>
    </w:p>
    <w:tbl>
      <w:tblPr>
        <w:tblW w:w="2027" w:type="dxa"/>
        <w:jc w:val="center"/>
        <w:tblInd w:w="0" w:type="dxa"/>
        <w:tblLayout w:type="fixed"/>
        <w:tblCellMar>
          <w:top w:w="0" w:type="dxa"/>
          <w:left w:w="0" w:type="dxa"/>
          <w:bottom w:w="0" w:type="dxa"/>
          <w:right w:w="0" w:type="dxa"/>
        </w:tblCellMar>
      </w:tblPr>
      <w:tblGrid>
        <w:gridCol w:w="1516"/>
        <w:gridCol w:w="51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962660" cy="175260"/>
                      <wp:effectExtent l="0" t="0" r="0" b="0"/>
                      <wp:wrapNone/>
                      <wp:docPr id="566" name="Frame566"/>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324485" cy="175260"/>
                      <wp:effectExtent l="0" t="0" r="0" b="0"/>
                      <wp:wrapNone/>
                      <wp:docPr id="567" name="Frame56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Threshold Level:</w:t>
            </w:r>
          </w:p>
        </w:tc>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Symbol" w:hAnsi="Symbol"/>
                <w:sz w:val="20"/>
              </w:rPr>
              <w:t>·</w:t>
            </w:r>
            <w:r>
              <w:rPr>
                <w:rFonts w:ascii="Times New Roman;Times;serif" w:hAnsi="Times New Roman;Times;serif"/>
                <w:sz w:val="20"/>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Target Level:</w:t>
            </w:r>
          </w:p>
        </w:tc>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Symbol" w:hAnsi="Symbol"/>
                <w:sz w:val="20"/>
              </w:rPr>
              <w:t>·</w:t>
            </w:r>
            <w:r>
              <w:rPr>
                <w:rFonts w:ascii="Times New Roman;Times;serif" w:hAnsi="Times New Roman;Times;serif"/>
                <w:sz w:val="20"/>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Maximum Level</w:t>
            </w:r>
          </w:p>
        </w:tc>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Symbol" w:hAnsi="Symbol"/>
                <w:sz w:val="20"/>
              </w:rPr>
              <w:t>·</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300"/>
        <w:ind w:left="0" w:right="0" w:hanging="0"/>
        <w:jc w:val="both"/>
        <w:rPr/>
      </w:pPr>
      <w:r>
        <w:rPr/>
        <w:t>“</w:t>
      </w:r>
      <w:r>
        <w:rPr>
          <w:rFonts w:ascii="Times New Roman;Times;serif" w:hAnsi="Times New Roman;Times;serif"/>
          <w:sz w:val="20"/>
        </w:rPr>
        <w:t>Average Adjusted ROIC” shall be the percentage, rounded down to the nearest tenth of a percent, determined as follows:</w:t>
      </w:r>
    </w:p>
    <w:tbl>
      <w:tblPr>
        <w:tblW w:w="10286" w:type="dxa"/>
        <w:jc w:val="center"/>
        <w:tblInd w:w="0" w:type="dxa"/>
        <w:tblLayout w:type="fixed"/>
        <w:tblCellMar>
          <w:top w:w="0" w:type="dxa"/>
          <w:left w:w="0" w:type="dxa"/>
          <w:bottom w:w="0" w:type="dxa"/>
          <w:right w:w="0" w:type="dxa"/>
        </w:tblCellMar>
      </w:tblPr>
      <w:tblGrid>
        <w:gridCol w:w="10286"/>
      </w:tblGrid>
      <w:tr>
        <w:trPr/>
        <w:tc>
          <w:tcPr>
            <w:tcW w:w="10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175260"/>
                      <wp:effectExtent l="0" t="0" r="0" b="0"/>
                      <wp:wrapNone/>
                      <wp:docPr id="568" name="Frame5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Annual Adjusted ROIC for 20XX + Annual Adjusted ROIC for 20XX +Annual Adjusted ROIC for 20XX</w:t>
            </w:r>
          </w:p>
        </w:tc>
      </w:tr>
      <w:tr>
        <w:trPr/>
        <w:tc>
          <w:tcPr>
            <w:tcW w:w="10286" w:type="dxa"/>
            <w:tcBorders/>
            <w:vAlign w:val="center"/>
          </w:tcPr>
          <w:p>
            <w:pPr>
              <w:pStyle w:val="TableContents"/>
              <w:bidi w:val="0"/>
              <w:spacing w:lineRule="atLeast" w:line="142" w:before="0" w:after="0"/>
              <w:ind w:left="0" w:right="0" w:hanging="0"/>
              <w:jc w:val="center"/>
              <w:rPr/>
            </w:pPr>
            <w:r>
              <w:rPr/>
              <w:t>                                                                                                                                                                         </w:t>
            </w:r>
          </w:p>
        </w:tc>
      </w:tr>
      <w:tr>
        <w:trPr/>
        <w:tc>
          <w:tcPr>
            <w:tcW w:w="102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0"/>
        </w:rPr>
        <w:t>Annual Adjusted ROIC” for a calendar year shall be the percentage determined as follows:</w:t>
      </w:r>
    </w:p>
    <w:tbl>
      <w:tblPr>
        <w:tblW w:w="6766" w:type="dxa"/>
        <w:jc w:val="center"/>
        <w:tblInd w:w="0" w:type="dxa"/>
        <w:tblLayout w:type="fixed"/>
        <w:tblCellMar>
          <w:top w:w="0" w:type="dxa"/>
          <w:left w:w="0" w:type="dxa"/>
          <w:bottom w:w="0" w:type="dxa"/>
          <w:right w:w="0" w:type="dxa"/>
        </w:tblCellMar>
      </w:tblPr>
      <w:tblGrid>
        <w:gridCol w:w="5981"/>
        <w:gridCol w:w="631"/>
        <w:gridCol w:w="154"/>
      </w:tblGrid>
      <w:tr>
        <w:trPr/>
        <w:tc>
          <w:tcPr>
            <w:tcW w:w="5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Adjusted Net Income After Tax + After Tax Interest Expense</w:t>
            </w:r>
          </w:p>
        </w:tc>
        <w:tc>
          <w:tcPr>
            <w:tcW w:w="631" w:type="dxa"/>
            <w:vMerge w:val="restart"/>
            <w:tcBorders/>
            <w:vAlign w:val="center"/>
          </w:tcPr>
          <w:p>
            <w:pPr>
              <w:pStyle w:val="TableContents"/>
              <w:bidi w:val="0"/>
              <w:spacing w:before="0" w:after="0"/>
              <w:ind w:left="0" w:right="0" w:hanging="0"/>
              <w:jc w:val="left"/>
              <w:rPr/>
            </w:pPr>
            <w:r>
              <w:rPr/>
              <w:t> </w:t>
            </w:r>
            <w:r>
              <w:rPr>
                <w:rFonts w:ascii="Times New Roman;Times;serif" w:hAnsi="Times New Roman;Times;serif"/>
                <w:sz w:val="20"/>
              </w:rPr>
              <w:t>x 100</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981" w:type="dxa"/>
            <w:tcBorders/>
            <w:vAlign w:val="center"/>
          </w:tcPr>
          <w:p>
            <w:pPr>
              <w:pStyle w:val="TableContents"/>
              <w:bidi w:val="0"/>
              <w:spacing w:lineRule="atLeast" w:line="142" w:before="0" w:after="0"/>
              <w:ind w:left="0" w:right="0" w:hanging="0"/>
              <w:jc w:val="center"/>
              <w:rPr/>
            </w:pPr>
            <w:r>
              <w:rPr/>
              <w:t>                                                                                                  </w:t>
            </w:r>
          </w:p>
        </w:tc>
        <w:tc>
          <w:tcPr>
            <w:tcW w:w="631" w:type="dxa"/>
            <w:vMerge w:val="continue"/>
            <w:tcBorders/>
            <w:vAlign w:val="center"/>
          </w:tcPr>
          <w:p>
            <w:pPr>
              <w:pStyle w:val="Normal"/>
              <w:bidi w:val="0"/>
              <w:jc w:val="left"/>
              <w:rPr/>
            </w:pPr>
            <w:r>
              <w:rPr/>
            </w:r>
          </w:p>
        </w:tc>
        <w:tc>
          <w:tcPr>
            <w:tcW w:w="154" w:type="dxa"/>
            <w:tcBorders/>
            <w:vAlign w:val="center"/>
          </w:tcPr>
          <w:p>
            <w:pPr>
              <w:pStyle w:val="TableContents"/>
              <w:bidi w:val="0"/>
              <w:spacing w:lineRule="atLeast" w:line="320" w:before="0" w:after="0"/>
              <w:ind w:left="0" w:right="0" w:hanging="0"/>
              <w:jc w:val="center"/>
              <w:rPr/>
            </w:pPr>
            <w:r>
              <w:rPr/>
              <w:t>​</w:t>
            </w:r>
          </w:p>
        </w:tc>
      </w:tr>
      <w:tr>
        <w:trPr/>
        <w:tc>
          <w:tcPr>
            <w:tcW w:w="5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Debt + Average Total Shareholders’ Equity</w:t>
            </w:r>
          </w:p>
        </w:tc>
        <w:tc>
          <w:tcPr>
            <w:tcW w:w="631"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Annual Adjusted ROIC for a calendar year shall be calculated on a consolidated basis with the Corporation’s consolidated subsidiaries for U.S. financial reporting purposes and shall be determined on the basis of the Corporation’s audited financial statements for such year prepared in accordance with United States generally accepted accounting principles, subject to any adjustments as determined by the Plan Administrator that are needed to accurately reflect the performance of the Corporation (e.g., because of changes in accounting rules, extraordinary gains from the sale of the Corporation’s assets, unforeseen extraordinary events affecting the Corporation or any of its business operations, or other similar or dissimilar circumstances occurring during the Performance Period that may or may not have been beyond the control of the Corporation).</w:t>
      </w:r>
    </w:p>
    <w:p>
      <w:pPr>
        <w:pStyle w:val="TextBody"/>
        <w:bidi w:val="0"/>
        <w:spacing w:before="0" w:after="0"/>
        <w:ind w:left="0" w:right="0" w:hanging="0"/>
        <w:jc w:val="both"/>
        <w:rPr/>
      </w:pPr>
      <w:r>
        <w:rPr/>
        <w:t>“</w:t>
      </w:r>
      <w:r>
        <w:rPr>
          <w:rFonts w:ascii="Times New Roman;Times;serif" w:hAnsi="Times New Roman;Times;serif"/>
          <w:sz w:val="20"/>
        </w:rPr>
        <w:t>Adjusted Net Income” for a calendar year means Net Income for the year minus tax-effected interest income on deposits in the Capital Construction Fund.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SCHEDULE</w:t>
      </w:r>
      <w:r>
        <w:rPr>
          <w:rFonts w:ascii="Times New Roman;Times;serif" w:hAnsi="Times New Roman;Times;serif"/>
          <w:sz w:val="20"/>
        </w:rPr>
        <w:t xml:space="preserve"> I-1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0"/>
        </w:rPr>
        <w:t>Average Debt” for a calendar year means the average of the Debt at the beginning of the year and Debt at the end of the year.</w:t>
      </w:r>
    </w:p>
    <w:p>
      <w:pPr>
        <w:pStyle w:val="TextBody"/>
        <w:bidi w:val="0"/>
        <w:spacing w:before="0" w:after="240"/>
        <w:ind w:left="0" w:right="0" w:hanging="0"/>
        <w:jc w:val="both"/>
        <w:rPr/>
      </w:pPr>
      <w:r>
        <w:rPr/>
        <w:t>“</w:t>
      </w:r>
      <w:r>
        <w:rPr>
          <w:rFonts w:ascii="Times New Roman;Times;serif" w:hAnsi="Times New Roman;Times;serif"/>
          <w:sz w:val="20"/>
        </w:rPr>
        <w:t>Debt” means long-term debt plus notes payable and current portion of the long term debt, as determined in accordance with United States generally accepted accounting principles, and is intended to include potential convertible debt and other hybrid debt issued in the future.</w:t>
      </w:r>
    </w:p>
    <w:p>
      <w:pPr>
        <w:pStyle w:val="TextBody"/>
        <w:bidi w:val="0"/>
        <w:spacing w:before="0" w:after="240"/>
        <w:ind w:left="0" w:right="0" w:hanging="0"/>
        <w:jc w:val="both"/>
        <w:rPr/>
      </w:pPr>
      <w:r>
        <w:rPr/>
        <w:t>“</w:t>
      </w:r>
      <w:r>
        <w:rPr>
          <w:rFonts w:ascii="Times New Roman;Times;serif" w:hAnsi="Times New Roman;Times;serif"/>
          <w:sz w:val="20"/>
        </w:rPr>
        <w:t>Adjusted Total Shareholders’ Equity” for a calendar year means the year-end balance of Shareholders’ Equity minus the year-end balance of construction-in-progress within Property, Plant &amp; Equipment, and minus the year-end balance of the Capital Construction Fund.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otherwise defined above or in the Notice of Award of Performance Shares to which this Schedule is attached, capitalized terms used in this Schedule shall be construed in accordance with accounting principles generally accepted in the United States.</w:t>
      </w:r>
    </w:p>
    <w:p>
      <w:pPr>
        <w:pStyle w:val="TextBody"/>
        <w:bidi w:val="0"/>
        <w:spacing w:before="0" w:after="0"/>
        <w:ind w:left="0" w:right="0" w:hanging="0"/>
        <w:jc w:val="left"/>
        <w:rPr>
          <w:caps/>
        </w:rPr>
      </w:pPr>
      <w:r>
        <w:rPr>
          <w:caps/>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SCHEDULE</w:t>
      </w:r>
      <w:r>
        <w:rPr>
          <w:rFonts w:ascii="Times New Roman;Times;serif" w:hAnsi="Times New Roman;Times;serif"/>
          <w:sz w:val="20"/>
        </w:rPr>
        <w:t xml:space="preserve"> I-2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EXHIBIT A</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MATSON, INC.</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performance SHARE AWARD AGREEMENT</w:t>
      </w:r>
    </w:p>
    <w:p>
      <w:pPr>
        <w:pStyle w:val="TextBody"/>
        <w:bidi w:val="0"/>
        <w:spacing w:before="0" w:after="240"/>
        <w:ind w:left="0" w:right="0" w:hanging="0"/>
        <w:jc w:val="left"/>
        <w:rPr>
          <w:rFonts w:ascii="Times New Roman;Times;serif" w:hAnsi="Times New Roman;Times;serif"/>
          <w:b/>
          <w:caps/>
          <w:sz w:val="20"/>
        </w:rPr>
      </w:pPr>
      <w:r>
        <w:rPr>
          <w:rFonts w:ascii="Times New Roman;Times;serif" w:hAnsi="Times New Roman;Times;serif"/>
          <w:b/>
          <w:caps/>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equity incentive compensation programs designed to motivate, attract and retain the services of persons who contribute to the success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All capitalized terms in this Agreement shall have the meaning assigned to them in the attached </w:t>
      </w:r>
      <w:r>
        <w:rPr>
          <w:rFonts w:ascii="Times New Roman;Times;serif" w:hAnsi="Times New Roman;Times;serif"/>
          <w:sz w:val="20"/>
          <w:u w:val="single"/>
        </w:rPr>
        <w:t>Appendix A</w:t>
      </w:r>
      <w:r>
        <w:rPr>
          <w:rFonts w:ascii="Times New Roman;Times;serif" w:hAnsi="Times New Roman;Times;serif"/>
          <w:sz w:val="20"/>
        </w:rPr>
        <w:t>, or if not defined in that appendix, as defined in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it is hereby agreed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Grant of Performance Shares</w:t>
      </w:r>
      <w:r>
        <w:rPr>
          <w:rFonts w:ascii="Times New Roman;Times;serif" w:hAnsi="Times New Roman;Times;serif"/>
          <w:sz w:val="20"/>
        </w:rPr>
        <w:t>.  The Corporation hereby awards to Participant, as of the Award Date, Performance Shares under the Plan.  The number of shares of Common Stock underlying the award and the applicable performance vesting requirements for those shares are set forth in the Award Notice.  The remaining terms and conditions governing the Award shall be as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Limited Transferability</w:t>
      </w:r>
      <w:r>
        <w:rPr>
          <w:rFonts w:ascii="Times New Roman;Times;serif" w:hAnsi="Times New Roman;Times;serif"/>
          <w:sz w:val="20"/>
        </w:rPr>
        <w:t>.  Prior to the actual issuance of the Shares which vest hereunder, Participant may not transfer any interest in the Performance Shares subject to the Award or the underlying Shares or pledge or otherwise hedge the sale of those Performance Shares or underlying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Vesting Requirements</w:t>
      </w:r>
      <w:r>
        <w:rPr>
          <w:rFonts w:ascii="Times New Roman;Times;serif" w:hAnsi="Times New Roman;Times;serif"/>
          <w:sz w:val="20"/>
        </w:rPr>
        <w:t>.  The actual number of Shares that may vest and become issuable pursuant to the Performance Shares shall be determined pursuant to a two-step process:  (i) first there shall be calculated the maximum number of Shares in which Participant can vest based upon the level at which the Performance Goal specified on Schedule I to the Award Notice is actually attained and (ii) then the number of the Performance-Qualified Shares resulting from the clause (i) calculation in which Participant shall actually vest shall be determined on the basis of his or her completion of the applicable Service vesting provisions set forth below.  Accordingly, the vesting of the Shares shall be calculated as follows: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b/>
          <w:i/>
          <w:sz w:val="20"/>
        </w:rPr>
        <w:t>Performance Vesting</w:t>
      </w:r>
      <w:r>
        <w:rPr>
          <w:rFonts w:ascii="Times New Roman;Times;serif" w:hAnsi="Times New Roman;Times;serif"/>
          <w:sz w:val="20"/>
        </w:rPr>
        <w:t>: Following the completion of the Performance Period, the Plan Administrator shall determine the applicable number of Performance-Qualified Shares in accordance with the provisions of the Award Notice and Schedule I attached thereto. The Plan Administrator generally expects to complete this determination within sixty (60) days after the end of the Performance Period.  </w:t>
      </w:r>
      <w:r>
        <w:rPr>
          <w:rFonts w:ascii="Times New Roman;Times;serif" w:hAnsi="Times New Roman;Times;serif"/>
          <w:sz w:val="20"/>
          <w:u w:val="single"/>
        </w:rPr>
        <w:t>Appendix B</w:t>
      </w:r>
      <w:r>
        <w:rPr>
          <w:rFonts w:ascii="Times New Roman;Times;serif" w:hAnsi="Times New Roman;Times;serif"/>
          <w:sz w:val="20"/>
        </w:rPr>
        <w:t xml:space="preserve"> attached to this Agreement sets forth examples illustrating the calculation of the number of Shares in which the Participant may vest based upon hypothetical levels of Performance Goal attainment and service vesting requirements.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b/>
          <w:i/>
          <w:sz w:val="20"/>
        </w:rPr>
        <w:t>Service Vesting</w:t>
      </w:r>
      <w:r>
        <w:rPr>
          <w:rFonts w:ascii="Times New Roman;Times;serif" w:hAnsi="Times New Roman;Times;serif"/>
          <w:sz w:val="20"/>
        </w:rPr>
        <w:t>:  The Performance-Qualified Shares so determined represent the maximum number of Shares in which Participant can vest hereunder.  The actual number of Shares in which Participant shall vest shall be determined as follows:</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(i)If Participant continues in Service through the Service Vesting Date, Participant shall vest in all of the Performance-Qualified Shares.  The Shares underlying those particular Performance-Qualified Shares shall generally be issued to Participant during the period beginning with the Service Vesting Date and ending on March 15th of that year; </w:t>
      </w:r>
      <w:r>
        <w:rPr>
          <w:rFonts w:ascii="Times New Roman;Times;serif" w:hAnsi="Times New Roman;Times;serif"/>
          <w:sz w:val="20"/>
          <w:u w:val="single"/>
        </w:rPr>
        <w:t>provided</w:t>
      </w:r>
      <w:r>
        <w:rPr>
          <w:rFonts w:ascii="Times New Roman;Times;serif" w:hAnsi="Times New Roman;Times;serif"/>
          <w:sz w:val="20"/>
        </w:rPr>
        <w:t xml:space="preserve"> that, if the Service Vesting Date is after the end of the Performance Period, then the Shares shall be issued as soon as administratively practicable after the Service Vesting Date, but in no event later than sixty (60) days after the Service Vesting Date.</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(ii)If Participant ceases Service </w:t>
      </w:r>
      <w:r>
        <w:rPr>
          <w:rFonts w:ascii="Times New Roman;Times;serif" w:hAnsi="Times New Roman;Times;serif"/>
          <w:b/>
          <w:i/>
          <w:sz w:val="20"/>
        </w:rPr>
        <w:t xml:space="preserve">prior to </w:t>
      </w:r>
      <w:r>
        <w:rPr>
          <w:rFonts w:ascii="Times New Roman;Times;serif" w:hAnsi="Times New Roman;Times;serif"/>
          <w:sz w:val="20"/>
        </w:rPr>
        <w:t xml:space="preserve">the Service Vesting Date by reason of Early Retirement, Normal Retirement, death or Permanent Disability, then Participant shall, upon the determination by the Plan Administrator of the maximum number of Performance-Qualified Shares, vest in a portion of the Performance-Qualified Shares determined by a two-step process: (i) prior to the Service Vesting Date, the Designated Shares will be prorated by multiplying (x) the number of Designated Shares by (y) a fraction, the numerator of which is the number of whole months of actual Service completed by Participant in such Performance Period, and the denominator of which is thirty-six (36) months, the product to be rounded up to the next whole share and (ii) then the number of shares calculated under clause (i) in which Participant may actually vest shall be the maximum number of shares of Common Stock in which Participant can vest under the Performance Vesting section based upon the actual level at which the Performance Goal specified on attached Schedule I is attained.  The Shares underlying the Performance-Qualified Shares in which Participant vests in accordance with this subparagraph (ii) shall generally be issued to Participant (or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720" w:hanging="0"/>
        <w:jc w:val="both"/>
        <w:rPr>
          <w:rFonts w:ascii="Times New Roman;Times;serif" w:hAnsi="Times New Roman;Times;serif"/>
          <w:sz w:val="20"/>
        </w:rPr>
      </w:pPr>
      <w:r>
        <w:rPr>
          <w:rFonts w:ascii="Times New Roman;Times;serif" w:hAnsi="Times New Roman;Times;serif"/>
          <w:sz w:val="20"/>
        </w:rPr>
        <w:t xml:space="preserve">in the event of the death of Participant, then to Participant’s heirs or beneficiaries) during the period beginning with the Service Vesting Date and ending on March 15th of that year; </w:t>
      </w:r>
      <w:r>
        <w:rPr>
          <w:rFonts w:ascii="Times New Roman;Times;serif" w:hAnsi="Times New Roman;Times;serif"/>
          <w:sz w:val="20"/>
          <w:u w:val="single"/>
        </w:rPr>
        <w:t>provided</w:t>
      </w:r>
      <w:r>
        <w:rPr>
          <w:rFonts w:ascii="Times New Roman;Times;serif" w:hAnsi="Times New Roman;Times;serif"/>
          <w:sz w:val="20"/>
        </w:rPr>
        <w:t xml:space="preserve"> that, if the Service Vesting Date is after the end of the Performance Period, then the Shares shall be issued as soon as administratively practicable after the Service Vesting Date, but in no event later than sixty (60) days after the Service Vesting Date.</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(iii)If Participant’s Service ceases for any other reason prior to the Service Vesting Date, then Participant shall not vest in any of the Performance-Qualified Shares and all of Participant’s right, title and interest to the Shares subject to this Award shall cease.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Shareholder Rights</w:t>
      </w:r>
      <w:r>
        <w:rPr>
          <w:rFonts w:ascii="Times New Roman;Times;serif" w:hAnsi="Times New Roman;Times;serif"/>
          <w:sz w:val="20"/>
        </w:rPr>
        <w:t>.  The holder of this Award shall not have any shareholder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Change in Control</w:t>
      </w:r>
      <w:r>
        <w:rPr>
          <w:rFonts w:ascii="Times New Roman;Times;serif" w:hAnsi="Times New Roman;Times;serif"/>
          <w:sz w:val="20"/>
        </w:rPr>
        <w:t>.  Notwithstanding Paragraph 3 above, the following provisions shall apply to the extent a Change in Control is consummated prior to the completion of the applicable Performance Period and shall have no force or effect in the event the closing of the Change in Control occurs on or after the completion of the Performance Period.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(a)This Award may be assumed by the successor entity or otherwise continued in full force and effect, provided, however, that the securities subject to such Award following such assumption or continuation are actively traded on an established securities exchange, or may be replaced with a substitute equivalent award established by the successor entity.  In such event, the following provisions shall be in effect:</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(i)The Performance-Vesting requirements of this Agreement shall terminate, and the assumption or continuation of this Award shall be effected in accordance with Paragraph 5(b) below on the basis of the number of Change in Control Shares.  The Service-vesting and issuance provisions of Paragraph 3(b)(i) shall continue in effect with respect to the assumed or continued Award.</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(ii)If Participant ceases Service prior to the Service Vesting Date by reason of Early Retirement, Normal Retirement, death or Permanent Disability, then Participant shall, upon the closing of the Change in Control or (if later) such cessation of Service,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issued to Participant on the earlier of (i) the date the Shares would have otherwise been issued pursuant to the provisions of Paragraph 3(b)(ii) in the absence of such Change in Control or, should such cessation of Service occur after such Change in Control but within twenty-four (24) months after the closing of a Qualifying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Change in Control, (ii) the date of Participant’s Separation from Service due to such cessation of Service.</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(iii)To the extent the substitute equivalent award is in the form of cash, a cash retention account shall be established and shall initially be credited with the Fair Market Value (at the effective time of the Change in Control) of the number of Change in Control Shares, and interest shall accrue on the outstanding balance of such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Times New Roman;Times;serif" w:hAnsi="Times New Roman;Times;serif"/>
          <w:b/>
          <w:i/>
          <w:sz w:val="20"/>
        </w:rPr>
        <w:t>The Wall Street Journal</w:t>
      </w:r>
      <w:r>
        <w:rPr>
          <w:rFonts w:ascii="Times New Roman;Times;serif" w:hAnsi="Times New Roman;Times;serif"/>
          <w:sz w:val="20"/>
        </w:rPr>
        <w:t>.  The cash retention account shall vest and be paid out in accordance with the Service vesting and issuance provisions of Paragraph 3(b)(i) or (to the extent applicable) in accordance with the pro-rata Service vesting and issuance provisions of Paragraph 5(a)(ii) above. The Participant’s interest in the account shall at all times be that of a general, unsecured creditor.</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(iv)In the event of such assumption or continuation of this Award or such replacement of the Award with a substitute equivalent award, no accelerated vesting of the Performance Shares subject to this Award or the underlying Shares shall occur at the time of the Change in Control, and the Service-vesting provisions of Paragraph 3(b) shall continue in full force and effect.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(b)In the event this Award is assumed, otherwise continued in effect, or replaced in connection with such Change in Control, the securities subject to the Award shall be adjusted immediately after the consummation of that Change in Control so as to apply to the number and class of securities into which the number of Change in Control Shares would have been converted in consummation of that Change in Control had that number of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Performance Shares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(c)Upon Participant’s Separation from Service due to an Involuntary Termination occurring within twenty-four (24) months after a Change in Control in which this Award is assumed or continued in effect, Participant shall immediately vest in that number of Shares equal to the Change in Control Shares that remain unvested, and that number of Shares shall be issued to Participant on the date of Participant’s Separation from Service due to such cessation of Service.  Should this Award be replaced with a substitute equivalent award in accordance with Paragraph 5(a), then that award shall vest upon Participant’s Separation from Service due to the Involuntary Termination, provided and only if such Involuntary Termination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occurs within twenty-four (24) months following the Change in Control. Such vested portion of the award shall be issued or distributed, as applicable, on the date of Participant’s Separation from Service, provided such Separation from Service occurs within twenty-four (24) months after a Qualifying Change in Control.  Except for the number of Shares, or such equivalent award, distributed in accordance with the foregoing provisions of this Paragraph 5(c), Participant shall have no further right or entitlement to any additional Shares or other cash or property hereunder upon such Separation from Service.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(d)If the Award is not (1) assumed by the successor entity, (2) otherwise continued in effect or (3) replaced with a substitute equivalent award in accordance with Paragraph 5(a), then the following provisions shall apply:</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(i)If Participant continues in Service through the effective date of the Change in Control, then Participant shall, upon the closing of such Change in Control, vest in that number of Shares equal to the Change in Control Shares.  The Shares in which Participant so vests shall be converted into the right to receive the same consideration per share of Common Stock payable to the other shareholders of the Corporation in consummation of the Change in Control. Such consideration per Share shall be distributed to Participant on the </w:t>
      </w:r>
      <w:r>
        <w:rPr>
          <w:rFonts w:ascii="Times New Roman;Times;serif" w:hAnsi="Times New Roman;Times;serif"/>
          <w:b/>
          <w:i/>
          <w:sz w:val="20"/>
        </w:rPr>
        <w:t xml:space="preserve">earliest </w:t>
      </w:r>
      <w:r>
        <w:rPr>
          <w:rFonts w:ascii="Times New Roman;Times;serif" w:hAnsi="Times New Roman;Times;serif"/>
          <w:sz w:val="20"/>
        </w:rPr>
        <w:t>to occur of (x) the date the Share would have otherwise been issued pursuant to the Service vesting and issuance provisions set forth in Paragraph 3(b)(i) in the absence of such Change in Control, (y) the date of Participant’s Separation from Service, provided such Separation from Service occurs within twenty-four (24) months after a Qualifying Change in Control, or (z) the first date upon or following a Qualifying Change in Control transaction on which the distribution can be made without contravention of any applicable provisions of Section 409A of the Code (“Section 409A”).</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(ii)To the extent the consideration payable per share of Common Stock in the Change in Control is in the form of cash, a fully-vested cash retention account shall be established by the successor entity at the time of such Change in Control for each Share that vests on an accelerated basis in accordance with Paragraph 5(d)(i) above.  Such account shall be credited with the amount of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Times New Roman;Times;serif" w:hAnsi="Times New Roman;Times;serif"/>
          <w:b/>
          <w:i/>
          <w:sz w:val="20"/>
        </w:rPr>
        <w:t>The Wall Street Journal</w:t>
      </w:r>
      <w:r>
        <w:rPr>
          <w:rFonts w:ascii="Times New Roman;Times;serif" w:hAnsi="Times New Roman;Times;serif"/>
          <w:sz w:val="20"/>
        </w:rPr>
        <w:t>.  The cash retention account, together with all accrued interest thereon through the actual payment date, shall be distributed, as to each Share to which that cash retention accounts pertains, in accordance with the foregoing distribution provisions of  Paragraph 5(d)(i) above.  Participant’s interest in the account shall at all times be that of a general, unsecured creditor.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(iii)If Participant ceases Service prior to the effective date of the Change in Control by reason of Early Retirement, Normal Retirement, death or Permanent Disability, then Participant shall, upon the closing of such Change in Control,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converted into the right to receive the same consideration per share of Common Stock payable to the other shareholders of the Corporation in consummation of the Change in Control. Such consideration per Share shall be distributed to Participant on the </w:t>
      </w:r>
      <w:r>
        <w:rPr>
          <w:rFonts w:ascii="Times New Roman;Times;serif" w:hAnsi="Times New Roman;Times;serif"/>
          <w:b/>
          <w:i/>
          <w:sz w:val="20"/>
        </w:rPr>
        <w:t>earlier</w:t>
      </w:r>
      <w:r>
        <w:rPr>
          <w:rFonts w:ascii="Times New Roman;Times;serif" w:hAnsi="Times New Roman;Times;serif"/>
          <w:sz w:val="20"/>
        </w:rPr>
        <w:t xml:space="preserve"> of (A) the date the Share would have otherwise been issued pursuant to the provisions of Paragraph 3(b)(ii) in the absence of such Change in Control or (B) the first date upon or following a Qualifying Change in Control transaction on which the distribution can be made without contravention of any applicable provisions of Section 409A.</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(iv)Except for the amount of consideration so calculated, Participant shall have no further right or entitlement to any additional Shares or consideration under this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Change in Control Benefits Agreement</w:t>
      </w:r>
      <w:r>
        <w:rPr>
          <w:rFonts w:ascii="Times New Roman;Times;serif" w:hAnsi="Times New Roman;Times;serif"/>
          <w:sz w:val="20"/>
        </w:rPr>
        <w:t xml:space="preserve">.  Notwithstanding anything to the 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Adjustment in Shares</w:t>
      </w:r>
      <w:r>
        <w:rPr>
          <w:rFonts w:ascii="Times New Roman;Times;serif" w:hAnsi="Times New Roman;Times;serif"/>
          <w:sz w:val="20"/>
        </w:rPr>
        <w:t>.  Should any change be made to the Common Stock by 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5 in connection with the transaction, and the determination of the Plan Administrator shall be final, binding and conclusive as provided in Section III.B. of Article One of the Plan.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event of any Change in Control transaction, the adjustment provisions of Paragraph 5(b) shall be controlling.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b/>
          <w:sz w:val="20"/>
        </w:rPr>
        <w:t>Issuance of Vested Shares and Applicable Withholding Taxes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(a)Any Shares to be issued to Participant in accordance with the foregoing provisions of this Agreement shall be in the form of a book entry evidencing ownership of those Shares. Actual certificates for the vested Shares evidenced by book entry ownership shall be promptly delivered upon the request of Participant or any other person having an interest at the time in those Shares.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(c)The following provisions shall govern the US Withholding Taxes on the Shares (or any replacement or substitute securities, property or other amounts under Paragraphs 5 or 7 above) which vest in accordance with the provisions of this Agreement:</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the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8(c)(ii).</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b/>
          <w:sz w:val="20"/>
        </w:rPr>
        <w:t>Automatic Share Withholding</w:t>
      </w:r>
      <w:r>
        <w:rPr>
          <w:rFonts w:ascii="Times New Roman;Times;serif" w:hAnsi="Times New Roman;Times;serif"/>
          <w:sz w:val="20"/>
        </w:rPr>
        <w:t>. On the applicable issuance date, the 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8(c)(iii) below (the “Applicable Withholding Rate”).</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b/>
          <w:sz w:val="20"/>
        </w:rPr>
        <w:t>Amount of Withholding</w:t>
      </w:r>
      <w:r>
        <w:rPr>
          <w:rFonts w:ascii="Times New Roman;Times;serif" w:hAnsi="Times New Roman;Times;serif"/>
          <w:sz w:val="20"/>
        </w:rPr>
        <w:t xml:space="preserve">.  The amount which the 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applicable to supplemental taxable income.  However, Participant may elect an alternate Applicable Withholding Rate equal to the maximum statutory tax rate for the applicable withholding tax in Participant’s applicable jurisdictions (the “Alternate Withholding 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8(c)(ii) and 8(c)(iii), in the event Participant is determined to be subject to Section 16 of the 1934 Act at the time of settlement, the Alternate Withholding Rate must be approved by the Corporation’s Compensation Committee.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(d)Notwithstanding the foregoing provisions of this Paragraph 8,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8(d) shall be applicable only to the extent necessary to comply with the applicable tax withholding requirements of Section 3121(v) of the Code.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(e)Except as otherwise provided in Paragraph 5 or this Paragraph 8,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b/>
          <w:sz w:val="20"/>
        </w:rPr>
        <w:t>Section 409A</w:t>
      </w:r>
      <w:r>
        <w:rPr>
          <w:rFonts w:ascii="Times New Roman;Times;serif" w:hAnsi="Times New Roman;Times;serif"/>
          <w:sz w:val="20"/>
        </w:rPr>
        <w:t>.  Notwithstanding any provision to the contrary in this Agreement, to the extent this Award may be deemed to create a deferred compensation arrangement under Section 409A, then the following limitation and provisions shall apply: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(a)No Shares or other amounts which become issuable or distributable under this Agreement upon Participant’s Separation from Service shall actually be issued or distributed to Participant prior to the </w:t>
      </w:r>
      <w:r>
        <w:rPr>
          <w:rFonts w:ascii="Times New Roman;Times;serif" w:hAnsi="Times New Roman;Times;serif"/>
          <w:b/>
          <w:i/>
          <w:sz w:val="20"/>
        </w:rPr>
        <w:t>earlier</w:t>
      </w:r>
      <w:r>
        <w:rPr>
          <w:rFonts w:ascii="Times New Roman;Times;serif" w:hAnsi="Times New Roman;Times;serif"/>
          <w:sz w:val="20"/>
        </w:rPr>
        <w:t xml:space="preserve"> of (i) the first (1st) day of the seventh (7th) month following the date of such Separation from Service or (ii) the date of Participant’s death, if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 Section 409A arrangements of the Corporation, and such delayed commencement is otherwise required in order to avoid a prohibited distribution under Section 409A(a)(2) of the Code.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(b)Participant’s right to receive each installment of Shares or other installment distribution pursuant to the terms of this Agreement shall, for purposes of Section 409A, be treated as a right to receive a series of separate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b/>
          <w:sz w:val="20"/>
        </w:rPr>
        <w:t>Compliance with Laws and Regulations</w:t>
      </w:r>
      <w:r>
        <w:rPr>
          <w:rFonts w:ascii="Times New Roman;Times;serif" w:hAnsi="Times New Roman;Times;serif"/>
          <w:sz w:val="20"/>
        </w:rPr>
        <w:t>.  The issuance of shares of 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b/>
          <w:sz w:val="20"/>
        </w:rPr>
        <w:t>Notices</w:t>
      </w:r>
      <w:r>
        <w:rPr>
          <w:rFonts w:ascii="Times New Roman;Times;serif" w:hAnsi="Times New Roman;Times;serif"/>
          <w:sz w:val="20"/>
        </w:rPr>
        <w:t>.  Any notice required to be given or delivered to the Corporation under the terms of 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b/>
          <w:sz w:val="20"/>
        </w:rPr>
        <w:t>Successors and Assigns</w:t>
      </w:r>
      <w:r>
        <w:rPr>
          <w:rFonts w:ascii="Times New Roman;Times;serif" w:hAnsi="Times New Roman;Times;serif"/>
          <w:sz w:val="20"/>
        </w:rPr>
        <w:t>.  Except to the extent otherwise provided in this 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b/>
          <w:sz w:val="20"/>
        </w:rPr>
        <w:t>Construction</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b/>
          <w:sz w:val="20"/>
        </w:rPr>
        <w:t>Governing Law</w:t>
      </w:r>
      <w:r>
        <w:rPr>
          <w:rFonts w:ascii="Times New Roman;Times;serif" w:hAnsi="Times New Roman;Times;serif"/>
          <w:sz w:val="20"/>
        </w:rPr>
        <w:t>.  The interpretation, performance and enforcement of this Agreement shall be governed by the laws of the State of Hawaii without regard to that State’s conflict-of-laws rules.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b/>
          <w:sz w:val="20"/>
        </w:rPr>
        <w:t>Coverage under Recoupment Policy</w:t>
      </w:r>
      <w:r>
        <w:rPr>
          <w:rFonts w:ascii="Times New Roman;Times;serif" w:hAnsi="Times New Roman;Times;serif"/>
          <w:sz w:val="20"/>
        </w:rPr>
        <w:t>. If Participant is on the Award Date, or at any time thereafter becomes, an executive officer of the Corporation subject to Section 16 of the 1934 Act, then Participant shall be subject to the Matson, Inc. Policy Regarding Recoupment of Certain Compensation (as amended from time to time, the “Recoupment Policy”), the terms of which are hereby incorporated herein by reference.  A copy of the Recoupment Policy is available upon request made to the Corporate Secretary.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b/>
          <w:sz w:val="20"/>
        </w:rPr>
        <w:t>Data Privacy</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b/>
          <w:sz w:val="20"/>
        </w:rPr>
        <w:t>Amendment</w:t>
      </w:r>
      <w:r>
        <w:rPr>
          <w:rFonts w:ascii="Times New Roman;Times;serif" w:hAnsi="Times New Roman;Times;serif"/>
          <w:sz w:val="20"/>
        </w:rPr>
        <w:t>.  This Agreement may not be altered, modified, or amended except by written instrument signed by the parties hereto; provided that the Corporation may alter, modify or amend this Agreement unilaterally if such change is not materially adverse to Participant or to cause this Agreement to comply with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b/>
          <w:sz w:val="20"/>
        </w:rPr>
        <w:t>Other Agreements Superseded</w:t>
      </w:r>
      <w:r>
        <w:rPr>
          <w:rFonts w:ascii="Times New Roman;Times;serif" w:hAnsi="Times New Roman;Times;serif"/>
          <w:sz w:val="20"/>
        </w:rPr>
        <w:t>.  The Award Notice, this Agreement, and the Plan constitute the entire understanding between Participant and the Corporation regarding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Award.  Any prior agreements, commitments or negotiations concerning the Award are superseded.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b/>
          <w:sz w:val="20"/>
        </w:rPr>
        <w:t>Governing Plan Document</w:t>
      </w:r>
      <w:r>
        <w:rPr>
          <w:rFonts w:ascii="Times New Roman;Times;serif" w:hAnsi="Times New Roman;Times;serif"/>
          <w:sz w:val="20"/>
        </w:rPr>
        <w:t>.  The Award is subject to all the provisions of the Plan, the provisions of which are hereby made a part of the Award, and is further subject to all interpretations, amendments, rules and regulations, which may from time to time be promulgated and adopted pursuant to the Plan.</w:t>
      </w:r>
    </w:p>
    <w:p>
      <w:pPr>
        <w:pStyle w:val="TextBody"/>
        <w:bidi w:val="0"/>
        <w:spacing w:before="0" w:after="0"/>
        <w:ind w:left="0" w:right="0" w:hanging="0"/>
        <w:jc w:val="left"/>
        <w:rPr>
          <w:caps/>
        </w:rPr>
      </w:pPr>
      <w:r>
        <w:rPr>
          <w:caps/>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APPENDIX A</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DEFINITIONS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following definitions shall be in effect under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Agreement</w:t>
      </w:r>
      <w:r>
        <w:rPr>
          <w:rFonts w:ascii="Times New Roman;Times;serif" w:hAnsi="Times New Roman;Times;serif"/>
          <w:sz w:val="20"/>
        </w:rPr>
        <w:t xml:space="preserve"> shall mean this Performance Share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Award</w:t>
      </w:r>
      <w:r>
        <w:rPr>
          <w:rFonts w:ascii="Times New Roman;Times;serif" w:hAnsi="Times New Roman;Times;serif"/>
          <w:sz w:val="20"/>
        </w:rPr>
        <w:t xml:space="preserve"> shall mean the award of Performance Shares made to Participant pursuant to the terms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Award Date</w:t>
      </w:r>
      <w:r>
        <w:rPr>
          <w:rFonts w:ascii="Times New Roman;Times;serif" w:hAnsi="Times New Roman;Times;serif"/>
          <w:sz w:val="20"/>
        </w:rPr>
        <w:t xml:space="preserve"> shall mean the date the Performance Shares are awarded to Participant pursuant to the Agreement and shall be the date specified in Paragraph 1 of the Award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Award Notice</w:t>
      </w:r>
      <w:r>
        <w:rPr>
          <w:rFonts w:ascii="Times New Roman;Times;serif" w:hAnsi="Times New Roman;Times;serif"/>
          <w:sz w:val="20"/>
        </w:rPr>
        <w:t xml:space="preserve"> shall mean the Notice of Award of Performance Shares delivered to Participant in which there is set forth the basic terms of the Performance Shares subject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Cause</w:t>
      </w:r>
      <w:r>
        <w:rPr>
          <w:rFonts w:ascii="Times New Roman;Times;serif" w:hAnsi="Times New Roman;Times;serif"/>
          <w:sz w:val="20"/>
        </w:rPr>
        <w:t xml:space="preserve"> shall have the meaning set forth in the Plan document;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Change in Control</w:t>
      </w:r>
      <w:r>
        <w:rPr>
          <w:rFonts w:ascii="Times New Roman;Times;serif" w:hAnsi="Times New Roman;Times;serif"/>
          <w:sz w:val="20"/>
        </w:rPr>
        <w:t xml:space="preserve"> shall have the meaning set forth in the Plan;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Participant is a party to a Change in Control Benefits Agreement applicable to the Award, the term Change in Control shall have the meaning ascribed to that term in such Change in Control Benefits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Change in Control Benefits Agreement</w:t>
      </w:r>
      <w:r>
        <w:rPr>
          <w:rFonts w:ascii="Times New Roman;Times;serif" w:hAnsi="Times New Roman;Times;serif"/>
          <w:sz w:val="20"/>
        </w:rPr>
        <w:t xml:space="preserve"> shall mean any separate agreement 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Change in Control Shares</w:t>
      </w:r>
      <w:r>
        <w:rPr>
          <w:rFonts w:ascii="Times New Roman;Times;serif" w:hAnsi="Times New Roman;Times;serif"/>
          <w:sz w:val="20"/>
        </w:rPr>
        <w:t xml:space="preserve"> shall mean the number of Shares obtained by multiplying the Vested Percentage by the greater of (i) the number of Designated Shares, or (ii) the number of Performance-Qualified Shares issuable under the Award based on actual performance of the Performance Goal through the date of the Change in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Early Retirement</w:t>
      </w:r>
      <w:r>
        <w:rPr>
          <w:rFonts w:ascii="Times New Roman;Times;serif" w:hAnsi="Times New Roman;Times;serif"/>
          <w:sz w:val="20"/>
        </w:rPr>
        <w:t xml:space="preserve"> shall mean Participant’s retirement from Service, with the prior approval of the Corporation (or the Parent or Subsidiary employing Participant), on or after the attainment of age fifty-five (55) and the completion of at least five (5) years of Service.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APPENDIX</w:t>
      </w:r>
      <w:r>
        <w:rPr>
          <w:rFonts w:ascii="Times New Roman;Times;serif" w:hAnsi="Times New Roman;Times;serif"/>
          <w:sz w:val="20"/>
        </w:rPr>
        <w:t xml:space="preserve"> 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b/>
          <w:sz w:val="20"/>
        </w:rPr>
        <w:t>Good Reason</w:t>
      </w:r>
      <w:r>
        <w:rPr>
          <w:rFonts w:ascii="Times New Roman;Times;serif" w:hAnsi="Times New Roman;Times;serif"/>
          <w:sz w:val="20"/>
        </w:rPr>
        <w:t xml:space="preserve"> shall have the meaning set forth in the Plan; provided however, in the event Participant is at the time of his or her cessation of Employee status a party to a Change in Control Benefits Agreement applicable to the Award evidenced by this Agreement, the term Good Reason shall have the meaning ascribed to that term in such Change in Control Benefits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b/>
          <w:sz w:val="20"/>
        </w:rPr>
        <w:t>Maximum Level Attainment</w:t>
      </w:r>
      <w:r>
        <w:rPr>
          <w:rFonts w:ascii="Times New Roman;Times;serif" w:hAnsi="Times New Roman;Times;serif"/>
          <w:sz w:val="20"/>
        </w:rPr>
        <w:t xml:space="preserve"> shall mean the Corporation’s achievement of the Performance Goal set forth in Schedule I of the Award Notice at the level designated as Maximum Level attainment for that goal.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b/>
          <w:sz w:val="20"/>
        </w:rPr>
        <w:t>Normal Retirement</w:t>
      </w:r>
      <w:r>
        <w:rPr>
          <w:rFonts w:ascii="Times New Roman;Times;serif" w:hAnsi="Times New Roman;Times;serif"/>
          <w:sz w:val="20"/>
        </w:rPr>
        <w:t xml:space="preserve"> shall mean the cessation of Service by reason of retirement at or after the attainment of age sixty-five (65).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b/>
          <w:sz w:val="20"/>
        </w:rPr>
        <w:t>Participant</w:t>
      </w:r>
      <w:r>
        <w:rPr>
          <w:rFonts w:ascii="Times New Roman;Times;serif" w:hAnsi="Times New Roman;Times;serif"/>
          <w:sz w:val="20"/>
        </w:rPr>
        <w:t xml:space="preserve"> shall mean the person to whom the Award is made pursuant to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b/>
          <w:sz w:val="20"/>
        </w:rPr>
        <w:t>Performance Goal</w:t>
      </w:r>
      <w:r>
        <w:rPr>
          <w:rFonts w:ascii="Times New Roman;Times;serif" w:hAnsi="Times New Roman;Times;serif"/>
          <w:sz w:val="20"/>
        </w:rPr>
        <w:t xml:space="preserve"> shall mean the performance goal specified on Schedule I of the Award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b/>
          <w:sz w:val="20"/>
        </w:rPr>
        <w:t>Performance Period</w:t>
      </w:r>
      <w:r>
        <w:rPr>
          <w:rFonts w:ascii="Times New Roman;Times;serif" w:hAnsi="Times New Roman;Times;serif"/>
          <w:sz w:val="20"/>
        </w:rPr>
        <w:t xml:space="preserve"> shall mean the period specified on Schedule I of the Award Notice over which the attainment of the Performance Goal is to be measured.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b/>
          <w:sz w:val="20"/>
        </w:rPr>
        <w:t>Performance-Qualified Shares</w:t>
      </w:r>
      <w:r>
        <w:rPr>
          <w:rFonts w:ascii="Times New Roman;Times;serif" w:hAnsi="Times New Roman;Times;serif"/>
          <w:sz w:val="20"/>
        </w:rPr>
        <w:t xml:space="preserve"> shall mean the maximum number of Shares in which Participant can vest based on the level at which the Performance Goal for the Performance Period is attained and shall be calculated in accordance with the provisions of the Award Notice.  In no event shall the number of such Performance-Qualified Shares exceed two hundred and fifty percent (250%) of the designated number of Performance Shares set forth in the Performance Shares section of the Award Notice.  Each Performance-Qualified Share that vests pursuant to the terms of the Award shall entitle Participant to receive one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b/>
          <w:sz w:val="20"/>
        </w:rPr>
        <w:t>Performance Shares</w:t>
      </w:r>
      <w:r>
        <w:rPr>
          <w:rFonts w:ascii="Times New Roman;Times;serif" w:hAnsi="Times New Roman;Times;serif"/>
          <w:sz w:val="20"/>
        </w:rPr>
        <w:t xml:space="preserve"> shall mean the number of phantom shares of Common Stock awarded under this Agreement that shall be applied to the calculation of the maximum number of Performance-Qualified Shares (if any) based on the level at which the Performance Goal is in fact attained over the applicable Performance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b/>
          <w:sz w:val="20"/>
        </w:rPr>
        <w:t>Plan</w:t>
      </w:r>
      <w:r>
        <w:rPr>
          <w:rFonts w:ascii="Times New Roman;Times;serif" w:hAnsi="Times New Roman;Times;serif"/>
          <w:sz w:val="20"/>
        </w:rPr>
        <w:t xml:space="preserve"> shall mean the Corporation’s 2025 Incentive Compensation Plan, as amended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b/>
          <w:sz w:val="20"/>
        </w:rPr>
        <w:t>Qualifying Change in Control</w:t>
      </w:r>
      <w:r>
        <w:rPr>
          <w:rFonts w:ascii="Times New Roman;Times;serif" w:hAnsi="Times New Roman;Times;serif"/>
          <w:sz w:val="20"/>
        </w:rPr>
        <w:t xml:space="preserve"> shall mean the date on which there occurs a Change in Control that also qualifies 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APPENDIX</w:t>
      </w:r>
      <w:r>
        <w:rPr>
          <w:rFonts w:ascii="Times New Roman;Times;serif" w:hAnsi="Times New Roman;Times;serif"/>
          <w:sz w:val="20"/>
        </w:rPr>
        <w:t xml:space="preserve"> 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w:t>
      </w:r>
      <w:r>
        <w:rPr>
          <w:rFonts w:ascii="Times New Roman;Times;serif" w:hAnsi="Times New Roman;Times;serif"/>
          <w:b/>
          <w:sz w:val="20"/>
        </w:rPr>
        <w:t>Separation from Service</w:t>
      </w:r>
      <w:r>
        <w:rPr>
          <w:rFonts w:ascii="Times New Roman;Times;serif" w:hAnsi="Times New Roman;Times;serif"/>
          <w:sz w:val="20"/>
        </w:rPr>
        <w:t xml:space="preserve"> shall mean the Participant’s cessation of Employee status by 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U.</w:t>
      </w:r>
      <w:r>
        <w:rPr>
          <w:rFonts w:ascii="Times New Roman;Times;serif" w:hAnsi="Times New Roman;Times;serif"/>
          <w:b/>
          <w:sz w:val="20"/>
        </w:rPr>
        <w:t>Service</w:t>
      </w:r>
      <w:r>
        <w:rPr>
          <w:rFonts w:ascii="Times New Roman;Times;serif" w:hAnsi="Times New Roman;Times;serif"/>
          <w:sz w:val="20"/>
        </w:rPr>
        <w:t xml:space="preserve"> shall mean Participant’s performance of services for the Corporation (or any Parent or Subsidiary) in the capacity of an Employee, a non-employee member of the board of directors or a consultant or independent advisor.  In addition, the following provisions shall govern the determination of Participant’s period of Service:</w:t>
      </w:r>
    </w:p>
    <w:p>
      <w:pPr>
        <w:pStyle w:val="TextBody"/>
        <w:bidi w:val="0"/>
        <w:spacing w:before="0" w:after="240"/>
        <w:ind w:left="907" w:right="720" w:firstLine="1440"/>
        <w:jc w:val="both"/>
        <w:rPr>
          <w:rFonts w:ascii="Times New Roman;Times;serif" w:hAnsi="Times New Roman;Times;serif"/>
          <w:sz w:val="20"/>
        </w:rPr>
      </w:pPr>
      <w:r>
        <w:rPr>
          <w:rFonts w:ascii="Times New Roman;Times;serif" w:hAnsi="Times New Roman;Times;serif"/>
          <w:sz w:val="20"/>
        </w:rPr>
        <w:t>(i)Participant shall be deemed to continue in Service for so long as Participant performs services for the Corporation (or any Parent or Subsidiary) in the capacity of an Employee, a non-employee member of the board of directors or a consultant or independent advisor.</w:t>
      </w:r>
    </w:p>
    <w:p>
      <w:pPr>
        <w:pStyle w:val="TextBody"/>
        <w:bidi w:val="0"/>
        <w:spacing w:before="0" w:after="240"/>
        <w:ind w:left="907" w:right="720" w:firstLine="1440"/>
        <w:jc w:val="both"/>
        <w:rPr>
          <w:rFonts w:ascii="Times New Roman;Times;serif" w:hAnsi="Times New Roman;Times;serif"/>
          <w:sz w:val="20"/>
        </w:rPr>
      </w:pPr>
      <w:r>
        <w:rPr>
          <w:rFonts w:ascii="Times New Roman;Times;serif" w:hAnsi="Times New Roman;Times;serif"/>
          <w:sz w:val="20"/>
        </w:rPr>
        <w:t>(ii)Participant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pStyle w:val="TextBody"/>
        <w:bidi w:val="0"/>
        <w:spacing w:before="0" w:after="240"/>
        <w:ind w:left="907" w:right="720" w:firstLine="1440"/>
        <w:jc w:val="both"/>
        <w:rPr>
          <w:rFonts w:ascii="Times New Roman;Times;serif" w:hAnsi="Times New Roman;Times;serif"/>
          <w:sz w:val="20"/>
        </w:rPr>
      </w:pPr>
      <w:r>
        <w:rPr>
          <w:rFonts w:ascii="Times New Roman;Times;serif" w:hAnsi="Times New Roman;Times;serif"/>
          <w:sz w:val="20"/>
        </w:rPr>
        <w:t xml:space="preserve">(iii)Service as an Employee shall not be deemed to cease during a period of military leave, sick leave or other personal leave approved by the Plan Administrator;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following special provisions shall be in effect for any such leave: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APPENDIX</w:t>
      </w:r>
      <w:r>
        <w:rPr>
          <w:rFonts w:ascii="Times New Roman;Times;serif" w:hAnsi="Times New Roman;Times;serif"/>
          <w:sz w:val="20"/>
        </w:rPr>
        <w:t xml:space="preserve"> 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7" w:right="720" w:firstLine="2160"/>
        <w:jc w:val="both"/>
        <w:rPr>
          <w:rFonts w:ascii="Times New Roman;Times;serif" w:hAnsi="Times New Roman;Times;serif"/>
          <w:sz w:val="20"/>
        </w:rPr>
      </w:pPr>
      <w:r>
        <w:rPr>
          <w:rFonts w:ascii="Times New Roman;Times;serif" w:hAnsi="Times New Roman;Times;serif"/>
          <w:sz w:val="20"/>
        </w:rPr>
        <w:t>a)Should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pStyle w:val="TextBody"/>
        <w:bidi w:val="0"/>
        <w:spacing w:before="0" w:after="240"/>
        <w:ind w:left="907" w:right="720" w:firstLine="2160"/>
        <w:jc w:val="both"/>
        <w:rPr>
          <w:rFonts w:ascii="Times New Roman;Times;serif" w:hAnsi="Times New Roman;Times;serif"/>
          <w:sz w:val="20"/>
        </w:rPr>
      </w:pPr>
      <w:r>
        <w:rPr>
          <w:rFonts w:ascii="Times New Roman;Times;serif" w:hAnsi="Times New Roman;Times;serif"/>
          <w:sz w:val="20"/>
        </w:rPr>
        <w:t>b)Should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pStyle w:val="TextBody"/>
        <w:bidi w:val="0"/>
        <w:spacing w:before="0" w:after="240"/>
        <w:ind w:left="907" w:right="720" w:firstLine="2160"/>
        <w:jc w:val="both"/>
        <w:rPr>
          <w:rFonts w:ascii="Times New Roman;Times;serif" w:hAnsi="Times New Roman;Times;serif"/>
          <w:sz w:val="20"/>
        </w:rPr>
      </w:pPr>
      <w:r>
        <w:rPr>
          <w:rFonts w:ascii="Times New Roman;Times;serif" w:hAnsi="Times New Roman;Times;serif"/>
          <w:sz w:val="20"/>
        </w:rPr>
        <w:t>c)Except to the extent otherwise required by law or expressly authorized by the Plan Administrator or by the Corporation’s written policy on leaves of absence, no Service credit shall be given for vesting purposes for any period Participant is on a leave of absence.</w:t>
      </w:r>
    </w:p>
    <w:p>
      <w:pPr>
        <w:pStyle w:val="TextBody"/>
        <w:bidi w:val="0"/>
        <w:spacing w:before="0" w:after="240"/>
        <w:ind w:left="907" w:right="720" w:firstLine="1440"/>
        <w:jc w:val="both"/>
        <w:rPr>
          <w:rFonts w:ascii="Times New Roman;Times;serif" w:hAnsi="Times New Roman;Times;serif"/>
          <w:sz w:val="20"/>
        </w:rPr>
      </w:pPr>
      <w:r>
        <w:rPr>
          <w:rFonts w:ascii="Times New Roman;Times;serif" w:hAnsi="Times New Roman;Times;serif"/>
          <w:sz w:val="20"/>
        </w:rPr>
        <w:t>(iv)Notwithstanding anything to the contrary in the foregoing provisions of this Service definition, the Participant shall in all events be deemed to cease Service for all purposes of this Award immediately upon Participant’s incurrence of a Separation from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b/>
          <w:sz w:val="20"/>
        </w:rPr>
        <w:t>Service Vesting Date</w:t>
      </w:r>
      <w:r>
        <w:rPr>
          <w:rFonts w:ascii="Times New Roman;Times;serif" w:hAnsi="Times New Roman;Times;serif"/>
          <w:sz w:val="20"/>
        </w:rPr>
        <w:t xml:space="preserve"> shall mean the three (3)-year anniversary of the Award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w:t>
      </w:r>
      <w:r>
        <w:rPr>
          <w:rFonts w:ascii="Times New Roman;Times;serif" w:hAnsi="Times New Roman;Times;serif"/>
          <w:b/>
          <w:sz w:val="20"/>
        </w:rPr>
        <w:t>Shares</w:t>
      </w:r>
      <w:r>
        <w:rPr>
          <w:rFonts w:ascii="Times New Roman;Times;serif" w:hAnsi="Times New Roman;Times;serif"/>
          <w:sz w:val="20"/>
        </w:rPr>
        <w:t xml:space="preserve"> shall mean the shares of Common Stock which may vest and become issuable under the Award pursuant to the terms of this Agreement and the Award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b/>
          <w:sz w:val="20"/>
        </w:rPr>
        <w:t>Target Level Attainment</w:t>
      </w:r>
      <w:r>
        <w:rPr>
          <w:rFonts w:ascii="Times New Roman;Times;serif" w:hAnsi="Times New Roman;Times;serif"/>
          <w:sz w:val="20"/>
        </w:rPr>
        <w:t xml:space="preserve"> shall mean the Corporation’s achievement of the Performance Goal set forth in Schedule I to the Award Notice at the level designated as Target Level attainment for that goal.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w:t>
      </w:r>
      <w:r>
        <w:rPr>
          <w:rFonts w:ascii="Times New Roman;Times;serif" w:hAnsi="Times New Roman;Times;serif"/>
          <w:b/>
          <w:sz w:val="20"/>
        </w:rPr>
        <w:t>Vested Percentage</w:t>
      </w:r>
      <w:r>
        <w:rPr>
          <w:rFonts w:ascii="Times New Roman;Times;serif" w:hAnsi="Times New Roman;Times;serif"/>
          <w:sz w:val="20"/>
        </w:rPr>
        <w:t xml:space="preserve"> shall mean (i) fifty percent (50%) if the Change in Control is consummated during the first eighteen (18) months of the Performance Period and (ii) one hundred percent (100%) if the Change in Control is consummated after the first eighteen (18) months of the Performance Period, but prior to the completion of the Performance Period.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APPENDIX</w:t>
      </w:r>
      <w:r>
        <w:rPr>
          <w:rFonts w:ascii="Times New Roman;Times;serif" w:hAnsi="Times New Roman;Times;serif"/>
          <w:sz w:val="20"/>
        </w:rPr>
        <w:t xml:space="preserve"> 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APPENDIX B</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ILLUSTRATION OF VESTING CALCULATIONS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examples are for illustration purposes only: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Participant receives an Award for 100 Shares at Target Level and Participant continues in Service until the expiration of the requisite three (3)-year Service vesting period. If the Performance Goal is attained at the Target Level, Participant shall vest in 100 Shares upon the Service Vesting Date.  If the Performance Goal is attained at the Maximum Level, Participant shall vest in an additional 150 Shares for a total of 250 Shares following the completion of the Performance Period upon the Service Vesting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Participant receives an Award for 100 Shares at Target Level and Participant ceases Service due to Permanent Disability halfway through the Performance Period.  If the Performance Goal is attained at the Target Level, Participant shall vest in 50 of the Shares following the completion of the Performance Period.  On the other hand, if the Performance Goal is attained at the Maximum Level, Participant shall vest, following the completion of the Performance Period, in an additional 75 Shares for a total of 125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Participant receives an Award for 100 Shares at Target Level and Participant continues in Service until the Service Vesting Date.   If the Performance Goal is attained at a point halfway between the Threshold and Target Levels, Participant would vest in 63 of the Shares following the completion of the Performance Period upon the Service Vesting Date.  On the other hand, if the Performance Goal is attained at a point halfway between the Target and Maximum Levels, Participant would vest in 175 of the Shares following the completion of the Performance Period upon the Service Vesting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 Participant receives an Award for 100 Shares at Target Level and Participant ceases Service due to Permanent Disability halfway through the Performance Period.  If the Performance Goal is attained at a point halfway between the Threshold and Target Levels, Participant would vest in 32 of the Shares following the completion of the Performance Period.  On the other hand, if the Performance Goal is attained at a point halfway between the Target and Maximum Levels, Participant would vest in 88 of the Shares following the completion of the Performance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APPENDIX</w:t>
      </w:r>
      <w:r>
        <w:rPr>
          <w:rFonts w:ascii="Times New Roman;Times;serif" w:hAnsi="Times New Roman;Times;serif"/>
          <w:sz w:val="20"/>
        </w:rPr>
        <w:t xml:space="preserve"> B</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84" w:name="matx-20250630xex10d8.htm"/>
      <w:bookmarkStart w:id="1485" w:name="ksmatx20250630xex10d8"/>
      <w:bookmarkEnd w:id="1484"/>
      <w:bookmarkEnd w:id="1485"/>
      <w:r>
        <w:rPr>
          <w:rFonts w:ascii="Times New Roman;Times;serif" w:hAnsi="Times New Roman;Times;serif"/>
          <w:b/>
          <w:sz w:val="20"/>
        </w:rPr>
        <w:t>Exhibit 10.8</w:t>
      </w:r>
      <w:r>
        <w:br w:type="page"/>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Share Award Package – Executives, TSR metric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EXECUTIVE NOTICE OF AWARD OF PERFORMANCE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Corporation hereby awards to Participant, as of the Award Date indicated below, an award (the “Award”) of Performance Shares under the Corporation’s 2025 Incentive Compensation Plan (as amended from time to time, the “Plan”).  Each Performance Share represents the right to receive one or more shares of Common Stock on the applicable issuance date following the vesting of that Performance Share.  The number of Performance Shares subject to this Award and the applicable performance vesting requirements for those Performance Shares and the underlying shares are set forth below. The remaining terms and conditions governing the Award, including the applicable service vesting requirements and the applicable issuance date or dates for the shares of Common Stock that vest under the Award, shall be as set forth in the form Performance Share Award Agreement for Awards with combined performance and service vesting requirements.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AWARD SUMMARY</w:t>
      </w:r>
    </w:p>
    <w:tbl>
      <w:tblPr>
        <w:tblW w:w="10205" w:type="dxa"/>
        <w:jc w:val="center"/>
        <w:tblInd w:w="0" w:type="dxa"/>
        <w:tblLayout w:type="fixed"/>
        <w:tblCellMar>
          <w:top w:w="0" w:type="dxa"/>
          <w:left w:w="0" w:type="dxa"/>
          <w:bottom w:w="0" w:type="dxa"/>
          <w:right w:w="0" w:type="dxa"/>
        </w:tblCellMar>
      </w:tblPr>
      <w:tblGrid>
        <w:gridCol w:w="1215"/>
        <w:gridCol w:w="2066"/>
        <w:gridCol w:w="2040"/>
        <w:gridCol w:w="2040"/>
        <w:gridCol w:w="2844"/>
      </w:tblGrid>
      <w:tr>
        <w:trPr/>
        <w:tc>
          <w:tcPr>
            <w:tcW w:w="1215"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Participant</w:t>
            </w:r>
          </w:p>
        </w:tc>
        <w:tc>
          <w:tcPr>
            <w:tcW w:w="8990" w:type="dxa"/>
            <w:gridSpan w:val="4"/>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w:t>
            </w:r>
          </w:p>
        </w:tc>
      </w:tr>
      <w:tr>
        <w:trPr/>
        <w:tc>
          <w:tcPr>
            <w:tcW w:w="1215" w:type="dxa"/>
            <w:tcBorders/>
            <w:vAlign w:val="center"/>
          </w:tcPr>
          <w:p>
            <w:pPr>
              <w:pStyle w:val="TableContents"/>
              <w:bidi w:val="0"/>
              <w:spacing w:before="0" w:after="0"/>
              <w:ind w:left="0" w:right="0" w:hanging="0"/>
              <w:jc w:val="both"/>
              <w:rPr/>
            </w:pPr>
            <w:r>
              <w:rPr/>
              <w:t>​</w:t>
            </w:r>
          </w:p>
        </w:tc>
        <w:tc>
          <w:tcPr>
            <w:tcW w:w="8990" w:type="dxa"/>
            <w:gridSpan w:val="4"/>
            <w:tcBorders/>
            <w:vAlign w:val="center"/>
          </w:tcPr>
          <w:p>
            <w:pPr>
              <w:pStyle w:val="TableContents"/>
              <w:bidi w:val="0"/>
              <w:spacing w:before="0" w:after="0"/>
              <w:ind w:left="0" w:right="0" w:hanging="0"/>
              <w:jc w:val="both"/>
              <w:rPr/>
            </w:pPr>
            <w:r>
              <w:rPr/>
              <w:t>​</w:t>
            </w:r>
          </w:p>
        </w:tc>
      </w:tr>
      <w:tr>
        <w:trPr/>
        <w:tc>
          <w:tcPr>
            <w:tcW w:w="1215"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Award Date:</w:t>
            </w:r>
          </w:p>
        </w:tc>
        <w:tc>
          <w:tcPr>
            <w:tcW w:w="8990" w:type="dxa"/>
            <w:gridSpan w:val="4"/>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w:t>
            </w:r>
          </w:p>
        </w:tc>
      </w:tr>
      <w:tr>
        <w:trPr/>
        <w:tc>
          <w:tcPr>
            <w:tcW w:w="1215" w:type="dxa"/>
            <w:tcBorders/>
            <w:vAlign w:val="center"/>
          </w:tcPr>
          <w:p>
            <w:pPr>
              <w:pStyle w:val="TableContents"/>
              <w:bidi w:val="0"/>
              <w:spacing w:before="0" w:after="0"/>
              <w:ind w:left="0" w:right="0" w:hanging="0"/>
              <w:jc w:val="left"/>
              <w:rPr/>
            </w:pPr>
            <w:r>
              <w:rPr/>
              <w:t>​</w:t>
            </w:r>
          </w:p>
        </w:tc>
        <w:tc>
          <w:tcPr>
            <w:tcW w:w="8990" w:type="dxa"/>
            <w:gridSpan w:val="4"/>
            <w:tcBorders/>
            <w:vAlign w:val="center"/>
          </w:tcPr>
          <w:p>
            <w:pPr>
              <w:pStyle w:val="TableContents"/>
              <w:bidi w:val="0"/>
              <w:spacing w:before="0" w:after="0"/>
              <w:ind w:left="0" w:right="0" w:hanging="0"/>
              <w:jc w:val="both"/>
              <w:rPr/>
            </w:pPr>
            <w:r>
              <w:rPr/>
              <w:t>​</w:t>
            </w:r>
          </w:p>
        </w:tc>
      </w:tr>
      <w:tr>
        <w:trPr/>
        <w:tc>
          <w:tcPr>
            <w:tcW w:w="1215" w:type="dxa"/>
            <w:tcBorders/>
            <w:vAlign w:val="center"/>
          </w:tcPr>
          <w:p>
            <w:pPr>
              <w:pStyle w:val="TableContents"/>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Performance Shares:</w:t>
            </w:r>
          </w:p>
        </w:tc>
        <w:tc>
          <w:tcPr>
            <w:tcW w:w="8990" w:type="dxa"/>
            <w:gridSpan w:val="4"/>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number of shares of Common Stock issuable pursuant to the Award shall be determined in accordance with the Vesting Schedule below. For purposes of the percentage calculations set forth in the performance vesting section of such schedule, the number of shares of Common Stock to be utilized is </w:t>
            </w:r>
            <w:r>
              <w:rPr>
                <w:rFonts w:ascii="Times New Roman;Times;serif" w:hAnsi="Times New Roman;Times;serif"/>
                <w:b/>
                <w:sz w:val="20"/>
              </w:rPr>
              <w:t xml:space="preserve">[____] </w:t>
            </w:r>
            <w:r>
              <w:rPr>
                <w:rFonts w:ascii="Times New Roman;Times;serif" w:hAnsi="Times New Roman;Times;serif"/>
                <w:sz w:val="20"/>
              </w:rPr>
              <w:t>shares (the “Performance Shares”). The specific number of Performance Shares set forth in this paragraph shall be referred to as the “Designated Shares”.</w:t>
            </w:r>
          </w:p>
        </w:tc>
      </w:tr>
      <w:tr>
        <w:trPr/>
        <w:tc>
          <w:tcPr>
            <w:tcW w:w="1215" w:type="dxa"/>
            <w:tcBorders/>
            <w:vAlign w:val="center"/>
          </w:tcPr>
          <w:p>
            <w:pPr>
              <w:pStyle w:val="TableContents"/>
              <w:bidi w:val="0"/>
              <w:spacing w:before="0" w:after="0"/>
              <w:ind w:left="0" w:right="0" w:hanging="0"/>
              <w:jc w:val="left"/>
              <w:rPr/>
            </w:pPr>
            <w:r>
              <w:rPr/>
              <w:t>​</w:t>
            </w:r>
          </w:p>
        </w:tc>
        <w:tc>
          <w:tcPr>
            <w:tcW w:w="8990" w:type="dxa"/>
            <w:gridSpan w:val="4"/>
            <w:tcBorders/>
            <w:vAlign w:val="center"/>
          </w:tcPr>
          <w:p>
            <w:pPr>
              <w:pStyle w:val="TableContents"/>
              <w:bidi w:val="0"/>
              <w:spacing w:before="0" w:after="0"/>
              <w:ind w:left="0" w:right="0" w:hanging="0"/>
              <w:jc w:val="left"/>
              <w:rPr/>
            </w:pPr>
            <w:r>
              <w:rPr/>
              <w:t>​</w:t>
            </w:r>
          </w:p>
        </w:tc>
      </w:tr>
      <w:tr>
        <w:trPr/>
        <w:tc>
          <w:tcPr>
            <w:tcW w:w="1215"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Vesting Schedule:</w:t>
            </w:r>
          </w:p>
        </w:tc>
        <w:tc>
          <w:tcPr>
            <w:tcW w:w="8990" w:type="dxa"/>
            <w:gridSpan w:val="4"/>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shares of Common Stock which may actually vest and become issuable pursuant to the Award shall be determined pursuant to a two-step process: (i) first there shall be calculated the maximum number of shares of Common Stock in which Participant can vest under the performance vesting section below based upon the actual level at which the Performance Goal specified on attached Schedule I is attained and (ii) then the number of shares calculated under clause (i) in which Participant may actually vest shall be determined on the basis of his or her satisfaction of the applicable Service vesting requirements set forth in the form Performance Share Award Agreement.</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Performance Vesting</w:t>
            </w:r>
            <w:r>
              <w:rPr>
                <w:rFonts w:ascii="Times New Roman;Times;serif" w:hAnsi="Times New Roman;Times;serif"/>
                <w:sz w:val="20"/>
              </w:rPr>
              <w:t>:  Attached Schedule I specifies the Performance Goal and Performance Period established for the Award.</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Performance Goal</w:t>
            </w:r>
            <w:r>
              <w:rPr>
                <w:rFonts w:ascii="Times New Roman;Times;serif" w:hAnsi="Times New Roman;Times;serif"/>
                <w:sz w:val="20"/>
              </w:rPr>
              <w:t xml:space="preserve">:  There are three designated levels of attainment set forth in Schedule I for the Performance Goal: Threshold, Target and Maximum.  Following the completion of the Performance Period, the Plan Administrator shall determine and certify the actual level of attainment for the Performance </w:t>
            </w:r>
          </w:p>
        </w:tc>
      </w:tr>
      <w:tr>
        <w:trPr/>
        <w:tc>
          <w:tcPr>
            <w:tcW w:w="1215" w:type="dxa"/>
            <w:tcBorders/>
            <w:vAlign w:val="center"/>
          </w:tcPr>
          <w:p>
            <w:pPr>
              <w:pStyle w:val="TableContents"/>
              <w:bidi w:val="0"/>
              <w:spacing w:before="0" w:after="0"/>
              <w:ind w:left="0" w:right="0" w:hanging="0"/>
              <w:jc w:val="left"/>
              <w:rPr/>
            </w:pPr>
            <w:r>
              <w:rPr/>
              <w:t>​</w:t>
            </w:r>
          </w:p>
        </w:tc>
        <w:tc>
          <w:tcPr>
            <w:tcW w:w="2066" w:type="dxa"/>
            <w:tcBorders/>
            <w:vAlign w:val="center"/>
          </w:tcPr>
          <w:p>
            <w:pPr>
              <w:pStyle w:val="TableContents"/>
              <w:bidi w:val="0"/>
              <w:spacing w:before="0" w:after="0"/>
              <w:ind w:left="0" w:right="0" w:hanging="0"/>
              <w:jc w:val="left"/>
              <w:rPr/>
            </w:pPr>
            <w:r>
              <w:rPr/>
              <w:t>​</w:t>
            </w:r>
          </w:p>
        </w:tc>
        <w:tc>
          <w:tcPr>
            <w:tcW w:w="2040" w:type="dxa"/>
            <w:tcBorders/>
            <w:vAlign w:val="center"/>
          </w:tcPr>
          <w:p>
            <w:pPr>
              <w:pStyle w:val="TableContents"/>
              <w:bidi w:val="0"/>
              <w:spacing w:before="0" w:after="0"/>
              <w:ind w:left="0" w:right="0" w:hanging="0"/>
              <w:jc w:val="left"/>
              <w:rPr/>
            </w:pPr>
            <w:r>
              <w:rPr/>
              <w:t>​</w:t>
            </w:r>
          </w:p>
        </w:tc>
        <w:tc>
          <w:tcPr>
            <w:tcW w:w="2040" w:type="dxa"/>
            <w:tcBorders/>
            <w:vAlign w:val="center"/>
          </w:tcPr>
          <w:p>
            <w:pPr>
              <w:pStyle w:val="TableContents"/>
              <w:bidi w:val="0"/>
              <w:spacing w:before="0" w:after="0"/>
              <w:ind w:left="0" w:right="0" w:hanging="0"/>
              <w:jc w:val="left"/>
              <w:rPr/>
            </w:pPr>
            <w:r>
              <w:rPr/>
              <w:t>​</w:t>
            </w:r>
          </w:p>
        </w:tc>
        <w:tc>
          <w:tcPr>
            <w:tcW w:w="284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24"/>
        <w:gridCol w:w="4016"/>
        <w:gridCol w:w="704"/>
        <w:gridCol w:w="5026"/>
        <w:gridCol w:w="335"/>
      </w:tblGrid>
      <w:tr>
        <w:trPr/>
        <w:tc>
          <w:tcPr>
            <w:tcW w:w="124" w:type="dxa"/>
            <w:tcBorders/>
            <w:vAlign w:val="center"/>
          </w:tcPr>
          <w:p>
            <w:pPr>
              <w:pStyle w:val="TableContents"/>
              <w:bidi w:val="0"/>
              <w:spacing w:before="0" w:after="0"/>
              <w:ind w:left="0" w:right="0" w:hanging="0"/>
              <w:jc w:val="left"/>
              <w:rPr/>
            </w:pPr>
            <w:r>
              <w:rPr/>
              <w:t>​</w:t>
            </w:r>
          </w:p>
        </w:tc>
        <w:tc>
          <w:tcPr>
            <w:tcW w:w="10081" w:type="dxa"/>
            <w:gridSpan w:val="4"/>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Goal and shall then measure that level of attainment against the Threshold, Target and Maximum Levels set forth for that Performance Goal in attached Schedule I.  The Plan Administrator generally expects to complete this determination within sixty (60) days after the end of the Performance Period. The maximum number of shares of Common Stock in which Participant can vest based upon the actual level of attainment of such Performance Goal shall initially be determined by applying the corresponding percentage below for that level of attainment to the number of Designated Shares set forth above:</w:t>
            </w:r>
          </w:p>
        </w:tc>
      </w:tr>
      <w:tr>
        <w:trPr/>
        <w:tc>
          <w:tcPr>
            <w:tcW w:w="124" w:type="dxa"/>
            <w:tcBorders/>
            <w:vAlign w:val="center"/>
          </w:tcPr>
          <w:p>
            <w:pPr>
              <w:pStyle w:val="TableContents"/>
              <w:bidi w:val="0"/>
              <w:spacing w:before="0" w:after="0"/>
              <w:ind w:left="0" w:right="0" w:hanging="0"/>
              <w:jc w:val="left"/>
              <w:rPr/>
            </w:pPr>
            <w:r>
              <w:rPr/>
              <w:t>​</w:t>
            </w:r>
          </w:p>
        </w:tc>
        <w:tc>
          <w:tcPr>
            <w:tcW w:w="4016"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Level of Attainment</w:t>
            </w:r>
          </w:p>
        </w:tc>
        <w:tc>
          <w:tcPr>
            <w:tcW w:w="704" w:type="dxa"/>
            <w:tcBorders/>
            <w:vAlign w:val="center"/>
          </w:tcPr>
          <w:p>
            <w:pPr>
              <w:pStyle w:val="TableContents"/>
              <w:bidi w:val="0"/>
              <w:spacing w:before="0" w:after="0"/>
              <w:ind w:left="0" w:right="0" w:hanging="0"/>
              <w:jc w:val="left"/>
              <w:rPr/>
            </w:pPr>
            <w:r>
              <w:rPr/>
              <w:t>    </w:t>
            </w:r>
          </w:p>
        </w:tc>
        <w:tc>
          <w:tcPr>
            <w:tcW w:w="5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Percentage of Performance Shares</w:t>
            </w:r>
          </w:p>
        </w:tc>
        <w:tc>
          <w:tcPr>
            <w:tcW w:w="3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the Threshold Level:</w:t>
            </w:r>
          </w:p>
        </w:tc>
        <w:tc>
          <w:tcPr>
            <w:tcW w:w="704"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3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the Threshold Level:</w:t>
            </w:r>
          </w:p>
        </w:tc>
        <w:tc>
          <w:tcPr>
            <w:tcW w:w="704"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the Target Level:</w:t>
            </w:r>
          </w:p>
        </w:tc>
        <w:tc>
          <w:tcPr>
            <w:tcW w:w="704"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the Maximum Level:</w:t>
            </w:r>
          </w:p>
        </w:tc>
        <w:tc>
          <w:tcPr>
            <w:tcW w:w="704"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3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6"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center"/>
              <w:rPr/>
            </w:pPr>
            <w:r>
              <w:rPr/>
              <w:t>​</w:t>
            </w:r>
          </w:p>
        </w:tc>
        <w:tc>
          <w:tcPr>
            <w:tcW w:w="3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4"/>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extent the actual level of attainment of the Performance Goal is at a point between the Threshold and Target Levels, the maximum number of shares of Common Stock in which Participant can vest shall be interpolated between the two points on a straight line basis.</w:t>
            </w:r>
          </w:p>
          <w:p>
            <w:pPr>
              <w:pStyle w:val="TableContents"/>
              <w:pBdr/>
              <w:bidi w:val="0"/>
              <w:spacing w:before="0" w:after="240"/>
              <w:ind w:left="0" w:right="0" w:hanging="18"/>
              <w:jc w:val="both"/>
              <w:rPr>
                <w:rFonts w:ascii="Times New Roman;Times;serif" w:hAnsi="Times New Roman;Times;serif"/>
                <w:sz w:val="20"/>
              </w:rPr>
            </w:pPr>
            <w:r>
              <w:rPr>
                <w:rFonts w:ascii="Times New Roman;Times;serif" w:hAnsi="Times New Roman;Times;serif"/>
                <w:sz w:val="20"/>
              </w:rPr>
              <w:t>To the extent the actual level of attainment of a Performance Goal is at a point between the Target and Maximum Levels, the maximum number of shares of Common Stock in which Participant can vest shall be interpolated between the two points on a straight line basis.</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Performance-Qualified Shares</w:t>
            </w:r>
            <w:r>
              <w:rPr>
                <w:rFonts w:ascii="Times New Roman;Times;serif" w:hAnsi="Times New Roman;Times;serif"/>
                <w:sz w:val="20"/>
              </w:rPr>
              <w:t>:  The maximum number of shares of Common Stock in which Participant can vest on the basis of the foregoing performance measures shall be hereinafter designated the “Performance-Qualified Shares” and shall in no event exceed in the aggregate 250% of the number of Designated Shares set forth in the Number of Shares Subject to Award section above.</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Service Vesting.  </w:t>
            </w:r>
            <w:r>
              <w:rPr>
                <w:rFonts w:ascii="Times New Roman;Times;serif" w:hAnsi="Times New Roman;Times;serif"/>
                <w:sz w:val="20"/>
              </w:rPr>
              <w:t xml:space="preserve">The number of Performance-Qualified Shares in which Participant actually vests shall be determined on the basis of his or her satisfaction of the Service-vesting requirements set forth in Paragraph 3 of the form Performance Share Award Agreement attached hereto as </w:t>
            </w:r>
            <w:r>
              <w:rPr>
                <w:rFonts w:ascii="Times New Roman;Times;serif" w:hAnsi="Times New Roman;Times;serif"/>
                <w:sz w:val="20"/>
                <w:u w:val="single"/>
              </w:rPr>
              <w:t>Exhibit A</w:t>
            </w:r>
            <w:r>
              <w:rPr>
                <w:rFonts w:ascii="Times New Roman;Times;serif" w:hAnsi="Times New Roman;Times;serif"/>
                <w:sz w:val="20"/>
              </w:rPr>
              <w:t xml:space="preserve"> (the “Award Agreement”).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Participant agrees to electronic delivery of any and all communications relating to the Award, the Award Agreement or the Plan, including but not limited to documentation of the Award, the official prospectus for the Plan, and any and all other documents and materials relating to the Award, the Award Agreement or the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Coverage under Recoupment Policy</w:t>
      </w:r>
      <w:r>
        <w:rPr>
          <w:rFonts w:ascii="Times New Roman;Times;serif" w:hAnsi="Times New Roman;Times;serif"/>
          <w:sz w:val="20"/>
        </w:rPr>
        <w:t>. Participant hereby agrees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Participant is subject to the Matson, Inc. Policy Regarding Recoupment of Certain Compensation, as it may be amended from time to time, the terms of which are hereby incorporated herein by reference;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incentive compensation that is paid or granted to, or received by, Participant under the Award shall be subject to recovery and recoupment pursuant to the terms of such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copy of the recoupment policy is available upon request made to the Corporate Secretary.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Continuing Consent</w:t>
      </w:r>
      <w:r>
        <w:rPr>
          <w:rFonts w:ascii="Times New Roman;Times;serif" w:hAnsi="Times New Roman;Times;serif"/>
          <w:sz w:val="20"/>
        </w:rPr>
        <w:t>. Participant further acknowledges and agrees that, except to the extent the Plan Administrator notifies Participant in writing to the contrary, each subsequent award of Performance Shares made to him or her under the Plan shall be subject to the same terms and conditions set forth in the Award Agreement, and Participant hereby understands and agrees to those terms and conditions for each such subsequent Performance Shares award that may be made to him or her under the Plan and hereby agrees to be bound by those terms and conditions for any such Performance Share awards, without any further consent or action required on his or her part at the time or times when those awards may be made.  However, Participant may, at any time he or she holds an outstanding Performance Share award under the Plan, request a written copy of the Award Agreement from the Corporation by contacting the Corporation’s Human Resources Department.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Employment at Will</w:t>
      </w:r>
      <w:r>
        <w:rPr>
          <w:rFonts w:ascii="Times New Roman;Times;serif" w:hAnsi="Times New Roman;Times;serif"/>
          <w:sz w:val="20"/>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Definitions</w:t>
      </w:r>
      <w:r>
        <w:rPr>
          <w:rFonts w:ascii="Times New Roman;Times;serif" w:hAnsi="Times New Roman;Times;serif"/>
          <w:sz w:val="20"/>
        </w:rPr>
        <w:t>.  All capitalized terms in this Notice shall have the meaning assigned to them in this Notice or in the Award Agreement.</w:t>
      </w:r>
    </w:p>
    <w:tbl>
      <w:tblPr>
        <w:tblW w:w="2166" w:type="dxa"/>
        <w:jc w:val="center"/>
        <w:tblInd w:w="0" w:type="dxa"/>
        <w:tblLayout w:type="fixed"/>
        <w:tblCellMar>
          <w:top w:w="0" w:type="dxa"/>
          <w:left w:w="0" w:type="dxa"/>
          <w:bottom w:w="0" w:type="dxa"/>
          <w:right w:w="0" w:type="dxa"/>
        </w:tblCellMar>
      </w:tblPr>
      <w:tblGrid>
        <w:gridCol w:w="124"/>
        <w:gridCol w:w="556"/>
        <w:gridCol w:w="1486"/>
      </w:tblGrid>
      <w:tr>
        <w:trPr/>
        <w:tc>
          <w:tcPr>
            <w:tcW w:w="124" w:type="dxa"/>
            <w:tcBorders/>
            <w:vAlign w:val="center"/>
          </w:tcPr>
          <w:p>
            <w:pPr>
              <w:pStyle w:val="TableContents"/>
              <w:bidi w:val="0"/>
              <w:spacing w:before="0" w:after="0"/>
              <w:ind w:left="0" w:right="0" w:hanging="0"/>
              <w:jc w:val="left"/>
              <w:rPr/>
            </w:pPr>
            <w:r>
              <w:rPr/>
              <w:t>​</w:t>
            </w:r>
          </w:p>
        </w:tc>
        <w:tc>
          <w:tcPr>
            <w:tcW w:w="20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MATSON, INC.</w:t>
            </w:r>
          </w:p>
        </w:tc>
      </w:tr>
      <w:tr>
        <w:trPr/>
        <w:tc>
          <w:tcPr>
            <w:tcW w:w="124" w:type="dxa"/>
            <w:tcBorders/>
            <w:vAlign w:val="center"/>
          </w:tcPr>
          <w:p>
            <w:pPr>
              <w:pStyle w:val="TableContents"/>
              <w:bidi w:val="0"/>
              <w:spacing w:before="0" w:after="0"/>
              <w:ind w:left="0" w:right="0" w:hanging="0"/>
              <w:jc w:val="left"/>
              <w:rPr/>
            </w:pPr>
            <w:r>
              <w:rPr/>
              <w:t>​</w:t>
            </w:r>
          </w:p>
        </w:tc>
        <w:tc>
          <w:tcPr>
            <w:tcW w:w="20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PARTICIPANT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SCHEDULE 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PERFORMANCE PERIOD, PERFORMANCE GOAL</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AND LEVELS OF ATTAINMENT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PERIOD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Performance Period shall be the three (3)-year period beginning January 1, 20xx and ending December 31, 20xx.</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GOAL – TSR</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number of shares which are to vest shall be based on the level of attainment for the percentile level at which the total shareholder return (“TSR”) to the Corporation’s shareholders over the Performance Period stands relative to the TSR realized for that period by the companies comprising the S&amp;P Transportation Select Industry Index and S&amp;P MidCap 400 Index as follows:</w:t>
      </w:r>
    </w:p>
    <w:tbl>
      <w:tblPr>
        <w:tblW w:w="4757" w:type="dxa"/>
        <w:jc w:val="center"/>
        <w:tblInd w:w="0" w:type="dxa"/>
        <w:tblLayout w:type="fixed"/>
        <w:tblCellMar>
          <w:top w:w="28" w:type="dxa"/>
          <w:left w:w="28" w:type="dxa"/>
          <w:bottom w:w="28" w:type="dxa"/>
          <w:right w:w="28" w:type="dxa"/>
        </w:tblCellMar>
      </w:tblPr>
      <w:tblGrid>
        <w:gridCol w:w="2401"/>
        <w:gridCol w:w="2356"/>
      </w:tblGrid>
      <w:tr>
        <w:trPr/>
        <w:tc>
          <w:tcPr>
            <w:tcW w:w="24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40" w:after="40"/>
              <w:ind w:left="0" w:right="0" w:hanging="0"/>
              <w:jc w:val="center"/>
              <w:rPr>
                <w:rFonts w:ascii="Times New Roman;Times;serif" w:hAnsi="Times New Roman;Times;serif"/>
                <w:b/>
                <w:sz w:val="20"/>
              </w:rPr>
            </w:pPr>
            <w:r>
              <w:rPr>
                <w:rFonts w:ascii="Times New Roman;Times;serif" w:hAnsi="Times New Roman;Times;serif"/>
                <w:b/>
                <w:sz w:val="20"/>
              </w:rPr>
              <w:t>Relative TSR Performance</w:t>
            </w:r>
          </w:p>
        </w:tc>
        <w:tc>
          <w:tcPr>
            <w:tcW w:w="23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40" w:after="40"/>
              <w:ind w:left="0" w:right="0" w:hanging="0"/>
              <w:jc w:val="center"/>
              <w:rPr>
                <w:rFonts w:ascii="Times New Roman;Times;serif" w:hAnsi="Times New Roman;Times;serif"/>
                <w:b/>
                <w:sz w:val="20"/>
              </w:rPr>
            </w:pPr>
            <w:r>
              <w:rPr>
                <w:rFonts w:ascii="Times New Roman;Times;serif" w:hAnsi="Times New Roman;Times;serif"/>
                <w:b/>
                <w:sz w:val="20"/>
              </w:rPr>
              <w:t>Level of Attainment</w:t>
            </w:r>
          </w:p>
        </w:tc>
      </w:tr>
      <w:tr>
        <w:trPr/>
        <w:tc>
          <w:tcPr>
            <w:tcW w:w="2401"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u w:val="single"/>
              </w:rPr>
              <w:t>&gt;</w:t>
            </w:r>
            <w:r>
              <w:rPr>
                <w:rFonts w:ascii="Times New Roman;Times;serif" w:hAnsi="Times New Roman;Times;serif"/>
                <w:sz w:val="20"/>
              </w:rPr>
              <w:t>75th percentile</w:t>
            </w:r>
          </w:p>
        </w:tc>
        <w:tc>
          <w:tcPr>
            <w:tcW w:w="2356"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Maximum Level</w:t>
            </w:r>
          </w:p>
        </w:tc>
      </w:tr>
      <w:tr>
        <w:trPr/>
        <w:tc>
          <w:tcPr>
            <w:tcW w:w="2401" w:type="dxa"/>
            <w:tcBorders>
              <w:left w:val="single" w:sz="2" w:space="0" w:color="000000"/>
              <w:right w:val="single" w:sz="2" w:space="0" w:color="000000"/>
            </w:tcBorders>
            <w:tcMar>
              <w:top w:w="0" w:type="dxa"/>
              <w:bottom w:w="0" w:type="dxa"/>
            </w:tcMar>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50th percentile</w:t>
            </w:r>
          </w:p>
        </w:tc>
        <w:tc>
          <w:tcPr>
            <w:tcW w:w="2356" w:type="dxa"/>
            <w:tcBorders>
              <w:left w:val="single" w:sz="2" w:space="0" w:color="000000"/>
              <w:right w:val="single" w:sz="2" w:space="0" w:color="000000"/>
            </w:tcBorders>
            <w:tcMar>
              <w:top w:w="0" w:type="dxa"/>
              <w:bottom w:w="0" w:type="dxa"/>
            </w:tcMar>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Target Level</w:t>
            </w:r>
          </w:p>
        </w:tc>
      </w:tr>
      <w:tr>
        <w:trPr/>
        <w:tc>
          <w:tcPr>
            <w:tcW w:w="2401" w:type="dxa"/>
            <w:tcBorders>
              <w:left w:val="single" w:sz="2" w:space="0" w:color="000000"/>
              <w:right w:val="single" w:sz="2" w:space="0" w:color="000000"/>
            </w:tcBorders>
            <w:tcMar>
              <w:top w:w="0" w:type="dxa"/>
              <w:bottom w:w="0" w:type="dxa"/>
            </w:tcMar>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25th percentile</w:t>
            </w:r>
          </w:p>
        </w:tc>
        <w:tc>
          <w:tcPr>
            <w:tcW w:w="2356" w:type="dxa"/>
            <w:tcBorders>
              <w:left w:val="single" w:sz="2" w:space="0" w:color="000000"/>
              <w:right w:val="single" w:sz="2" w:space="0" w:color="000000"/>
            </w:tcBorders>
            <w:tcMar>
              <w:top w:w="0" w:type="dxa"/>
              <w:bottom w:w="0" w:type="dxa"/>
            </w:tcMar>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Threshold Level</w:t>
            </w:r>
          </w:p>
        </w:tc>
      </w:tr>
      <w:tr>
        <w:trPr/>
        <w:tc>
          <w:tcPr>
            <w:tcW w:w="240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40" w:after="40"/>
              <w:ind w:left="0" w:right="0" w:hanging="0"/>
              <w:jc w:val="center"/>
              <w:rPr>
                <w:rFonts w:ascii="Times New Roman;Times;serif" w:hAnsi="Times New Roman;Times;serif"/>
                <w:sz w:val="20"/>
                <w:u w:val="single"/>
              </w:rPr>
            </w:pPr>
            <w:r>
              <w:rPr>
                <w:rFonts w:ascii="Times New Roman;Times;serif" w:hAnsi="Times New Roman;Times;serif"/>
                <w:sz w:val="20"/>
                <w:u w:val="single"/>
              </w:rPr>
              <w:t>&lt;25th percentile</w:t>
            </w:r>
          </w:p>
        </w:tc>
        <w:tc>
          <w:tcPr>
            <w:tcW w:w="235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Below the Threshold Level</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level of attainment and resulting Percentage of Performance Shares, as set forth in the Notice of Awards, shall be determined separately for each index. The resulting Percentage of Performance Shares for each index shall be weighted 50%.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such purpose, the TSR for the Corporation’s shareholders shall be determined pursuant to the following formula:</w:t>
      </w:r>
    </w:p>
    <w:tbl>
      <w:tblPr>
        <w:tblW w:w="7006" w:type="dxa"/>
        <w:jc w:val="center"/>
        <w:tblInd w:w="0" w:type="dxa"/>
        <w:tblLayout w:type="fixed"/>
        <w:tblCellMar>
          <w:top w:w="0" w:type="dxa"/>
          <w:left w:w="0" w:type="dxa"/>
          <w:bottom w:w="0" w:type="dxa"/>
          <w:right w:w="0" w:type="dxa"/>
        </w:tblCellMar>
      </w:tblPr>
      <w:tblGrid>
        <w:gridCol w:w="7006"/>
      </w:tblGrid>
      <w:tr>
        <w:trPr/>
        <w:tc>
          <w:tcPr>
            <w:tcW w:w="7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TSR = (</w:t>
            </w:r>
            <w:r>
              <w:rPr>
                <w:rFonts w:ascii="Times New Roman;Times;serif" w:hAnsi="Times New Roman;Times;serif"/>
                <w:sz w:val="20"/>
                <w:u w:val="single"/>
              </w:rPr>
              <w:t>Ending Stock Price* - Beginning Stock Price**) + Reinvested Dividends***</w:t>
            </w:r>
          </w:p>
        </w:tc>
      </w:tr>
      <w:tr>
        <w:trPr/>
        <w:tc>
          <w:tcPr>
            <w:tcW w:w="7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Beginning Stock Price**</w:t>
            </w:r>
          </w:p>
        </w:tc>
      </w:tr>
    </w:tbl>
    <w:p>
      <w:pPr>
        <w:pStyle w:val="TextBody"/>
        <w:bidi w:val="0"/>
        <w:spacing w:before="0" w:after="0"/>
        <w:ind w:left="0" w:right="0" w:firstLine="72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Ending Stock Price is the average daily closing price per share of the Common Stock calculated for the last thirty (30) days within the Performance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Beginning Stock Price is the average daily closing price per share of the Common Stock calculated for the thirty (30)-day period immediately preceding the commencement date of the Performance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Reinvested Dividends shall be calculated by multiplying (i) the aggregate number of shares (including fractional shares) of Common Stock that could have been purchased during the Performance Period had each cash dividend paid on a single share of Common Stock during that period been immediately reinvested in additional shares (or fractional shares) of Common Stock at the closing price per share of the Common Stock on the applicable dividend payment date 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SCHEDULE</w:t>
      </w:r>
      <w:r>
        <w:rPr>
          <w:rFonts w:ascii="Times New Roman;Times;serif" w:hAnsi="Times New Roman;Times;serif"/>
          <w:sz w:val="20"/>
        </w:rPr>
        <w:t xml:space="preserve"> I-1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(ii) the average daily closing price per share of Common Stock calculated for the last thirty (30) days within the Performance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of the foregoing amounts shall be equitably adjusted for stock splits, stock dividends, recapitalizations and other similar events affecting the shares in question without the issuer’s receipt of consideration.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each company in the S&amp;P Transportation Select Industry Index and S&amp;P MidCap 400 Index, the TSR with respect to its common stock shall be calculated in the same manner as for the Common Stock.</w:t>
      </w:r>
    </w:p>
    <w:p>
      <w:pPr>
        <w:pStyle w:val="TextBody"/>
        <w:bidi w:val="0"/>
        <w:spacing w:before="0" w:after="0"/>
        <w:ind w:left="0" w:right="0" w:hanging="0"/>
        <w:jc w:val="left"/>
        <w:rPr>
          <w:caps/>
        </w:rPr>
      </w:pPr>
      <w:r>
        <w:rPr>
          <w:caps/>
        </w:rPr>
        <w:t>​</w:t>
      </w:r>
    </w:p>
    <w:p>
      <w:pPr>
        <w:pStyle w:val="TextBody"/>
        <w:bidi w:val="0"/>
        <w:spacing w:before="0" w:after="0"/>
        <w:ind w:left="0" w:right="0" w:hanging="0"/>
        <w:jc w:val="left"/>
        <w:rPr>
          <w:caps/>
        </w:rPr>
      </w:pPr>
      <w:r>
        <w:rPr>
          <w:caps/>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SCHEDULE</w:t>
      </w:r>
      <w:r>
        <w:rPr>
          <w:rFonts w:ascii="Times New Roman;Times;serif" w:hAnsi="Times New Roman;Times;serif"/>
          <w:sz w:val="20"/>
        </w:rPr>
        <w:t xml:space="preserve"> I-2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EXHIBIT A</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MATSON, INC.</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performance SHARE AWARD AGREEMENT</w:t>
      </w:r>
    </w:p>
    <w:p>
      <w:pPr>
        <w:pStyle w:val="TextBody"/>
        <w:bidi w:val="0"/>
        <w:spacing w:before="0" w:after="240"/>
        <w:ind w:left="0" w:right="0" w:hanging="0"/>
        <w:jc w:val="left"/>
        <w:rPr>
          <w:rFonts w:ascii="Times New Roman;Times;serif" w:hAnsi="Times New Roman;Times;serif"/>
          <w:b/>
          <w:caps/>
          <w:sz w:val="20"/>
        </w:rPr>
      </w:pPr>
      <w:r>
        <w:rPr>
          <w:rFonts w:ascii="Times New Roman;Times;serif" w:hAnsi="Times New Roman;Times;serif"/>
          <w:b/>
          <w:caps/>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equity incentive compensation programs designed to motivate, attract and retain the services of persons who contribute to the success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All capitalized terms in this Agreement shall have the meaning assigned to them in the attached </w:t>
      </w:r>
      <w:r>
        <w:rPr>
          <w:rFonts w:ascii="Times New Roman;Times;serif" w:hAnsi="Times New Roman;Times;serif"/>
          <w:sz w:val="20"/>
          <w:u w:val="single"/>
        </w:rPr>
        <w:t>Appendix A</w:t>
      </w:r>
      <w:r>
        <w:rPr>
          <w:rFonts w:ascii="Times New Roman;Times;serif" w:hAnsi="Times New Roman;Times;serif"/>
          <w:sz w:val="20"/>
        </w:rPr>
        <w:t>, or if not defined in that appendix, as defined in the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it is hereby agreed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Grant of Performance Shares</w:t>
      </w:r>
      <w:r>
        <w:rPr>
          <w:rFonts w:ascii="Times New Roman;Times;serif" w:hAnsi="Times New Roman;Times;serif"/>
          <w:sz w:val="20"/>
        </w:rPr>
        <w:t>.  The Corporation hereby awards to Participant, as of the Award Date, Performance Shares under the Plan.  The number of shares of Common Stock underlying the award and the applicable performance vesting requirements for those shares are set forth in the Award Notice.  The remaining terms and conditions governing the Award shall be as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Limited Transferability</w:t>
      </w:r>
      <w:r>
        <w:rPr>
          <w:rFonts w:ascii="Times New Roman;Times;serif" w:hAnsi="Times New Roman;Times;serif"/>
          <w:sz w:val="20"/>
        </w:rPr>
        <w:t>.  Prior to the actual issuance of the Shares which vest hereunder, Participant may not transfer any interest in the Performance Shares subject to the Award or the underlying Shares or pledge or otherwise hedge the sale of those Performance Shares or underlying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 A</w:t>
      </w: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Vesting Requirements</w:t>
      </w:r>
      <w:r>
        <w:rPr>
          <w:rFonts w:ascii="Times New Roman;Times;serif" w:hAnsi="Times New Roman;Times;serif"/>
          <w:sz w:val="20"/>
        </w:rPr>
        <w:t>.  The actual number of Shares that may vest and become issuable pursuant to the Performance Shares shall be determined pursuant to a two-step process:  (i) first there shall be calculated the maximum number of Shares in which Participant can vest based upon the level at which the Performance Goal specified on Schedule I to the Award Notice is actually attained and (ii) then the number of the Performance-Qualified Shares resulting from the clause (i) calculation in which Participant shall actually vest shall be determined on the basis of his or her completion of the applicable Service vesting provisions set forth below.  Accordingly, the vesting of the Shares shall be calculated as follows: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b/>
          <w:i/>
          <w:sz w:val="20"/>
        </w:rPr>
        <w:t>Performance Vesting</w:t>
      </w:r>
      <w:r>
        <w:rPr>
          <w:rFonts w:ascii="Times New Roman;Times;serif" w:hAnsi="Times New Roman;Times;serif"/>
          <w:sz w:val="20"/>
        </w:rPr>
        <w:t>: Following the completion of the Performance Period, the Plan Administrator shall determine the applicable number of Performance-Qualified Shares in accordance with the provisions of the Award Notice and Schedule I attached thereto. The Plan Administrator generally expects to complete this determination within sixty (60) days after the end of the Performance Period.  </w:t>
      </w:r>
      <w:r>
        <w:rPr>
          <w:rFonts w:ascii="Times New Roman;Times;serif" w:hAnsi="Times New Roman;Times;serif"/>
          <w:sz w:val="20"/>
          <w:u w:val="single"/>
        </w:rPr>
        <w:t>Appendix B</w:t>
      </w:r>
      <w:r>
        <w:rPr>
          <w:rFonts w:ascii="Times New Roman;Times;serif" w:hAnsi="Times New Roman;Times;serif"/>
          <w:sz w:val="20"/>
        </w:rPr>
        <w:t xml:space="preserve"> attached to this Agreement sets forth examples illustrating the calculation of the number of Shares in which the Participant may vest based upon hypothetical levels of Performance Goal attainment and service vesting requirements.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b/>
          <w:i/>
          <w:sz w:val="20"/>
        </w:rPr>
        <w:t>Service Vesting</w:t>
      </w:r>
      <w:r>
        <w:rPr>
          <w:rFonts w:ascii="Times New Roman;Times;serif" w:hAnsi="Times New Roman;Times;serif"/>
          <w:sz w:val="20"/>
        </w:rPr>
        <w:t>:  The Performance-Qualified Shares so determined represent the maximum number of Shares in which Participant can vest hereunder.  The actual number of Shares in which Participant shall vest shall be determined as follows:</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(i)If Participant continues in Service through the Service Vesting Date, Participant shall vest in all of the Performance-Qualified Shares.  The Shares underlying those particular Performance-Qualified Shares shall generally be issued to Participant during the period beginning with the Service Vesting Date and ending on March 15th of that year; </w:t>
      </w:r>
      <w:r>
        <w:rPr>
          <w:rFonts w:ascii="Times New Roman;Times;serif" w:hAnsi="Times New Roman;Times;serif"/>
          <w:sz w:val="20"/>
          <w:u w:val="single"/>
        </w:rPr>
        <w:t>provided</w:t>
      </w:r>
      <w:r>
        <w:rPr>
          <w:rFonts w:ascii="Times New Roman;Times;serif" w:hAnsi="Times New Roman;Times;serif"/>
          <w:sz w:val="20"/>
        </w:rPr>
        <w:t xml:space="preserve"> that, if the Service Vesting Date is after the end of the Performance Period, then the Shares shall be issued as soon as administratively practicable after the Service Vesting Date, but in no event later than sixty (60) days after the Service Vesting Date.</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(ii)If Participant ceases Service </w:t>
      </w:r>
      <w:r>
        <w:rPr>
          <w:rFonts w:ascii="Times New Roman;Times;serif" w:hAnsi="Times New Roman;Times;serif"/>
          <w:b/>
          <w:i/>
          <w:sz w:val="20"/>
        </w:rPr>
        <w:t xml:space="preserve">prior to </w:t>
      </w:r>
      <w:r>
        <w:rPr>
          <w:rFonts w:ascii="Times New Roman;Times;serif" w:hAnsi="Times New Roman;Times;serif"/>
          <w:sz w:val="20"/>
        </w:rPr>
        <w:t xml:space="preserve">the Service Vesting Date by reason of Early Retirement, Normal Retirement, death or Permanent Disability, then Participant shall, upon the determination by the Plan Administrator of the maximum number of Performance-Qualified Shares, vest in a portion of the Performance-Qualified Shares determined by a two-step process: (i) prior to the Service Vesting Date, the Designated Shares will be prorated by multiplying (x) the number of Designated Shares by (y) a fraction, the numerator of which is the number of whole months of actual Service completed by Participant in such Performance Period, and the denominator of which is thirty-six (36) months, the product to be rounded up to the next whole share and (ii) then the number of shares calculated under clause (i) in which Participant may actually vest shall be the maximum number of shares of Common Stock in which Participant can vest under the Performance Vesting section based upon the actual level at which the Performance Goal specified on attached Schedule I is attained.  The Shares underlying the Performance-Qualified Shares in which Participant vests in accordance with this subparagraph (ii) shall generally be issued to Participant (or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 A</w:t>
      </w: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720" w:hanging="0"/>
        <w:jc w:val="both"/>
        <w:rPr>
          <w:rFonts w:ascii="Times New Roman;Times;serif" w:hAnsi="Times New Roman;Times;serif"/>
          <w:sz w:val="20"/>
        </w:rPr>
      </w:pPr>
      <w:r>
        <w:rPr>
          <w:rFonts w:ascii="Times New Roman;Times;serif" w:hAnsi="Times New Roman;Times;serif"/>
          <w:sz w:val="20"/>
        </w:rPr>
        <w:t xml:space="preserve">in the event of the death of Participant, then to Participant’s heirs or beneficiaries) during the period beginning with the Service Vesting Date and ending on March 15th of that year; </w:t>
      </w:r>
      <w:r>
        <w:rPr>
          <w:rFonts w:ascii="Times New Roman;Times;serif" w:hAnsi="Times New Roman;Times;serif"/>
          <w:sz w:val="20"/>
          <w:u w:val="single"/>
        </w:rPr>
        <w:t>provided</w:t>
      </w:r>
      <w:r>
        <w:rPr>
          <w:rFonts w:ascii="Times New Roman;Times;serif" w:hAnsi="Times New Roman;Times;serif"/>
          <w:sz w:val="20"/>
        </w:rPr>
        <w:t xml:space="preserve"> that, if the Service Vesting Date is after the end of the Performance Period, then the Shares shall be issued as soon as administratively practicable after the Service Vesting Date, but in no event later than sixty (60) days after the Service Vesting Date.</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(iii)If Participant’s Service ceases for any other reason prior to the Service Vesting Date, then Participant shall not vest in any of the Performance-Qualified Shares and all of Participant’s right, title and interest to the Shares subject to this Award shall cease.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Shareholder Rights</w:t>
      </w:r>
      <w:r>
        <w:rPr>
          <w:rFonts w:ascii="Times New Roman;Times;serif" w:hAnsi="Times New Roman;Times;serif"/>
          <w:sz w:val="20"/>
        </w:rPr>
        <w:t>.  The holder of this Award shall not have any shareholder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Change in Control</w:t>
      </w:r>
      <w:r>
        <w:rPr>
          <w:rFonts w:ascii="Times New Roman;Times;serif" w:hAnsi="Times New Roman;Times;serif"/>
          <w:sz w:val="20"/>
        </w:rPr>
        <w:t>.  Notwithstanding Paragraph 3 above, the following provisions shall apply to the extent a Change in Control is consummated prior to the completion of the applicable Performance Period and shall have no force or effect in the event the closing of the Change in Control occurs on or after the completion of the Performance Period.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(a)This Award may be assumed by the successor entity or otherwise continued in full force and effect, provided, however, that the securities subject to such Award following such assumption or continuation are actively traded on an established securities exchange, or may be replaced with a substitute equivalent award established by the successor entity.  In such event, the following provisions shall be in effect:</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(i)The Performance-Vesting requirements of this Agreement shall terminate, and the assumption or continuation of this Award shall be effected in accordance with Paragraph 5(b) below on the basis of the number of Change in Control Shares.  The Service-vesting and issuance provisions of Paragraph 3(b)(i) shall continue in effect with respect to the assumed or continued Award.</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(ii)If Participant ceases Service prior to the Service Vesting Date by reason of Early Retirement, Normal Retirement, death or Permanent Disability, then Participant shall, upon the closing of the Change in Control or (if later) such cessation of Service,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issued to Participant on the earlier of (i) the date the Shares would have otherwise been issued pursuant to the provisions of Paragraph 3(b)(ii) in the absence of such Change in Control or, should such cessation of Service occur after such Change in Control but within twenty-four (24) months after the closing of a Qualifying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 A</w:t>
      </w: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720" w:hanging="0"/>
        <w:jc w:val="both"/>
        <w:rPr>
          <w:rFonts w:ascii="Times New Roman;Times;serif" w:hAnsi="Times New Roman;Times;serif"/>
          <w:sz w:val="20"/>
        </w:rPr>
      </w:pPr>
      <w:r>
        <w:rPr>
          <w:rFonts w:ascii="Times New Roman;Times;serif" w:hAnsi="Times New Roman;Times;serif"/>
          <w:sz w:val="20"/>
        </w:rPr>
        <w:t>Change in Control, (ii) the date of Participant’s Separation from Service due to such cessation of Service.</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(iii)To the extent the substitute equivalent award is in the form of cash, a cash retention account shall be established and shall initially be credited with the Fair Market Value (at the effective time of the Change in Control) of the number of Change in Control Shares, and interest shall accrue on the outstanding balance of such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Times New Roman;Times;serif" w:hAnsi="Times New Roman;Times;serif"/>
          <w:b/>
          <w:i/>
          <w:sz w:val="20"/>
        </w:rPr>
        <w:t>The Wall Street Journal</w:t>
      </w:r>
      <w:r>
        <w:rPr>
          <w:rFonts w:ascii="Times New Roman;Times;serif" w:hAnsi="Times New Roman;Times;serif"/>
          <w:sz w:val="20"/>
        </w:rPr>
        <w:t>.  The cash retention account shall vest and be paid out in accordance with the Service vesting and issuance provisions of Paragraph 3(b)(i) or (to the extent applicable) in accordance with the pro-rata Service vesting and issuance provisions of Paragraph 5(a)(ii) above. The Participant’s interest in the account shall at all times be that of a general, unsecured creditor.</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(iv)In the event of such assumption or continuation of this Award or such replacement of the Award with a substitute equivalent award, no accelerated vesting of the Performance Shares subject to this Award or the underlying Shares shall occur at the time of the Change in Control, and the Service-vesting provisions of Paragraph 3(b) shall continue in full force and effect.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(b)In the event this Award is assumed, otherwise continued in effect, or replaced in connection with such Change in Control, the securities subject to the Award shall be adjusted immediately after the consummation of that Change in Control so as to apply to the number and class of securities into which the number of Change in Control Shares would have been converted in consummation of that Change in Control had that number of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Performance Shares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(c)Upon Participant’s Separation from Service due to an Involuntary Termination occurring within twenty-four (24) months after a Change in Control in which this Award is assumed or continued in effect, Participant shall immediately vest in that number of Shares equal to the Change in Control Shares that remain unvested, and that number of Shares shall be issued to Participant on the date of Participant’s Separation from Service due to such cessation of Service.  Should this Award be replaced with a substitute equivalent award in accordance with Paragraph 5(a), then that award shall vest upon Participant’s Separation from Service due to the Involuntary Termination, provided and only if such Involuntary Termination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 A</w:t>
      </w: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occurs within twenty-four (24) months following the Change in Control. Such vested portion of the award shall be issued or distributed, as applicable, on the date of Participant’s Separation from Service, provided such Separation from Service occurs within twenty-four (24) months after a Qualifying Change in Control.  Except for the number of Shares, or such equivalent award, distributed in accordance with the foregoing provisions of this Paragraph 5(c), Participant shall have no further right or entitlement to any additional Shares or other cash or property hereunder upon such Separation from Service.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(d)If the Award is not (1) assumed by the successor entity, (2) otherwise continued in effect or (3) replaced with a substitute equivalent award in accordance with Paragraph 5(a), then the following provisions shall apply:</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(i)If Participant continues in Service through the effective date of the Change in Control, then Participant shall, upon the closing of such Change in Control, vest in that number of Shares equal to the Change in Control Shares.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Times New Roman;Times;serif" w:hAnsi="Times New Roman;Times;serif"/>
          <w:b/>
          <w:i/>
          <w:sz w:val="20"/>
        </w:rPr>
        <w:t xml:space="preserve">earliest </w:t>
      </w:r>
      <w:r>
        <w:rPr>
          <w:rFonts w:ascii="Times New Roman;Times;serif" w:hAnsi="Times New Roman;Times;serif"/>
          <w:sz w:val="20"/>
        </w:rPr>
        <w:t>to occur of (x) the date the Share would have otherwise been issued pursuant to the Service vesting and issuance provisions set forth in Paragraph 3(b)(i) in the absence of such Change in Control, (y) the date of Participant’s Separation from Service, provided such Separation from Service occurs within twenty-four (24) months after a Qualifying Change in Control, or (z) the first date upon or following a Qualifying Change in Control transaction on which the distribution can be made without contravention of any applicable provisions of Section 409A of the Code (“Section 409A”).</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(ii)To the extent the consideration payable per share of Common Stock in the Change in Control is in the form of cash, a fully-vested cash retention account shall be established by the successor entity at the time of such Change in Control for each Share that vests on an accelerated basis in accordance with Paragraph 5(d)(i) above.  Such account shall be credited with the amount of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Times New Roman;Times;serif" w:hAnsi="Times New Roman;Times;serif"/>
          <w:b/>
          <w:i/>
          <w:sz w:val="20"/>
        </w:rPr>
        <w:t>The Wall Street Journal</w:t>
      </w:r>
      <w:r>
        <w:rPr>
          <w:rFonts w:ascii="Times New Roman;Times;serif" w:hAnsi="Times New Roman;Times;serif"/>
          <w:sz w:val="20"/>
        </w:rPr>
        <w:t>.  The cash retention account, together with all accrued interest thereon through the actual payment date, shall be distributed, as to each Share to which that cash retention accounts pertains, in accordance with the foregoing distribution provisions of Paragraph 5(d)(i) above.  Participant’s interest in the account shall at all times be that of a general, unsecured creditor.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 A</w:t>
      </w: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(iii)If Participant ceases Service prior to the effective date of the Change in Control by reason of Early Retirement, Normal Retirement, death or Permanent Disability, then Participant shall, upon the closing of such Change in Control,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Times New Roman;Times;serif" w:hAnsi="Times New Roman;Times;serif"/>
          <w:b/>
          <w:i/>
          <w:sz w:val="20"/>
        </w:rPr>
        <w:t>earlier</w:t>
      </w:r>
      <w:r>
        <w:rPr>
          <w:rFonts w:ascii="Times New Roman;Times;serif" w:hAnsi="Times New Roman;Times;serif"/>
          <w:sz w:val="20"/>
        </w:rPr>
        <w:t xml:space="preserve"> of (A) the date the Share would have otherwise been issued pursuant to the provisions of Paragraph 3(b)(ii) in the absence of such Change in Control or (B) the first date upon or following a Qualifying Change in Control transaction on which the distribution can be made without contravention of any applicable provisions of Section 409A.</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(iv)Except for the amount of consideration so calculated, Participant shall have no further right or entitlement to any additional Shares or consideration under this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Change in Control Benefits Agreement</w:t>
      </w:r>
      <w:r>
        <w:rPr>
          <w:rFonts w:ascii="Times New Roman;Times;serif" w:hAnsi="Times New Roman;Times;serif"/>
          <w:sz w:val="20"/>
        </w:rPr>
        <w:t xml:space="preserve">.  Notwithstanding anything to the 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Adjustment in Shares</w:t>
      </w:r>
      <w:r>
        <w:rPr>
          <w:rFonts w:ascii="Times New Roman;Times;serif" w:hAnsi="Times New Roman;Times;serif"/>
          <w:sz w:val="20"/>
        </w:rPr>
        <w:t>.  Should any change be made to the Common Stock by 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5 in connection with the transaction, and the determination of the Plan Administrator shall be final, binding and conclusive as provided in Section III.B. of Article One of the Plan.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 A</w:t>
      </w: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event of any Change in Control transaction, the adjustment provisions of Paragraph 5(b) shall be controlling.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b/>
          <w:sz w:val="20"/>
        </w:rPr>
        <w:t>Issuance of Vested Shares and Applicable Withholding Taxes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(a)Any Shares to be issued to Participant in accordance with the foregoing provisions of this Agreement shall be in the form of a book entry evidencing ownership of those Shares. Actual certificates for the vested Shares evidenced by book entry ownership shall be promptly delivered upon the request of Participant or any other person having an interest at the time in those Shares.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(c)The following provisions shall govern the US Withholding Taxes on the Shares (or any replacement or substitute securities, property or other amounts under Paragraphs 5 or 7 above) which vest in accordance with the provisions of this Agreement:</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the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8(c)(ii).</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b/>
          <w:sz w:val="20"/>
        </w:rPr>
        <w:t>Automatic Share Withholding</w:t>
      </w:r>
      <w:r>
        <w:rPr>
          <w:rFonts w:ascii="Times New Roman;Times;serif" w:hAnsi="Times New Roman;Times;serif"/>
          <w:sz w:val="20"/>
        </w:rPr>
        <w:t>. On the applicable issuance date, the 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8(c)(iii) below (the “Applicable Withholding Rate”).</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b/>
          <w:sz w:val="20"/>
        </w:rPr>
        <w:t>Amount of Withholding</w:t>
      </w:r>
      <w:r>
        <w:rPr>
          <w:rFonts w:ascii="Times New Roman;Times;serif" w:hAnsi="Times New Roman;Times;serif"/>
          <w:sz w:val="20"/>
        </w:rPr>
        <w:t>.  The amount which the 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 A</w:t>
      </w: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applicable to supplemental taxable income.  However, Participant may elect an alternate Applicable Withholding Rate equal to the maximum statutory tax rate for the applicable withholding tax in Participant’s applicable jurisdictions (the “Alternate Withholding 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8(c)(ii) and 8(c)(iii), in the event Participant is determined to be subject to Section 16 of the 1934 Act at the time of settlement, the Alternate Withholding Rate must be approved by the Corporation’s Compensation Committee.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(d)Notwithstanding the foregoing provisions of this Paragraph 8,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8(d) shall be applicable only to the extent necessary to comply with the applicable tax withholding requirements of Section 3121(v) of the Code.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(e)Except as otherwise provided in Paragraph 5 or this Paragraph 8,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b/>
          <w:sz w:val="20"/>
        </w:rPr>
        <w:t>Section 409A</w:t>
      </w:r>
      <w:r>
        <w:rPr>
          <w:rFonts w:ascii="Times New Roman;Times;serif" w:hAnsi="Times New Roman;Times;serif"/>
          <w:sz w:val="20"/>
        </w:rPr>
        <w:t>.  Notwithstanding any provision to the contrary in this Agreement, to the extent this Award may be deemed to create a deferred compensation arrangement under Section 409A, then the following limitation and provisions shall apply: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(a)No Shares or other amounts which become issuable or distributable under this Agreement upon Participant’s Separation from Service shall actually be issued or distributed to Participant prior to the </w:t>
      </w:r>
      <w:r>
        <w:rPr>
          <w:rFonts w:ascii="Times New Roman;Times;serif" w:hAnsi="Times New Roman;Times;serif"/>
          <w:b/>
          <w:i/>
          <w:sz w:val="20"/>
        </w:rPr>
        <w:t>earlier</w:t>
      </w:r>
      <w:r>
        <w:rPr>
          <w:rFonts w:ascii="Times New Roman;Times;serif" w:hAnsi="Times New Roman;Times;serif"/>
          <w:sz w:val="20"/>
        </w:rPr>
        <w:t xml:space="preserve"> of (i) the first (1st) day of the seventh (7th) month following the date of such Separation from Service or (ii) the date of Participant’s death, if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 A</w:t>
      </w: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 Section 409A arrangements of the Corporation, and such delayed commencement is otherwise required in order to avoid a prohibited distribution under Section 409A(a)(2) of the Code.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(b)Participant’s right to receive each installment of Shares or other installment distribution pursuant to the terms of this Agreement shall, for purposes of Section 409A, be treated as a right to receive a series of separate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b/>
          <w:sz w:val="20"/>
        </w:rPr>
        <w:t>Compliance with Laws and Regulations</w:t>
      </w:r>
      <w:r>
        <w:rPr>
          <w:rFonts w:ascii="Times New Roman;Times;serif" w:hAnsi="Times New Roman;Times;serif"/>
          <w:sz w:val="20"/>
        </w:rPr>
        <w:t>.  The issuance of shares of 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b/>
          <w:sz w:val="20"/>
        </w:rPr>
        <w:t>Notices</w:t>
      </w:r>
      <w:r>
        <w:rPr>
          <w:rFonts w:ascii="Times New Roman;Times;serif" w:hAnsi="Times New Roman;Times;serif"/>
          <w:sz w:val="20"/>
        </w:rPr>
        <w:t>.  Any notice required to be given or delivered to the Corporation under the terms of 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b/>
          <w:sz w:val="20"/>
        </w:rPr>
        <w:t>Successors and Assigns</w:t>
      </w:r>
      <w:r>
        <w:rPr>
          <w:rFonts w:ascii="Times New Roman;Times;serif" w:hAnsi="Times New Roman;Times;serif"/>
          <w:sz w:val="20"/>
        </w:rPr>
        <w:t>.  Except to the extent otherwise provided in this 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b/>
          <w:sz w:val="20"/>
        </w:rPr>
        <w:t>Construction</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 A</w:t>
      </w: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b/>
          <w:sz w:val="20"/>
        </w:rPr>
        <w:t>Governing Law</w:t>
      </w:r>
      <w:r>
        <w:rPr>
          <w:rFonts w:ascii="Times New Roman;Times;serif" w:hAnsi="Times New Roman;Times;serif"/>
          <w:sz w:val="20"/>
        </w:rPr>
        <w:t>.  The interpretation, performance and enforcement of this Agreement shall be governed by the laws of the State of Hawaii without regard to that State’s conflict-of-laws rules.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b/>
          <w:sz w:val="20"/>
        </w:rPr>
        <w:t>Coverage under Recoupment Policy</w:t>
      </w:r>
      <w:r>
        <w:rPr>
          <w:rFonts w:ascii="Times New Roman;Times;serif" w:hAnsi="Times New Roman;Times;serif"/>
          <w:sz w:val="20"/>
        </w:rPr>
        <w:t>. If Participant is on the Award Date, or at any time thereafter becomes, an executive officer of the Corporation subject to Section 16 of the 1934 Act, then Participant shall be subject to the Matson, Inc. Policy Regarding Recoupment of Certain Compensation (as amended from time to time, the “Recoupment Policy”), the terms of which are hereby incorporated herein by reference. A copy of the Recoupment Policy is available upon request made to the Corporate Secretary.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b/>
          <w:sz w:val="20"/>
        </w:rPr>
        <w:t>Data Privacy</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b/>
          <w:sz w:val="20"/>
        </w:rPr>
        <w:t>Amendment</w:t>
      </w:r>
      <w:r>
        <w:rPr>
          <w:rFonts w:ascii="Times New Roman;Times;serif" w:hAnsi="Times New Roman;Times;serif"/>
          <w:sz w:val="20"/>
        </w:rPr>
        <w:t>.  This Agreement may not be altered, modified, or amended except by written instrument signed by the parties hereto; provided that the Corporation may alter, modify or amend this Agreement unilaterally if such change is not materially adverse to Participant or to cause this Agreement to comply with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b/>
          <w:sz w:val="20"/>
        </w:rPr>
        <w:t>Other Agreements Superseded</w:t>
      </w:r>
      <w:r>
        <w:rPr>
          <w:rFonts w:ascii="Times New Roman;Times;serif" w:hAnsi="Times New Roman;Times;serif"/>
          <w:sz w:val="20"/>
        </w:rPr>
        <w:t xml:space="preserve">.  The Award Notice, this Agreement, and the Plan constitute the entire understanding between Participant and the Corporation regarding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 A</w:t>
      </w: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Award.  Any prior agreements, commitments or negotiations concerning the Award are superseded.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b/>
          <w:sz w:val="20"/>
        </w:rPr>
        <w:t>Governing Plan Document</w:t>
      </w:r>
      <w:r>
        <w:rPr>
          <w:rFonts w:ascii="Times New Roman;Times;serif" w:hAnsi="Times New Roman;Times;serif"/>
          <w:sz w:val="20"/>
        </w:rPr>
        <w:t>.  The Award is subject to all the provisions of the Plan, the provisions of which are hereby made a part of the Award, and is further subject to all interpretations, amendments, rules and regulations, which may from time to time be promulgated and adopted pursuant to the Plan.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 A</w:t>
      </w: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APPENDIX A</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DEFINITIONS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following definitions shall be in effect under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Agreement</w:t>
      </w:r>
      <w:r>
        <w:rPr>
          <w:rFonts w:ascii="Times New Roman;Times;serif" w:hAnsi="Times New Roman;Times;serif"/>
          <w:sz w:val="20"/>
        </w:rPr>
        <w:t xml:space="preserve"> shall mean this Performance Share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Award</w:t>
      </w:r>
      <w:r>
        <w:rPr>
          <w:rFonts w:ascii="Times New Roman;Times;serif" w:hAnsi="Times New Roman;Times;serif"/>
          <w:sz w:val="20"/>
        </w:rPr>
        <w:t xml:space="preserve"> shall mean the award of Performance Shares made to Participant pursuant to the terms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Award Date</w:t>
      </w:r>
      <w:r>
        <w:rPr>
          <w:rFonts w:ascii="Times New Roman;Times;serif" w:hAnsi="Times New Roman;Times;serif"/>
          <w:sz w:val="20"/>
        </w:rPr>
        <w:t xml:space="preserve"> shall mean the date the Performance Shares are awarded to Participant pursuant to the Agreement and shall be the date specified in Paragraph 1 of the Award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Award Notice</w:t>
      </w:r>
      <w:r>
        <w:rPr>
          <w:rFonts w:ascii="Times New Roman;Times;serif" w:hAnsi="Times New Roman;Times;serif"/>
          <w:sz w:val="20"/>
        </w:rPr>
        <w:t xml:space="preserve"> shall mean the Notice of Award of Performance Shares delivered to Participant in which there is set forth the basic terms of the Performance Shares subject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Cause</w:t>
      </w:r>
      <w:r>
        <w:rPr>
          <w:rFonts w:ascii="Times New Roman;Times;serif" w:hAnsi="Times New Roman;Times;serif"/>
          <w:sz w:val="20"/>
        </w:rPr>
        <w:t xml:space="preserve"> shall have the meaning set forth in the Plan;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Change in Control</w:t>
      </w:r>
      <w:r>
        <w:rPr>
          <w:rFonts w:ascii="Times New Roman;Times;serif" w:hAnsi="Times New Roman;Times;serif"/>
          <w:sz w:val="20"/>
        </w:rPr>
        <w:t xml:space="preserve"> shall have the meaning set forth in the Plan;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Participant is a party to a Change in Control Benefits Agreement applicable to the Award, the term Change in Control shall have the meaning ascribed to that term in such Change in Control Benefits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Change in Control Benefits Agreement</w:t>
      </w:r>
      <w:r>
        <w:rPr>
          <w:rFonts w:ascii="Times New Roman;Times;serif" w:hAnsi="Times New Roman;Times;serif"/>
          <w:sz w:val="20"/>
        </w:rPr>
        <w:t xml:space="preserve"> shall mean any separate agreement 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Change in Control Shares</w:t>
      </w:r>
      <w:r>
        <w:rPr>
          <w:rFonts w:ascii="Times New Roman;Times;serif" w:hAnsi="Times New Roman;Times;serif"/>
          <w:sz w:val="20"/>
        </w:rPr>
        <w:t xml:space="preserve"> shall mean the number of Shares obtained by multiplying the Vested Percentage by the greater of (i) the number of Designated Shares, or (ii) the number of Performance-Qualified Shares issuable under the Award based on actual performance of the Performance Goal through the date of the Change in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Early Retirement</w:t>
      </w:r>
      <w:r>
        <w:rPr>
          <w:rFonts w:ascii="Times New Roman;Times;serif" w:hAnsi="Times New Roman;Times;serif"/>
          <w:sz w:val="20"/>
        </w:rPr>
        <w:t xml:space="preserve"> shall mean Participant’s retirement from Service, with the prior approval of the Corporation (or the Parent or Subsidiary employing Participant), on or after the attainment of age fifty-five (55) and the completion of at least five (5) years of Service.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APPENDIX</w:t>
      </w:r>
      <w:r>
        <w:rPr>
          <w:rFonts w:ascii="Times New Roman;Times;serif" w:hAnsi="Times New Roman;Times;serif"/>
          <w:sz w:val="20"/>
        </w:rPr>
        <w:t xml:space="preserve"> 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b/>
          <w:sz w:val="20"/>
        </w:rPr>
        <w:t>Good Reason</w:t>
      </w:r>
      <w:r>
        <w:rPr>
          <w:rFonts w:ascii="Times New Roman;Times;serif" w:hAnsi="Times New Roman;Times;serif"/>
          <w:sz w:val="20"/>
        </w:rPr>
        <w:t xml:space="preserve"> shall have the meaning set forth in the Plan; provided however, in the event Participant is at the time of his or her cessation of Employee status a party to a Change in Control Benefits Agreement applicable to the Award evidenced by this Agreement, the term Good Reason shall have the meaning ascribed to that term in such Change in Control Benefits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b/>
          <w:sz w:val="20"/>
        </w:rPr>
        <w:t>Maximum Level Attainment</w:t>
      </w:r>
      <w:r>
        <w:rPr>
          <w:rFonts w:ascii="Times New Roman;Times;serif" w:hAnsi="Times New Roman;Times;serif"/>
          <w:sz w:val="20"/>
        </w:rPr>
        <w:t xml:space="preserve"> shall mean the Corporation’s achievement of the Performance Goal set forth in Schedule I of the Award Notice at the level designated as Maximum Level attainment for that goal.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b/>
          <w:sz w:val="20"/>
        </w:rPr>
        <w:t>Normal Retirement</w:t>
      </w:r>
      <w:r>
        <w:rPr>
          <w:rFonts w:ascii="Times New Roman;Times;serif" w:hAnsi="Times New Roman;Times;serif"/>
          <w:sz w:val="20"/>
        </w:rPr>
        <w:t xml:space="preserve"> shall mean the cessation of Service by reason of retirement at or after the attainment of age sixty-five (65).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b/>
          <w:sz w:val="20"/>
        </w:rPr>
        <w:t>Participant</w:t>
      </w:r>
      <w:r>
        <w:rPr>
          <w:rFonts w:ascii="Times New Roman;Times;serif" w:hAnsi="Times New Roman;Times;serif"/>
          <w:sz w:val="20"/>
        </w:rPr>
        <w:t xml:space="preserve"> shall mean the person to whom the Award is made pursuant to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b/>
          <w:sz w:val="20"/>
        </w:rPr>
        <w:t>Performance Goal</w:t>
      </w:r>
      <w:r>
        <w:rPr>
          <w:rFonts w:ascii="Times New Roman;Times;serif" w:hAnsi="Times New Roman;Times;serif"/>
          <w:sz w:val="20"/>
        </w:rPr>
        <w:t xml:space="preserve"> shall mean the performance goal specified on Schedule I of the Award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b/>
          <w:sz w:val="20"/>
        </w:rPr>
        <w:t>Performance Period</w:t>
      </w:r>
      <w:r>
        <w:rPr>
          <w:rFonts w:ascii="Times New Roman;Times;serif" w:hAnsi="Times New Roman;Times;serif"/>
          <w:sz w:val="20"/>
        </w:rPr>
        <w:t xml:space="preserve"> shall mean the period specified on Schedule I of the Award Notice over which the attainment of the Performance Goal is to be measured.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b/>
          <w:sz w:val="20"/>
        </w:rPr>
        <w:t>Performance-Qualified Shares</w:t>
      </w:r>
      <w:r>
        <w:rPr>
          <w:rFonts w:ascii="Times New Roman;Times;serif" w:hAnsi="Times New Roman;Times;serif"/>
          <w:sz w:val="20"/>
        </w:rPr>
        <w:t xml:space="preserve"> shall mean the maximum number of Shares in which Participant can vest based on the level at which the Performance Goal for the Performance Period is attained and shall be calculated in accordance with the provisions of the Award Notice.  In no event shall the number of such Performance-Qualified Shares exceed two hundred and fifty percent (250%) of the designated number of Performance Shares set forth in the Performance Shares section of the Award Notice.  Each Performance-Qualified Share that vests pursuant to the terms of the Award shall entitle Participant to receive one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b/>
          <w:sz w:val="20"/>
        </w:rPr>
        <w:t>Performance Shares</w:t>
      </w:r>
      <w:r>
        <w:rPr>
          <w:rFonts w:ascii="Times New Roman;Times;serif" w:hAnsi="Times New Roman;Times;serif"/>
          <w:sz w:val="20"/>
        </w:rPr>
        <w:t xml:space="preserve"> shall mean the number of phantom shares of Common Stock awarded under this Agreement that shall be applied to the calculation of the maximum number of Performance-Qualified Shares (if any) based on the level at which the Performance Goal is in fact attained over the applicable Performance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b/>
          <w:sz w:val="20"/>
        </w:rPr>
        <w:t>Plan</w:t>
      </w:r>
      <w:r>
        <w:rPr>
          <w:rFonts w:ascii="Times New Roman;Times;serif" w:hAnsi="Times New Roman;Times;serif"/>
          <w:sz w:val="20"/>
        </w:rPr>
        <w:t xml:space="preserve"> shall mean the Corporation’s 2025 Incentive Compensation Plan, as amended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b/>
          <w:sz w:val="20"/>
        </w:rPr>
        <w:t>Qualifying Change in Control</w:t>
      </w:r>
      <w:r>
        <w:rPr>
          <w:rFonts w:ascii="Times New Roman;Times;serif" w:hAnsi="Times New Roman;Times;serif"/>
          <w:sz w:val="20"/>
        </w:rPr>
        <w:t xml:space="preserve"> shall mean the date on which there occurs a Change in Control that also qualifies 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APPENDIX</w:t>
      </w:r>
      <w:r>
        <w:rPr>
          <w:rFonts w:ascii="Times New Roman;Times;serif" w:hAnsi="Times New Roman;Times;serif"/>
          <w:sz w:val="20"/>
        </w:rPr>
        <w:t xml:space="preserve"> 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w:t>
      </w:r>
      <w:r>
        <w:rPr>
          <w:rFonts w:ascii="Times New Roman;Times;serif" w:hAnsi="Times New Roman;Times;serif"/>
          <w:b/>
          <w:sz w:val="20"/>
        </w:rPr>
        <w:t>Separation from Service</w:t>
      </w:r>
      <w:r>
        <w:rPr>
          <w:rFonts w:ascii="Times New Roman;Times;serif" w:hAnsi="Times New Roman;Times;serif"/>
          <w:sz w:val="20"/>
        </w:rPr>
        <w:t xml:space="preserve"> shall mean the Participant’s cessation of Employee status by 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U.</w:t>
      </w:r>
      <w:r>
        <w:rPr>
          <w:rFonts w:ascii="Times New Roman;Times;serif" w:hAnsi="Times New Roman;Times;serif"/>
          <w:b/>
          <w:sz w:val="20"/>
        </w:rPr>
        <w:t>Service</w:t>
      </w:r>
      <w:r>
        <w:rPr>
          <w:rFonts w:ascii="Times New Roman;Times;serif" w:hAnsi="Times New Roman;Times;serif"/>
          <w:sz w:val="20"/>
        </w:rPr>
        <w:t xml:space="preserve"> shall mean Participant’s performance of services for the Corporation (or any Parent or Subsidiary) in the capacity of an Employee, a non-employee member of the board of directors or a consultant or independent advisor.  In addition, the following provisions shall govern the determination of Participant’s period of Service:</w:t>
      </w:r>
    </w:p>
    <w:p>
      <w:pPr>
        <w:pStyle w:val="TextBody"/>
        <w:bidi w:val="0"/>
        <w:spacing w:before="0" w:after="240"/>
        <w:ind w:left="720" w:right="720" w:firstLine="1440"/>
        <w:jc w:val="both"/>
        <w:rPr>
          <w:rFonts w:ascii="Times New Roman;Times;serif" w:hAnsi="Times New Roman;Times;serif"/>
          <w:sz w:val="20"/>
        </w:rPr>
      </w:pPr>
      <w:r>
        <w:rPr>
          <w:rFonts w:ascii="Times New Roman;Times;serif" w:hAnsi="Times New Roman;Times;serif"/>
          <w:sz w:val="20"/>
        </w:rPr>
        <w:t>(i) Participant shall be deemed to continue in Service for so long as Participant performs services for the Corporation (or any Parent or Subsidiary) in the capacity of an Employee, a non-employee member of the board of directors or a consultant or independent advisor.</w:t>
      </w:r>
    </w:p>
    <w:p>
      <w:pPr>
        <w:pStyle w:val="TextBody"/>
        <w:bidi w:val="0"/>
        <w:spacing w:before="0" w:after="240"/>
        <w:ind w:left="720" w:right="720" w:firstLine="1440"/>
        <w:jc w:val="both"/>
        <w:rPr>
          <w:rFonts w:ascii="Times New Roman;Times;serif" w:hAnsi="Times New Roman;Times;serif"/>
          <w:sz w:val="20"/>
        </w:rPr>
      </w:pPr>
      <w:r>
        <w:rPr>
          <w:rFonts w:ascii="Times New Roman;Times;serif" w:hAnsi="Times New Roman;Times;serif"/>
          <w:sz w:val="20"/>
        </w:rPr>
        <w:t>(ii)Participant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pStyle w:val="TextBody"/>
        <w:bidi w:val="0"/>
        <w:spacing w:before="0" w:after="240"/>
        <w:ind w:left="720" w:right="720" w:firstLine="1440"/>
        <w:jc w:val="both"/>
        <w:rPr>
          <w:rFonts w:ascii="Times New Roman;Times;serif" w:hAnsi="Times New Roman;Times;serif"/>
          <w:sz w:val="20"/>
        </w:rPr>
      </w:pPr>
      <w:r>
        <w:rPr>
          <w:rFonts w:ascii="Times New Roman;Times;serif" w:hAnsi="Times New Roman;Times;serif"/>
          <w:sz w:val="20"/>
        </w:rPr>
        <w:t>(iii)Service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pStyle w:val="TextBody"/>
        <w:bidi w:val="0"/>
        <w:spacing w:before="0" w:after="240"/>
        <w:ind w:left="720" w:right="0" w:hanging="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APPENDIX</w:t>
      </w:r>
      <w:r>
        <w:rPr>
          <w:rFonts w:ascii="Times New Roman;Times;serif" w:hAnsi="Times New Roman;Times;serif"/>
          <w:sz w:val="20"/>
        </w:rPr>
        <w:t xml:space="preserve"> 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a.Should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b.Should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c. Except to the extent otherwise required by law or expressly authorized by the Plan Administrator or by the Corporation’s written policy on leaves of absence no Service credit shall be given for vesting purposes for any period Participant is on a leave of absence.</w:t>
      </w:r>
    </w:p>
    <w:p>
      <w:pPr>
        <w:pStyle w:val="TextBody"/>
        <w:bidi w:val="0"/>
        <w:spacing w:before="0" w:after="240"/>
        <w:ind w:left="720" w:right="720" w:firstLine="1440"/>
        <w:jc w:val="both"/>
        <w:rPr>
          <w:rFonts w:ascii="Times New Roman;Times;serif" w:hAnsi="Times New Roman;Times;serif"/>
          <w:sz w:val="20"/>
        </w:rPr>
      </w:pPr>
      <w:r>
        <w:rPr>
          <w:rFonts w:ascii="Times New Roman;Times;serif" w:hAnsi="Times New Roman;Times;serif"/>
          <w:sz w:val="20"/>
        </w:rPr>
        <w:t>(iv)Notwithstanding anything to the contrary in the foregoing provisions of this Service definition, the Participant shall in all events be deemed to cease Service for all purposes of this Award immediately upon Participant’s incurrence of a Separation from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b/>
          <w:sz w:val="20"/>
        </w:rPr>
        <w:t>Service Vesting Date</w:t>
      </w:r>
      <w:r>
        <w:rPr>
          <w:rFonts w:ascii="Times New Roman;Times;serif" w:hAnsi="Times New Roman;Times;serif"/>
          <w:sz w:val="20"/>
        </w:rPr>
        <w:t xml:space="preserve"> shall mean the three (3)-year anniversary of the Award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w:t>
      </w:r>
      <w:r>
        <w:rPr>
          <w:rFonts w:ascii="Times New Roman;Times;serif" w:hAnsi="Times New Roman;Times;serif"/>
          <w:b/>
          <w:sz w:val="20"/>
        </w:rPr>
        <w:t>Shares</w:t>
      </w:r>
      <w:r>
        <w:rPr>
          <w:rFonts w:ascii="Times New Roman;Times;serif" w:hAnsi="Times New Roman;Times;serif"/>
          <w:sz w:val="20"/>
        </w:rPr>
        <w:t xml:space="preserve"> shall mean the shares of Common Stock which may vest and become issuable under the Award pursuant to the terms of this Agreement and the Award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b/>
          <w:sz w:val="20"/>
        </w:rPr>
        <w:t>Target Level Attainment</w:t>
      </w:r>
      <w:r>
        <w:rPr>
          <w:rFonts w:ascii="Times New Roman;Times;serif" w:hAnsi="Times New Roman;Times;serif"/>
          <w:sz w:val="20"/>
        </w:rPr>
        <w:t xml:space="preserve"> shall mean the Corporation’s achievement of the Performance Goal set forth in Schedule I to the Award Notice at the level designated as Target Level attainment for that goal.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w:t>
      </w:r>
      <w:r>
        <w:rPr>
          <w:rFonts w:ascii="Times New Roman;Times;serif" w:hAnsi="Times New Roman;Times;serif"/>
          <w:b/>
          <w:sz w:val="20"/>
        </w:rPr>
        <w:t>Vested Percentage</w:t>
      </w:r>
      <w:r>
        <w:rPr>
          <w:rFonts w:ascii="Times New Roman;Times;serif" w:hAnsi="Times New Roman;Times;serif"/>
          <w:sz w:val="20"/>
        </w:rPr>
        <w:t xml:space="preserve"> shall mean (i) fifty percent (50%) if the Change in Control is consummated during the first eighteen (18) months of the Performance Period and (ii) one hundred percent (100%) if the Change in Control is consummated after the first eighteen (18) months of the Performance Period, but prior to the completion of the Performance Period.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APPENDIX</w:t>
      </w:r>
      <w:r>
        <w:rPr>
          <w:rFonts w:ascii="Times New Roman;Times;serif" w:hAnsi="Times New Roman;Times;serif"/>
          <w:sz w:val="20"/>
        </w:rPr>
        <w:t xml:space="preserve"> 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APPENDIX B</w:t>
      </w:r>
    </w:p>
    <w:p>
      <w:pPr>
        <w:pStyle w:val="TextBody"/>
        <w:bidi w:val="0"/>
        <w:spacing w:before="0" w:after="480"/>
        <w:ind w:left="0" w:right="0" w:hanging="0"/>
        <w:jc w:val="center"/>
        <w:rPr>
          <w:rFonts w:ascii="Times New Roman;Times;serif" w:hAnsi="Times New Roman;Times;serif"/>
          <w:b/>
          <w:sz w:val="20"/>
        </w:rPr>
      </w:pPr>
      <w:r>
        <w:rPr>
          <w:rFonts w:ascii="Times New Roman;Times;serif" w:hAnsi="Times New Roman;Times;serif"/>
          <w:b/>
          <w:sz w:val="20"/>
        </w:rPr>
        <w:t>ILLUSTRATION OF VESTING CALCULATIONS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examples are for illustration purposes only: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Participant receives an Award for 100 Shares at Target Level and Participant continues in Service until the expiration of the requisite three (3)-year Service vesting period. If the Performance Goal is attained at the Target Level, Participant shall vest in 100 Shares upon the Service Vesting Date.  If the Performance Goal is attained at the Maximum Level, Participant shall vest in an additional 150 Shares for a total of 250 Shares following the completion of the Performance Period upon the Service Vesting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Participant receives an Award for 100 Shares at Target Level and Participant ceases Service due to Permanent Disability halfway through the Performance Period.  If the Performance Goal is attained at the Target Level, Participant shall vest in 50 of the Shares following the completion of the Performance Period.  On the other hand, if the Performance Goal is attained at the Maximum Level, Participant shall vest in an additional 75 Shares for a total of 125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Participant receives an Award for 100 Shares at Target Level and Participant continues in Service until the Service Vesting Date.   If the Performance Goal is attained at a point halfway between the Threshold and Target Levels, Participant would vest in 63 of the Shares following the completion of the Performance Period upon the Service Vesting Date.  On the other hand, if the Performance Goal is attained at a point halfway between the Target and Maximum Levels, Participant would vest in 175 of the Shares following the completion of the Performance Period upon the Service Vesting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Participant receives an Award for 100 Shares at Target Level and Participant ceases Service due to Permanent Disability halfway through the Performance Period.  If the Performance Goal is attained at a point halfway between the Threshold and Target Levels, Participant would vest in 32 of the Shares following the completion of the Performance Period.  On the other hand, if the Performance Goal is attained at a point halfway between the Target and Maximum Levels, Participant would vest in 88 of the Shares following the completion of the Performance Period.</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APPENDIX B</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86" w:name="matx-20250630xex10d9.htm"/>
      <w:bookmarkStart w:id="1487" w:name="ksmatx20250630xex10d9"/>
      <w:bookmarkEnd w:id="1486"/>
      <w:bookmarkEnd w:id="1487"/>
      <w:r>
        <w:rPr>
          <w:rFonts w:ascii="Times New Roman;Times;serif" w:hAnsi="Times New Roman;Times;serif"/>
          <w:b/>
          <w:sz w:val="20"/>
        </w:rPr>
        <w:t>Exhibit 10.9</w:t>
      </w:r>
      <w:r>
        <w:br w:type="page"/>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Share Award Package – Standard Template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NOTICE OF AWARD OF PERFORMANCE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Corporation hereby awards to Participant, as of the Award Date indicated below, an award (the “Award”) of Performance Shares under the Corporation’s 2025 Incentive Compensation Plan (as amended from time to time, the “Plan”).  Each Performance Share represents the right to receive one or more shares of Common Stock on the applicable issuance date following the vesting of that Performance Share.  The number of Performance Shares subject to this Award and the applicable performance vesting requirements for those Performance Shares and the underlying shares are set forth below. The remaining terms and conditions governing the Award, including the applicable service vesting requirements and the applicable issuance date or dates for the shares of Common Stock that vest under the Award, shall be as set forth in the form Performance Share Award Agreement for Awards with combined performance and service vesting requirements.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AWARD SUMMARY</w:t>
      </w:r>
    </w:p>
    <w:tbl>
      <w:tblPr>
        <w:tblW w:w="10205" w:type="dxa"/>
        <w:jc w:val="center"/>
        <w:tblInd w:w="0" w:type="dxa"/>
        <w:tblLayout w:type="fixed"/>
        <w:tblCellMar>
          <w:top w:w="0" w:type="dxa"/>
          <w:left w:w="0" w:type="dxa"/>
          <w:bottom w:w="0" w:type="dxa"/>
          <w:right w:w="0" w:type="dxa"/>
        </w:tblCellMar>
      </w:tblPr>
      <w:tblGrid>
        <w:gridCol w:w="1215"/>
        <w:gridCol w:w="8990"/>
      </w:tblGrid>
      <w:tr>
        <w:trPr/>
        <w:tc>
          <w:tcPr>
            <w:tcW w:w="1215"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Participant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w:t>
            </w:r>
          </w:p>
        </w:tc>
      </w:tr>
      <w:tr>
        <w:trPr/>
        <w:tc>
          <w:tcPr>
            <w:tcW w:w="1215"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pPr>
            <w:r>
              <w:rPr/>
              <w:t>​</w:t>
            </w:r>
          </w:p>
        </w:tc>
      </w:tr>
      <w:tr>
        <w:trPr/>
        <w:tc>
          <w:tcPr>
            <w:tcW w:w="1215"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Award Date:</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w:t>
            </w:r>
          </w:p>
        </w:tc>
      </w:tr>
      <w:tr>
        <w:trPr/>
        <w:tc>
          <w:tcPr>
            <w:tcW w:w="1215"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pPr>
            <w:r>
              <w:rPr/>
              <w:t>​</w:t>
            </w:r>
          </w:p>
        </w:tc>
      </w:tr>
      <w:tr>
        <w:trPr/>
        <w:tc>
          <w:tcPr>
            <w:tcW w:w="1215"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Performance Shares:</w:t>
            </w:r>
          </w:p>
        </w:tc>
        <w:tc>
          <w:tcPr>
            <w:tcW w:w="8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number of shares of Common Stock issuable pursuant to the Award shall be determined in accordance with the Vesting Schedule below. For purposes of the percentage calculations set forth in the performance vesting section of such schedule, the number of shares of Common Stock to be utilized is ____ shares (the “Performance Shares”). The specific number of Performance Shares set forth in this paragraph shall be referred to as the “Designated Shares”.</w:t>
            </w:r>
          </w:p>
        </w:tc>
      </w:tr>
      <w:tr>
        <w:trPr/>
        <w:tc>
          <w:tcPr>
            <w:tcW w:w="1215"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both"/>
              <w:rPr/>
            </w:pPr>
            <w:r>
              <w:rPr/>
              <w:t>​</w:t>
            </w:r>
          </w:p>
        </w:tc>
      </w:tr>
      <w:tr>
        <w:trPr/>
        <w:tc>
          <w:tcPr>
            <w:tcW w:w="1215"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Vesting Schedule:</w:t>
            </w:r>
          </w:p>
        </w:tc>
        <w:tc>
          <w:tcPr>
            <w:tcW w:w="8990"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shares of Common Stock which may actually vest and become issuable pursuant to the Award shall be determined pursuant to a two-step process: (i) first there shall be calculated the maximum number of shares of Common Stock in which Participant can vest under the performance vesting section below based upon the actual level at which the Performance Goal specified on attached Schedule I is attained and (ii) then the number of shares calculated under clause (i) in which Participant may actually vest shall be determined on the basis of his or her satisfaction of the applicable Service vesting requirements set forth in the form Performance Share Award Agreement.</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Performance Vesting</w:t>
            </w:r>
            <w:r>
              <w:rPr>
                <w:rFonts w:ascii="Times New Roman;Times;serif" w:hAnsi="Times New Roman;Times;serif"/>
                <w:sz w:val="20"/>
              </w:rPr>
              <w:t>:  Attached Schedule I specifies the Performance Goal and Performance Period established for the Award.</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Performance Goal</w:t>
            </w:r>
            <w:r>
              <w:rPr>
                <w:rFonts w:ascii="Times New Roman;Times;serif" w:hAnsi="Times New Roman;Times;serif"/>
                <w:sz w:val="20"/>
              </w:rPr>
              <w:t xml:space="preserve">: There are three designated levels of attainment set forth in Schedule I for the Performance Goal: Threshold, Target and Maximum.  Following the completion of the Performance Period, the Plan Administrator shall determine and certify the actual level of attainment for the Performance Goal and shall then measure that level of attainment against the Threshold, </w:t>
            </w:r>
          </w:p>
        </w:tc>
      </w:tr>
      <w:tr>
        <w:trPr/>
        <w:tc>
          <w:tcPr>
            <w:tcW w:w="1215"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24"/>
        <w:gridCol w:w="4017"/>
        <w:gridCol w:w="700"/>
        <w:gridCol w:w="5032"/>
        <w:gridCol w:w="332"/>
      </w:tblGrid>
      <w:tr>
        <w:trPr/>
        <w:tc>
          <w:tcPr>
            <w:tcW w:w="124" w:type="dxa"/>
            <w:tcBorders/>
            <w:vAlign w:val="center"/>
          </w:tcPr>
          <w:p>
            <w:pPr>
              <w:pStyle w:val="TableContents"/>
              <w:bidi w:val="0"/>
              <w:spacing w:before="0" w:after="0"/>
              <w:ind w:left="0" w:right="0" w:hanging="0"/>
              <w:jc w:val="left"/>
              <w:rPr/>
            </w:pPr>
            <w:r>
              <w:rPr/>
              <w:t>​</w:t>
            </w:r>
          </w:p>
        </w:tc>
        <w:tc>
          <w:tcPr>
            <w:tcW w:w="10081" w:type="dxa"/>
            <w:gridSpan w:val="4"/>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Target and Maximum Levels set forth for that Performance Goal in attached Schedule I.  The Plan Administrator generally expects to complete this determination within sixty (60) days after the end of the Performance Period.  The maximum number of shares of Common Stock in which Participant can vest based upon the actual level of attainment of such Performance Goal shall be determined by applying the corresponding percentage below for that level of attainment to the number of Designated Shares set forth above:</w:t>
            </w:r>
          </w:p>
        </w:tc>
      </w:tr>
      <w:tr>
        <w:trPr/>
        <w:tc>
          <w:tcPr>
            <w:tcW w:w="124" w:type="dxa"/>
            <w:tcBorders/>
            <w:vAlign w:val="center"/>
          </w:tcPr>
          <w:p>
            <w:pPr>
              <w:pStyle w:val="TableContents"/>
              <w:bidi w:val="0"/>
              <w:spacing w:before="0" w:after="0"/>
              <w:ind w:left="0" w:right="0" w:hanging="0"/>
              <w:jc w:val="left"/>
              <w:rPr/>
            </w:pPr>
            <w:r>
              <w:rPr/>
              <w:t>​</w:t>
            </w:r>
          </w:p>
        </w:tc>
        <w:tc>
          <w:tcPr>
            <w:tcW w:w="4017"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left"/>
              <w:rPr/>
            </w:pPr>
            <w:r>
              <w:rPr/>
              <w:t>​</w:t>
            </w:r>
          </w:p>
        </w:tc>
        <w:tc>
          <w:tcPr>
            <w:tcW w:w="5032"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Level of Attainment</w:t>
            </w:r>
          </w:p>
        </w:tc>
        <w:tc>
          <w:tcPr>
            <w:tcW w:w="700" w:type="dxa"/>
            <w:tcBorders/>
            <w:vAlign w:val="center"/>
          </w:tcPr>
          <w:p>
            <w:pPr>
              <w:pStyle w:val="TableContents"/>
              <w:bidi w:val="0"/>
              <w:spacing w:before="0" w:after="0"/>
              <w:ind w:left="0" w:right="0" w:hanging="0"/>
              <w:jc w:val="left"/>
              <w:rPr/>
            </w:pPr>
            <w:r>
              <w:rPr/>
              <w:t>    </w:t>
            </w:r>
          </w:p>
        </w:tc>
        <w:tc>
          <w:tcPr>
            <w:tcW w:w="50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Percentage of Performance Shares</w:t>
            </w:r>
          </w:p>
        </w:tc>
        <w:tc>
          <w:tcPr>
            <w:tcW w:w="33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the Threshold Level:</w:t>
            </w:r>
          </w:p>
        </w:tc>
        <w:tc>
          <w:tcPr>
            <w:tcW w:w="700" w:type="dxa"/>
            <w:tcBorders/>
            <w:vAlign w:val="center"/>
          </w:tcPr>
          <w:p>
            <w:pPr>
              <w:pStyle w:val="TableContents"/>
              <w:bidi w:val="0"/>
              <w:spacing w:before="0" w:after="0"/>
              <w:ind w:left="0" w:right="0" w:hanging="0"/>
              <w:jc w:val="left"/>
              <w:rPr/>
            </w:pPr>
            <w:r>
              <w:rPr/>
              <w:t>​</w:t>
            </w:r>
          </w:p>
        </w:tc>
        <w:tc>
          <w:tcPr>
            <w:tcW w:w="50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33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the Threshold Level:</w:t>
            </w:r>
          </w:p>
        </w:tc>
        <w:tc>
          <w:tcPr>
            <w:tcW w:w="700" w:type="dxa"/>
            <w:tcBorders/>
            <w:vAlign w:val="center"/>
          </w:tcPr>
          <w:p>
            <w:pPr>
              <w:pStyle w:val="TableContents"/>
              <w:bidi w:val="0"/>
              <w:spacing w:before="0" w:after="0"/>
              <w:ind w:left="0" w:right="0" w:hanging="0"/>
              <w:jc w:val="left"/>
              <w:rPr/>
            </w:pPr>
            <w:r>
              <w:rPr/>
              <w:t>​</w:t>
            </w:r>
          </w:p>
        </w:tc>
        <w:tc>
          <w:tcPr>
            <w:tcW w:w="50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3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the Target Level:</w:t>
            </w:r>
          </w:p>
        </w:tc>
        <w:tc>
          <w:tcPr>
            <w:tcW w:w="700" w:type="dxa"/>
            <w:tcBorders/>
            <w:vAlign w:val="center"/>
          </w:tcPr>
          <w:p>
            <w:pPr>
              <w:pStyle w:val="TableContents"/>
              <w:bidi w:val="0"/>
              <w:spacing w:before="0" w:after="0"/>
              <w:ind w:left="0" w:right="0" w:hanging="0"/>
              <w:jc w:val="left"/>
              <w:rPr/>
            </w:pPr>
            <w:r>
              <w:rPr/>
              <w:t>​</w:t>
            </w:r>
          </w:p>
        </w:tc>
        <w:tc>
          <w:tcPr>
            <w:tcW w:w="50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3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the Maximum Level:</w:t>
            </w:r>
          </w:p>
        </w:tc>
        <w:tc>
          <w:tcPr>
            <w:tcW w:w="700" w:type="dxa"/>
            <w:tcBorders/>
            <w:vAlign w:val="center"/>
          </w:tcPr>
          <w:p>
            <w:pPr>
              <w:pStyle w:val="TableContents"/>
              <w:bidi w:val="0"/>
              <w:spacing w:before="0" w:after="0"/>
              <w:ind w:left="0" w:right="0" w:hanging="0"/>
              <w:jc w:val="left"/>
              <w:rPr/>
            </w:pPr>
            <w:r>
              <w:rPr/>
              <w:t>​</w:t>
            </w:r>
          </w:p>
        </w:tc>
        <w:tc>
          <w:tcPr>
            <w:tcW w:w="50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w:t>
            </w:r>
          </w:p>
        </w:tc>
        <w:tc>
          <w:tcPr>
            <w:tcW w:w="33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17"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left"/>
              <w:rPr/>
            </w:pPr>
            <w:r>
              <w:rPr/>
              <w:t>​</w:t>
            </w:r>
          </w:p>
        </w:tc>
        <w:tc>
          <w:tcPr>
            <w:tcW w:w="5032"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4"/>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extent the actual level of attainment of the Performance Goal is at a point between the Threshold and Target Levels, the maximum number of shares of Common Stock in which Participant can vest shall be interpolated between the two points on a straight line basis.</w:t>
            </w:r>
          </w:p>
          <w:p>
            <w:pPr>
              <w:pStyle w:val="TableContents"/>
              <w:pBdr/>
              <w:bidi w:val="0"/>
              <w:spacing w:before="0" w:after="240"/>
              <w:ind w:left="0" w:right="0" w:hanging="18"/>
              <w:jc w:val="both"/>
              <w:rPr>
                <w:rFonts w:ascii="Times New Roman;Times;serif" w:hAnsi="Times New Roman;Times;serif"/>
                <w:sz w:val="20"/>
              </w:rPr>
            </w:pPr>
            <w:r>
              <w:rPr>
                <w:rFonts w:ascii="Times New Roman;Times;serif" w:hAnsi="Times New Roman;Times;serif"/>
                <w:sz w:val="20"/>
              </w:rPr>
              <w:t>To the extent the actual level of attainment of a Performance Goal is at a point between the Target and Maximum Levels, the maximum number of shares of Common Stock in which Participant can vest shall be interpolated between the two points on a straight line basis.</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Performance-Qualified Shares</w:t>
            </w:r>
            <w:r>
              <w:rPr>
                <w:rFonts w:ascii="Times New Roman;Times;serif" w:hAnsi="Times New Roman;Times;serif"/>
                <w:sz w:val="20"/>
              </w:rPr>
              <w:t>: The maximum number of shares of Common Stock in which Participant can vest on the basis of the foregoing performance measures shall be hereinafter designated the “Performance-Qualified Shares” and shall in no event exceed in the aggregate 200% of the number of Designated Shares set forth in the Number of Shares Subject to Award section above.</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Service Vesting.  </w:t>
            </w:r>
            <w:r>
              <w:rPr>
                <w:rFonts w:ascii="Times New Roman;Times;serif" w:hAnsi="Times New Roman;Times;serif"/>
                <w:sz w:val="20"/>
              </w:rPr>
              <w:t xml:space="preserve">The number of Performance-Qualified Shares in which Participant actually vests shall be determined on the basis of his or her satisfaction of the Service-vesting requirements set forth in Paragraph 3 of the form Performance Share Award Agreement attached hereto as </w:t>
            </w:r>
            <w:r>
              <w:rPr>
                <w:rFonts w:ascii="Times New Roman;Times;serif" w:hAnsi="Times New Roman;Times;serif"/>
                <w:sz w:val="20"/>
                <w:u w:val="single"/>
              </w:rPr>
              <w:t>Exhibit A</w:t>
            </w:r>
            <w:r>
              <w:rPr>
                <w:rFonts w:ascii="Times New Roman;Times;serif" w:hAnsi="Times New Roman;Times;serif"/>
                <w:sz w:val="20"/>
              </w:rPr>
              <w:t xml:space="preserve"> (the “Award Agreement”).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Participant agrees to electronic delivery of any and all communications relating to the Award, the Award Agreement or the Plan, including but not limited to documentation of the Award, the official prospectus for the Plan, and any and all other documents and materials relating to the Award, the Award Agreement or the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Coverage under Recoupment Policy</w:t>
      </w:r>
      <w:r>
        <w:rPr>
          <w:rFonts w:ascii="Times New Roman;Times;serif" w:hAnsi="Times New Roman;Times;serif"/>
          <w:sz w:val="20"/>
        </w:rPr>
        <w:t>. Participant hereby agrees that: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Participant may be subject to the Matson, Inc. Policy Regarding Recoupment of Certain Compensation, as applicable and as it may be amended from time to time, the terms of which are hereby incorporated herein by reference;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incentive compensation that is paid or granted to, or received by, Participant under the Award shall be subject to recovery and recoupment pursuant to the terms of such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copy of the recoupment policy is available upon request made to the Corporate Secretary.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Continuing Consent</w:t>
      </w:r>
      <w:r>
        <w:rPr>
          <w:rFonts w:ascii="Times New Roman;Times;serif" w:hAnsi="Times New Roman;Times;serif"/>
          <w:sz w:val="20"/>
        </w:rPr>
        <w:t>. Participant further acknowledges and agrees that, except to the extent the Plan Administrator notifies Participant in writing to the contrary, each subsequent award of Performance Shares made to him or her under the Plan shall be subject to the same terms and conditions set forth in the Award Agreement, and Participant hereby understands and agrees to those terms and conditions for each such subsequent Performance Shares award that may be made to him or her under the Plan and hereby agrees to be bound by those terms and conditions for any such Performance Share awards, without any further consent or action required on his or her part at the time or times when those awards may be made.  However, Participant may, at any time he or she holds an outstanding Performance Share award under the Plan, request a written copy of the Award Agreement from the Corporation by contacting the Corporation’s Human Resources Department.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Employment at Will</w:t>
      </w:r>
      <w:r>
        <w:rPr>
          <w:rFonts w:ascii="Times New Roman;Times;serif" w:hAnsi="Times New Roman;Times;serif"/>
          <w:sz w:val="20"/>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Definitions</w:t>
      </w:r>
      <w:r>
        <w:rPr>
          <w:rFonts w:ascii="Times New Roman;Times;serif" w:hAnsi="Times New Roman;Times;serif"/>
          <w:sz w:val="20"/>
        </w:rPr>
        <w:t>.  All capitalized terms in this Notice shall have the meaning assigned to them in this Notice or in the Award Agreement.</w:t>
      </w:r>
    </w:p>
    <w:tbl>
      <w:tblPr>
        <w:tblW w:w="2166" w:type="dxa"/>
        <w:jc w:val="center"/>
        <w:tblInd w:w="0" w:type="dxa"/>
        <w:tblLayout w:type="fixed"/>
        <w:tblCellMar>
          <w:top w:w="0" w:type="dxa"/>
          <w:left w:w="0" w:type="dxa"/>
          <w:bottom w:w="0" w:type="dxa"/>
          <w:right w:w="0" w:type="dxa"/>
        </w:tblCellMar>
      </w:tblPr>
      <w:tblGrid>
        <w:gridCol w:w="124"/>
        <w:gridCol w:w="556"/>
        <w:gridCol w:w="1486"/>
      </w:tblGrid>
      <w:tr>
        <w:trPr/>
        <w:tc>
          <w:tcPr>
            <w:tcW w:w="124" w:type="dxa"/>
            <w:tcBorders/>
            <w:vAlign w:val="center"/>
          </w:tcPr>
          <w:p>
            <w:pPr>
              <w:pStyle w:val="TableContents"/>
              <w:bidi w:val="0"/>
              <w:spacing w:before="0" w:after="0"/>
              <w:ind w:left="0" w:right="0" w:hanging="0"/>
              <w:jc w:val="left"/>
              <w:rPr/>
            </w:pPr>
            <w:r>
              <w:rPr/>
              <w:t>​</w:t>
            </w:r>
          </w:p>
        </w:tc>
        <w:tc>
          <w:tcPr>
            <w:tcW w:w="20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MATSON, INC.</w:t>
            </w:r>
          </w:p>
        </w:tc>
      </w:tr>
      <w:tr>
        <w:trPr/>
        <w:tc>
          <w:tcPr>
            <w:tcW w:w="124" w:type="dxa"/>
            <w:tcBorders/>
            <w:vAlign w:val="center"/>
          </w:tcPr>
          <w:p>
            <w:pPr>
              <w:pStyle w:val="TableContents"/>
              <w:bidi w:val="0"/>
              <w:spacing w:before="0" w:after="0"/>
              <w:ind w:left="0" w:right="0" w:hanging="0"/>
              <w:jc w:val="left"/>
              <w:rPr/>
            </w:pPr>
            <w:r>
              <w:rPr/>
              <w:t>​</w:t>
            </w:r>
          </w:p>
        </w:tc>
        <w:tc>
          <w:tcPr>
            <w:tcW w:w="20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0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PARTICIPANT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SCHEDULE 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PERFORMANCE PERIOD, PERFORMANCE GOAL</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AND LEVELS OF ATTAINMENT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PERIOD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Performance Period shall be the three (3)-year period beginning January 1, 20xx and ending December 31, 20xx.</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GOAL – RETURN ON INVESTED CAPITAL</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performance vesting requirement for this Award shall be tied to the level of attainment of the Average Adjusted ROIC for the Performance Period. The required levels of attainment of Average Adjusted ROIC for the Performance Period at the Threshold, Target and Maximum Levels are as follows:</w:t>
      </w:r>
    </w:p>
    <w:tbl>
      <w:tblPr>
        <w:tblW w:w="2297" w:type="dxa"/>
        <w:jc w:val="center"/>
        <w:tblInd w:w="0" w:type="dxa"/>
        <w:tblLayout w:type="fixed"/>
        <w:tblCellMar>
          <w:top w:w="0" w:type="dxa"/>
          <w:left w:w="0" w:type="dxa"/>
          <w:bottom w:w="0" w:type="dxa"/>
          <w:right w:w="0" w:type="dxa"/>
        </w:tblCellMar>
      </w:tblPr>
      <w:tblGrid>
        <w:gridCol w:w="1561"/>
        <w:gridCol w:w="736"/>
      </w:tblGrid>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Threshold Level: </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Target Level:</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Maximum Level</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0"/>
        </w:rPr>
        <w:t>Average Adjusted ROIC” shall be the percentage, rounded down to the nearest tenth of a percent, determined as follows:</w:t>
      </w:r>
    </w:p>
    <w:tbl>
      <w:tblPr>
        <w:tblW w:w="10046" w:type="dxa"/>
        <w:jc w:val="center"/>
        <w:tblInd w:w="0" w:type="dxa"/>
        <w:tblLayout w:type="fixed"/>
        <w:tblCellMar>
          <w:top w:w="0" w:type="dxa"/>
          <w:left w:w="0" w:type="dxa"/>
          <w:bottom w:w="0" w:type="dxa"/>
          <w:right w:w="0" w:type="dxa"/>
        </w:tblCellMar>
      </w:tblPr>
      <w:tblGrid>
        <w:gridCol w:w="10046"/>
      </w:tblGrid>
      <w:tr>
        <w:trPr/>
        <w:tc>
          <w:tcPr>
            <w:tcW w:w="10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379845" cy="175260"/>
                      <wp:effectExtent l="0" t="0" r="0" b="0"/>
                      <wp:wrapNone/>
                      <wp:docPr id="569" name="Frame569"/>
                      <a:graphic xmlns:a="http://schemas.openxmlformats.org/drawingml/2006/main">
                        <a:graphicData uri="http://schemas.microsoft.com/office/word/2010/wordprocessingShape">
                          <wps:wsp>
                            <wps:cNvSpPr txBox="1"/>
                            <wps:spPr>
                              <a:xfrm>
                                <a:off x="0" y="0"/>
                                <a:ext cx="6379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Annual Adjusted ROIC for 20xx + Annual Adjusted ROIC for 20xx +Annual Adjusted ROIC for 20xx</w:t>
            </w:r>
          </w:p>
        </w:tc>
      </w:tr>
      <w:tr>
        <w:trPr/>
        <w:tc>
          <w:tcPr>
            <w:tcW w:w="10046" w:type="dxa"/>
            <w:tcBorders/>
            <w:vAlign w:val="center"/>
          </w:tcPr>
          <w:p>
            <w:pPr>
              <w:pStyle w:val="TableContents"/>
              <w:bidi w:val="0"/>
              <w:spacing w:lineRule="atLeast" w:line="142" w:before="0" w:after="0"/>
              <w:ind w:left="0" w:right="0" w:hanging="0"/>
              <w:jc w:val="center"/>
              <w:rPr/>
            </w:pPr>
            <w:r>
              <w:rPr/>
              <w:t>                                                                                                                                                                     </w:t>
            </w:r>
          </w:p>
        </w:tc>
      </w:tr>
      <w:tr>
        <w:trPr/>
        <w:tc>
          <w:tcPr>
            <w:tcW w:w="100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0"/>
        </w:rPr>
        <w:t>Annual Adjusted ROIC” for a calendar year shall be the percentage determined as follows:</w:t>
      </w:r>
    </w:p>
    <w:tbl>
      <w:tblPr>
        <w:tblW w:w="6766" w:type="dxa"/>
        <w:jc w:val="center"/>
        <w:tblInd w:w="0" w:type="dxa"/>
        <w:tblLayout w:type="fixed"/>
        <w:tblCellMar>
          <w:top w:w="0" w:type="dxa"/>
          <w:left w:w="0" w:type="dxa"/>
          <w:bottom w:w="0" w:type="dxa"/>
          <w:right w:w="0" w:type="dxa"/>
        </w:tblCellMar>
      </w:tblPr>
      <w:tblGrid>
        <w:gridCol w:w="5981"/>
        <w:gridCol w:w="631"/>
        <w:gridCol w:w="154"/>
      </w:tblGrid>
      <w:tr>
        <w:trPr/>
        <w:tc>
          <w:tcPr>
            <w:tcW w:w="5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Adjusted Net Income After Tax + After Tax Interest Expense</w:t>
            </w:r>
          </w:p>
        </w:tc>
        <w:tc>
          <w:tcPr>
            <w:tcW w:w="631" w:type="dxa"/>
            <w:vMerge w:val="restart"/>
            <w:tcBorders/>
            <w:vAlign w:val="center"/>
          </w:tcPr>
          <w:p>
            <w:pPr>
              <w:pStyle w:val="TableContents"/>
              <w:bidi w:val="0"/>
              <w:spacing w:before="0" w:after="0"/>
              <w:ind w:left="0" w:right="0" w:hanging="0"/>
              <w:jc w:val="left"/>
              <w:rPr/>
            </w:pPr>
            <w:r>
              <w:rPr/>
              <w:t> </w:t>
            </w:r>
            <w:r>
              <w:rPr>
                <w:rFonts w:ascii="Times New Roman;Times;serif" w:hAnsi="Times New Roman;Times;serif"/>
                <w:sz w:val="20"/>
              </w:rPr>
              <w:t>x 100</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981" w:type="dxa"/>
            <w:tcBorders/>
            <w:vAlign w:val="center"/>
          </w:tcPr>
          <w:p>
            <w:pPr>
              <w:pStyle w:val="TableContents"/>
              <w:bidi w:val="0"/>
              <w:spacing w:lineRule="atLeast" w:line="142" w:before="0" w:after="0"/>
              <w:ind w:left="0" w:right="0" w:hanging="0"/>
              <w:jc w:val="center"/>
              <w:rPr/>
            </w:pPr>
            <w:r>
              <w:rPr/>
              <w:t>                                                                                                  </w:t>
            </w:r>
          </w:p>
        </w:tc>
        <w:tc>
          <w:tcPr>
            <w:tcW w:w="631" w:type="dxa"/>
            <w:vMerge w:val="continue"/>
            <w:tcBorders/>
            <w:vAlign w:val="center"/>
          </w:tcPr>
          <w:p>
            <w:pPr>
              <w:pStyle w:val="Normal"/>
              <w:bidi w:val="0"/>
              <w:jc w:val="left"/>
              <w:rPr/>
            </w:pPr>
            <w:r>
              <w:rPr/>
            </w:r>
          </w:p>
        </w:tc>
        <w:tc>
          <w:tcPr>
            <w:tcW w:w="154" w:type="dxa"/>
            <w:tcBorders/>
            <w:vAlign w:val="center"/>
          </w:tcPr>
          <w:p>
            <w:pPr>
              <w:pStyle w:val="TableContents"/>
              <w:bidi w:val="0"/>
              <w:spacing w:lineRule="atLeast" w:line="240" w:before="0" w:after="0"/>
              <w:ind w:left="0" w:right="0" w:hanging="0"/>
              <w:jc w:val="left"/>
              <w:rPr/>
            </w:pPr>
            <w:r>
              <w:rPr/>
              <w:t>​</w:t>
            </w:r>
          </w:p>
        </w:tc>
      </w:tr>
      <w:tr>
        <w:trPr/>
        <w:tc>
          <w:tcPr>
            <w:tcW w:w="5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Debt + Average Adjusted Total Shareholders’ Equity</w:t>
            </w:r>
          </w:p>
        </w:tc>
        <w:tc>
          <w:tcPr>
            <w:tcW w:w="631"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Annual Adjusted ROIC for a calendar year shall be calculated on a consolidated basis with the Corporation’s consolidated subsidiaries for U.S. financial reporting purposes and shall be determined on the basis of the Corporation’s audited financial statements for such year prepared in accordance with United States generally accepted accounting principles, subject to any adjustments as determined by the Plan Administrator that are needed to accurately reflect the performance of the Corporation (e.g., because of changes in accounting rules, extraordinary gains from the sale of the Corporation’s assets, unforeseen extraordinary events affecting the Corporation or any of its business operations, or other similar or dissimilar circumstances occurring during the Performance Period that may or may not have been beyond the control of the Corporation).</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SCHEDULE</w:t>
      </w:r>
      <w:r>
        <w:rPr>
          <w:rFonts w:ascii="Times New Roman;Times;serif" w:hAnsi="Times New Roman;Times;serif"/>
          <w:sz w:val="20"/>
        </w:rPr>
        <w:t xml:space="preserve"> I-1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0"/>
        </w:rPr>
        <w:t>Adjusted Net Income” for a calendar year means Net Income for the year minus tax-effected interest income on deposits in the Capital Construction Fund.</w:t>
      </w:r>
    </w:p>
    <w:p>
      <w:pPr>
        <w:pStyle w:val="TextBody"/>
        <w:bidi w:val="0"/>
        <w:spacing w:before="0" w:after="240"/>
        <w:ind w:left="0" w:right="0" w:hanging="0"/>
        <w:jc w:val="both"/>
        <w:rPr/>
      </w:pPr>
      <w:r>
        <w:rPr/>
        <w:t>“</w:t>
      </w:r>
      <w:r>
        <w:rPr>
          <w:rFonts w:ascii="Times New Roman;Times;serif" w:hAnsi="Times New Roman;Times;serif"/>
          <w:sz w:val="20"/>
        </w:rPr>
        <w:t>Average Debt” for a calendar year means the average of the Debt at the beginning of the year and Debt at the end of the year.</w:t>
      </w:r>
    </w:p>
    <w:p>
      <w:pPr>
        <w:pStyle w:val="TextBody"/>
        <w:bidi w:val="0"/>
        <w:spacing w:before="0" w:after="240"/>
        <w:ind w:left="0" w:right="0" w:hanging="0"/>
        <w:jc w:val="both"/>
        <w:rPr/>
      </w:pPr>
      <w:r>
        <w:rPr/>
        <w:t>“</w:t>
      </w:r>
      <w:r>
        <w:rPr>
          <w:rFonts w:ascii="Times New Roman;Times;serif" w:hAnsi="Times New Roman;Times;serif"/>
          <w:sz w:val="20"/>
        </w:rPr>
        <w:t>Debt” means long-term debt plus notes payable and current portion of the long term debt, as determined in accordance with United States generally accepted accounting principles, and is intended to include potential convertible debt and other hybrid debt issued in the future.</w:t>
      </w:r>
    </w:p>
    <w:p>
      <w:pPr>
        <w:pStyle w:val="TextBody"/>
        <w:bidi w:val="0"/>
        <w:spacing w:before="0" w:after="240"/>
        <w:ind w:left="0" w:right="0" w:hanging="0"/>
        <w:jc w:val="both"/>
        <w:rPr/>
      </w:pPr>
      <w:r>
        <w:rPr/>
        <w:t>“</w:t>
      </w:r>
      <w:r>
        <w:rPr>
          <w:rFonts w:ascii="Times New Roman;Times;serif" w:hAnsi="Times New Roman;Times;serif"/>
          <w:sz w:val="20"/>
        </w:rPr>
        <w:t>Adjusted Total Shareholders’ Equity” for a calendar year means the year-end balance of Shareholders’ Equity minus the year-end balance of construction-in-progress within Property, Plant &amp; Equipment, and minus the year-end balance of the Capital Construction Fund.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otherwise defined above or in the Notice of Award of Performance Shares to which this Schedule is attached, capitalized terms used in this Schedule shall be construed in accordance with accounting principles generally accepted in the United States.</w:t>
      </w:r>
    </w:p>
    <w:p>
      <w:pPr>
        <w:pStyle w:val="TextBody"/>
        <w:bidi w:val="0"/>
        <w:spacing w:before="0" w:after="0"/>
        <w:ind w:left="0" w:right="0" w:hanging="0"/>
        <w:jc w:val="left"/>
        <w:rPr>
          <w:caps/>
        </w:rPr>
      </w:pPr>
      <w:r>
        <w:rPr>
          <w:caps/>
        </w:rPr>
        <w:t>​</w:t>
      </w:r>
    </w:p>
    <w:p>
      <w:pPr>
        <w:pStyle w:val="TextBody"/>
        <w:bidi w:val="0"/>
        <w:spacing w:before="0" w:after="0"/>
        <w:ind w:left="0" w:right="0" w:hanging="0"/>
        <w:jc w:val="left"/>
        <w:rPr>
          <w:caps/>
        </w:rPr>
      </w:pPr>
      <w:r>
        <w:rPr>
          <w:caps/>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SCHEDULE</w:t>
      </w:r>
      <w:r>
        <w:rPr>
          <w:rFonts w:ascii="Times New Roman;Times;serif" w:hAnsi="Times New Roman;Times;serif"/>
          <w:sz w:val="20"/>
        </w:rPr>
        <w:t xml:space="preserve"> I-2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EXHIBIT A</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MATSON, INC.</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performance SHARE AWARD AGREEMENT</w:t>
      </w:r>
    </w:p>
    <w:p>
      <w:pPr>
        <w:pStyle w:val="TextBody"/>
        <w:bidi w:val="0"/>
        <w:spacing w:before="0" w:after="240"/>
        <w:ind w:left="0" w:right="0" w:hanging="0"/>
        <w:jc w:val="both"/>
        <w:rPr>
          <w:rFonts w:ascii="Times New Roman;Times;serif" w:hAnsi="Times New Roman;Times;serif"/>
          <w:b/>
          <w:caps/>
          <w:sz w:val="20"/>
        </w:rPr>
      </w:pPr>
      <w:r>
        <w:rPr>
          <w:rFonts w:ascii="Times New Roman;Times;serif" w:hAnsi="Times New Roman;Times;serif"/>
          <w:b/>
          <w:caps/>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equity incentive compensation programs designed to motivate, attract and retain the services of persons who contribute to the success of the 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All capitalized terms in this Agreement shall have the meaning assigned to them in the attached </w:t>
      </w:r>
      <w:r>
        <w:rPr>
          <w:rFonts w:ascii="Times New Roman;Times;serif" w:hAnsi="Times New Roman;Times;serif"/>
          <w:sz w:val="20"/>
          <w:u w:val="single"/>
        </w:rPr>
        <w:t>Appendix A</w:t>
      </w:r>
      <w:r>
        <w:rPr>
          <w:rFonts w:ascii="Times New Roman;Times;serif" w:hAnsi="Times New Roman;Times;serif"/>
          <w:sz w:val="20"/>
        </w:rPr>
        <w:t>, or if not defined in that appendix, as defined in the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it is hereby agreed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Grant of Performance Shares</w:t>
      </w:r>
      <w:r>
        <w:rPr>
          <w:rFonts w:ascii="Times New Roman;Times;serif" w:hAnsi="Times New Roman;Times;serif"/>
          <w:sz w:val="20"/>
        </w:rPr>
        <w:t>.  The Corporation hereby awards to Participant, as of the Award Date, Performance Shares under the Plan.  The number of shares of Common Stock underlying the award and the applicable performance vesting requirements for those shares are set forth in the Award Notice.  The remaining terms and conditions governing the Award shall be as set forth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Limited Transferability</w:t>
      </w:r>
      <w:r>
        <w:rPr>
          <w:rFonts w:ascii="Times New Roman;Times;serif" w:hAnsi="Times New Roman;Times;serif"/>
          <w:sz w:val="20"/>
        </w:rPr>
        <w:t>.  Prior to the actual issuance of the Shares which vest hereunder, Participant may not transfer any interest in the Performance Shares subject to the Award or the underlying Shares or pledge or otherwise hedge the sale of those Performance Shares or underlying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Vesting Requirements</w:t>
      </w:r>
      <w:r>
        <w:rPr>
          <w:rFonts w:ascii="Times New Roman;Times;serif" w:hAnsi="Times New Roman;Times;serif"/>
          <w:sz w:val="20"/>
        </w:rPr>
        <w:t xml:space="preserve">.  The actual number of Shares that may vest and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become issuable pursuant to the Performance Shares shall be determined pursuant to a two-step process:  (i) first there shall be calculated the maximum number of Shares in which Participant can vest based upon the level at which the Performance Goal specified on Schedule I to the Award Notice is actually attained and (ii) then the number of the Performance-Qualified Shares resulting from the clause (i) calculation in which Participant shall actually vest shall be determined on the basis of his or her completion of the applicable Service vesting provisions set forth below.  Accordingly, the vesting of the Shares shall be calculated as follows: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b/>
          <w:i/>
          <w:sz w:val="20"/>
        </w:rPr>
        <w:t>Performance Vesting</w:t>
      </w:r>
      <w:r>
        <w:rPr>
          <w:rFonts w:ascii="Times New Roman;Times;serif" w:hAnsi="Times New Roman;Times;serif"/>
          <w:sz w:val="20"/>
        </w:rPr>
        <w:t>: Following the completion of the Performance Period, the Plan Administrator shall determine the applicable number of Performance-Qualified Shares in accordance with the provisions of the Award Notice and Schedule I attached thereto. The Plan Administrator generally expects to complete this determination within sixty (60) days after the end of the Performance Period.  Appendix B attached to this Agreement sets forth examples illustrating the calculation of the number of Shares in which the Participant may vest based upon hypothetical levels of Performance Goal attainment and service vesting requirements.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b/>
          <w:i/>
          <w:sz w:val="20"/>
        </w:rPr>
        <w:t>Service Vesting</w:t>
      </w:r>
      <w:r>
        <w:rPr>
          <w:rFonts w:ascii="Times New Roman;Times;serif" w:hAnsi="Times New Roman;Times;serif"/>
          <w:sz w:val="20"/>
        </w:rPr>
        <w:t>:  The Performance-Qualified Shares so determined represent the maximum number of Shares in which Participant can vest hereunder.  The actual number of Shares in which Participant shall vest shall be determined as follows:</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(i)If Participant continues in Service through the Service Vesting Date, Participant shall vest in all of the Performance-Qualified Shares. The Shares underlying those particular Performance-Qualified Shares shall generally be issued to Participant during the period beginning with the Service Vesting Date and ending on March 15th of that year; </w:t>
      </w:r>
      <w:r>
        <w:rPr>
          <w:rFonts w:ascii="Times New Roman;Times;serif" w:hAnsi="Times New Roman;Times;serif"/>
          <w:sz w:val="20"/>
          <w:u w:val="single"/>
        </w:rPr>
        <w:t>provided</w:t>
      </w:r>
      <w:r>
        <w:rPr>
          <w:rFonts w:ascii="Times New Roman;Times;serif" w:hAnsi="Times New Roman;Times;serif"/>
          <w:sz w:val="20"/>
        </w:rPr>
        <w:t xml:space="preserve"> that, if the Service Vesting Date is after the end of the Performance Period, then the Shares shall be issued as soon as administratively practicable after the Service Vesting Date, but in no event later than sixty (60) days after the Service Vesting Date.</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(ii)If Participant ceases Service </w:t>
      </w:r>
      <w:r>
        <w:rPr>
          <w:rFonts w:ascii="Times New Roman;Times;serif" w:hAnsi="Times New Roman;Times;serif"/>
          <w:b/>
          <w:i/>
          <w:sz w:val="20"/>
        </w:rPr>
        <w:t xml:space="preserve">prior to </w:t>
      </w:r>
      <w:r>
        <w:rPr>
          <w:rFonts w:ascii="Times New Roman;Times;serif" w:hAnsi="Times New Roman;Times;serif"/>
          <w:sz w:val="20"/>
        </w:rPr>
        <w:t xml:space="preserve">the Service Vesting Date by reason of Early Retirement, Normal Retirement, death or Permanent Disability, then Participant shall, upon the determination by the Plan Administrator of the maximum number of Performance-Qualified Shares, vest in a portion of the Performance-Qualified Shares determined by a two-step process: (i) prior to the Service Vesting Date, the Designated Shares will be prorated by multiplying (x) the number of Designated Shares by (y) a fraction, the numerator of which is the number of whole months of actual Service completed by Participant in such Performance Period, and the denominator of which is thirty-six (36) months, the product to be rounded up to the next whole share and (ii) then the number of shares calculated under clause (i) in which Participant may actually vest shall be the maximum number of shares of Common Stock in which Participant can vest under the Performance Vesting section based upon the actual level at which the Performance Goal specified on attached Schedule I is attained.  The Shares underlying the Performance-Qualified Shares in which Participant vests in accordance with this subparagraph (ii) shall generally be issued to Participant (or in the event of the death of Participant, then to Participant’s heirs or beneficiaries)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720" w:hanging="0"/>
        <w:jc w:val="both"/>
        <w:rPr>
          <w:rFonts w:ascii="Times New Roman;Times;serif" w:hAnsi="Times New Roman;Times;serif"/>
          <w:sz w:val="20"/>
        </w:rPr>
      </w:pPr>
      <w:r>
        <w:rPr>
          <w:rFonts w:ascii="Times New Roman;Times;serif" w:hAnsi="Times New Roman;Times;serif"/>
          <w:sz w:val="20"/>
        </w:rPr>
        <w:t>during the period beginning with the Service Vesting Date and ending  on March 15th of that year; provided that, if the Service Vesting Date is after the end of the Performance Period, then the Shares shall be issued as soon as administratively practicable after the Service Vesting Date, but in no event later than sixty (60) days after the Service Vesting Date.</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(iii)If Participant’s Service ceases for any other reason prior to the Service Vesting Date, then Participant shall not vest in any of the Performance-Qualified Shares and all of Participant’s right, title and interest to the Shares subject to this Award shall cease.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Shareholder Rights</w:t>
      </w:r>
      <w:r>
        <w:rPr>
          <w:rFonts w:ascii="Times New Roman;Times;serif" w:hAnsi="Times New Roman;Times;serif"/>
          <w:sz w:val="20"/>
        </w:rPr>
        <w:t>.  The holder of this Award shall not have any shareholder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Change in Control.</w:t>
      </w:r>
      <w:r>
        <w:rPr>
          <w:rFonts w:ascii="Times New Roman;Times;serif" w:hAnsi="Times New Roman;Times;serif"/>
          <w:sz w:val="20"/>
        </w:rPr>
        <w:t xml:space="preserve">  Notwithstanding Paragraph 3 above, the following provisions shall apply to the extent a Change in Control is consummated prior to the completion of the applicable Performance Period and shall have no force or effect in the event the closing of the Change in Control occurs on or after the completion of the Performance Period.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(a)This Award may be assumed by the successor entity or otherwise continued in full force and effect, provided, however, that the securities subject to such Award following such assumption or continuation are actively traded on an established securities exchange, or may be replaced with a substitute equivalent award established by the successor entity.  In such event, the following provisions shall be in effect:</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(i)The Performance-Vesting requirements of this Agreement shall terminate, and the assumption or continuation of this Award shall be effected in accordance with Paragraph 5(b) below on the basis of the number of Change in Control Shares.  The Service-vesting and issuance provisions of Paragraph 3(b)(i) shall continue in effect with respect to the assumed or continued Award.</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(ii)If Participant ceases Service prior to the Service Vesting Date by reason of Early Retirement, Normal Retirement, death or Permanent Disability, then Participant shall, upon the closing of the Change in Control or (if later) such cessation of Service,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issued to Participant on the earlier of (i) the date the Shares would have otherwise been issued pursuant to the provisions of Paragraph 3(b)(ii) in the absence of such Change in Control or, should such cessation of Service occur after such Change in Control but within twenty-four (24) months after the closing of a Qualifying Change in Control, (ii) the date of Participant’s Separation from Service due to such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cessation of Service.</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(iii)To the extent the substitute equivalent award is in the form of cash, a cash retention account shall be established and shall initially be credited with the Fair Market Value (at the effective time of the Change in Control) of the number of Change in Control Shares, and interest shall accrue on the outstanding balance of such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Times New Roman;Times;serif" w:hAnsi="Times New Roman;Times;serif"/>
          <w:b/>
          <w:i/>
          <w:sz w:val="20"/>
        </w:rPr>
        <w:t>The Wall Street Journal</w:t>
      </w:r>
      <w:r>
        <w:rPr>
          <w:rFonts w:ascii="Times New Roman;Times;serif" w:hAnsi="Times New Roman;Times;serif"/>
          <w:sz w:val="20"/>
        </w:rPr>
        <w:t>.  The cash retention account shall vest and be paid out in accordance with the Service vesting and issuance provisions of Paragraph 3(b)(i) or (to the extent applicable) in accordance with the pro-rata Service vesting and issuance provisions of Paragraph 5(a)(ii) above. The Participant’s interest in the account shall at all times be that of a general, unsecured creditor.</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(iv)In the event of such assumption or continuation of this Award or such replacement of the Award with a substitute equivalent award, no accelerated vesting of the Performance Shares subject to this Award or the underlying Shares shall occur at the time of the Change in Control, and the Service-vesting provisions of Paragraph 3(b) shall continue in full force and effect.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(b)In the event this Award is assumed, otherwise continued in effect, or replaced in connection with such Change in Control, the securities subject to the Award shall be adjusted immediately after the consummation of that Change in Control so as to apply to the number and class of securities into which the number of Change in Control Shares would have been converted in consummation of that Change in Control had that number of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Performance Shares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(c)Upon Participant’s Separation from Service due to an Involuntary Termination occurring within twenty-four (24) months after a Change in Control in which this Award is assumed or continued in effect, Participant shall immediately vest in that number of Shares equal to the Change in Control Shares that remain unvested, and that number of Shares shall be issued to Participant on the date of Participant’s Separation from Service due to such cessation of Service.  Should this Award be replaced with a substitute equivalent award in accordance with Paragraph 5(a), then that award shall vest upon Participant’s Separation from Service due to the Involuntary Termination, provided and only if such Involuntary Termination occurs within twenty-four (24) months following the Change in Control. Such vested portion of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award shall be issued or distributed, as applicable, on the date of Participant’s Separation from Service, provided such Separation from Service occurs within twenty-four (24) months after a Qualifying Change in Control.  Except for the number of Shares, or such equivalent award, distributed in accordance with the foregoing provisions of this Paragraph 5(c), Participant shall have no further right or entitlement to any additional Shares or other cash or property hereunder upon such Separation from Service.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(d)If the Award is not (1) assumed by the successor entity, (2) otherwise continued in effect or (3) replaced with a substitute equivalent award in accordance with Paragraph 5(a), then the following provisions shall apply:</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(i)If Participant continues in Service through the effective date of the Change in Control, then Participant shall, upon the closing of such Change in Control, vest in that number of Shares equal to the Change in Control Shares.  The Shares in which Participant so vests shall be converted into the right to receive the same consideration per share of Common Stock payable to the other shareholders of the Corporation in consummation of the Change in Control. Such consideration per Share shall be distributed to Participant on the </w:t>
      </w:r>
      <w:r>
        <w:rPr>
          <w:rFonts w:ascii="Times New Roman;Times;serif" w:hAnsi="Times New Roman;Times;serif"/>
          <w:b/>
          <w:i/>
          <w:sz w:val="20"/>
        </w:rPr>
        <w:t xml:space="preserve">earliest </w:t>
      </w:r>
      <w:r>
        <w:rPr>
          <w:rFonts w:ascii="Times New Roman;Times;serif" w:hAnsi="Times New Roman;Times;serif"/>
          <w:sz w:val="20"/>
        </w:rPr>
        <w:t>to occur of (x) the date the Share would have otherwise been issued pursuant to the Service vesting and issuance provisions set forth in Paragraph 3(b)(i) in the absence of such Change in Control, (y) the date of Participant’s Separation from Service, provided such Separation from Service occurs within twenty-four (24) months after a Qualifying Change in Control, or (z) the first date upon or following a Qualifying Change in Control transaction on which the distribution can be made without contravention of any applicable provisions of Section 409A of the Code (“Section 409A”).</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(ii)To the extent the consideration payable per share of Common Stock in the Change in Control is in the form of cash, a fully-vested cash retention account shall be established by the successor entity at the time of such Change in Control for each Share that vests on an accelerated basis in accordance with Paragraph 5(d)(i) above.  Such account shall be credited with the amount of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by </w:t>
      </w:r>
      <w:r>
        <w:rPr>
          <w:rFonts w:ascii="Times New Roman;Times;serif" w:hAnsi="Times New Roman;Times;serif"/>
          <w:b/>
          <w:i/>
          <w:sz w:val="20"/>
        </w:rPr>
        <w:t>The Wall Street Journal</w:t>
      </w:r>
      <w:r>
        <w:rPr>
          <w:rFonts w:ascii="Times New Roman;Times;serif" w:hAnsi="Times New Roman;Times;serif"/>
          <w:sz w:val="20"/>
        </w:rPr>
        <w:t>.  The cash retention account, together with all accrued interest thereon through the actual payment date, shall be distributed, as to each Share to which that cash retention accounts pertains, in accordance with the foregoing distribution provisions of Paragraph 5(d)(i) above.  Participant’s interest in the account shall at all times be that of a general, unsecured creditor.</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(iii)If Participant ceases Service prior to the effective date of the Change in Control by reason of Early Retirement, Normal Retirement,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720" w:hanging="0"/>
        <w:jc w:val="both"/>
        <w:rPr>
          <w:rFonts w:ascii="Times New Roman;Times;serif" w:hAnsi="Times New Roman;Times;serif"/>
          <w:sz w:val="20"/>
        </w:rPr>
      </w:pPr>
      <w:r>
        <w:rPr>
          <w:rFonts w:ascii="Times New Roman;Times;serif" w:hAnsi="Times New Roman;Times;serif"/>
          <w:sz w:val="20"/>
        </w:rPr>
        <w:t xml:space="preserve">death or Permanent Disability, then Participant shall, upon the closing of such Change in Control, vest in that number of Shares determined by multiplying (x) the number of Change in Control Shares by (y) a fraction, the numerator of which is the number of whole months of actual Service completed by Participant in such Performance Period, and the denominator of which is thirty-six (36) months. The Shares in which Participant so vests shall be  converted into the right to receive the same consideration per share of Common Stock payable to the other shareholders of the Corporation in consummation of the Change in Control. Such consideration per Share shall be distributed to Participant on the </w:t>
      </w:r>
      <w:r>
        <w:rPr>
          <w:rFonts w:ascii="Times New Roman;Times;serif" w:hAnsi="Times New Roman;Times;serif"/>
          <w:b/>
          <w:i/>
          <w:sz w:val="20"/>
        </w:rPr>
        <w:t>earlier</w:t>
      </w:r>
      <w:r>
        <w:rPr>
          <w:rFonts w:ascii="Times New Roman;Times;serif" w:hAnsi="Times New Roman;Times;serif"/>
          <w:sz w:val="20"/>
        </w:rPr>
        <w:t xml:space="preserve"> of (A) the date the Share would have otherwise been issued pursuant to the provisions of Paragraph 3(b)(ii) in the absence of such Change in Control or (B) the first date upon or following a Qualifying Change in Control transaction on which the distribution can be made without contravention of any applicable provisions of Section 409A.</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(iv)Except for the amount of consideration so calculated, Participant shall have no further right or entitlement to any additional Shares or consideration under this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Change in Control Benefits Agreement.</w:t>
      </w:r>
      <w:r>
        <w:rPr>
          <w:rFonts w:ascii="Times New Roman;Times;serif" w:hAnsi="Times New Roman;Times;serif"/>
          <w:sz w:val="20"/>
        </w:rPr>
        <w:t xml:space="preserve">  Notwithstanding anything to the 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Adjustment in Shares</w:t>
      </w:r>
      <w:r>
        <w:rPr>
          <w:rFonts w:ascii="Times New Roman;Times;serif" w:hAnsi="Times New Roman;Times;serif"/>
          <w:sz w:val="20"/>
        </w:rPr>
        <w:t>.  Should any change be made to the Common Stock by 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5 in connection with the transaction, and the determination of the Plan Administrator shall be final, binding and conclusive as provided in Section III.B. of Article One of the Plan.  In the event of any Change in Control transaction, the adjustment provisions of Paragraph 5(b) shall be controlling.</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b/>
          <w:sz w:val="20"/>
        </w:rPr>
        <w:t>Issuance of Vested Shares and Applicable Withholding Taxes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(a)Any Shares to be issued to Participant in accordance with the foregoing provisions of this Agreement shall be in the form of a book entry evidencing ownership of those Shares. Actual certificates for the vested Shares evidenced by book entry ownership shall be promptly delivered upon the request of Participant or any other person having an interest at the time in those Shares.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(c)The following provisions shall govern the US Withholding Taxes on the Shares (or any replacement or substitute securities, property or other amounts under Paragraphs 5 or 7 above) which vest in accordance with the provisions of this Agreement:</w:t>
      </w:r>
    </w:p>
    <w:p>
      <w:pPr>
        <w:pStyle w:val="TextBody"/>
        <w:bidi w:val="0"/>
        <w:spacing w:before="0" w:after="240"/>
        <w:ind w:left="720" w:right="0" w:firstLine="2160"/>
        <w:jc w:val="both"/>
        <w:rPr>
          <w:rFonts w:ascii="Times New Roman;Times;serif" w:hAnsi="Times New Roman;Times;serif"/>
          <w:sz w:val="20"/>
        </w:rPr>
      </w:pPr>
      <w:r>
        <w:rPr>
          <w:rFonts w:ascii="Times New Roman;Times;serif" w:hAnsi="Times New Roman;Times;serif"/>
          <w:sz w:val="20"/>
        </w:rPr>
        <w:t>(i)The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the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8(c)(ii).</w:t>
      </w:r>
    </w:p>
    <w:p>
      <w:pPr>
        <w:pStyle w:val="TextBody"/>
        <w:bidi w:val="0"/>
        <w:spacing w:before="0" w:after="240"/>
        <w:ind w:left="720" w:right="0" w:firstLine="216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b/>
          <w:sz w:val="20"/>
        </w:rPr>
        <w:t>Automatic Share Withholding</w:t>
      </w:r>
      <w:r>
        <w:rPr>
          <w:rFonts w:ascii="Times New Roman;Times;serif" w:hAnsi="Times New Roman;Times;serif"/>
          <w:sz w:val="20"/>
        </w:rPr>
        <w:t>. On the applicable issuance date, the 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8(c)(iii) below (the “Applicable Withholding Rate”).</w:t>
      </w:r>
    </w:p>
    <w:p>
      <w:pPr>
        <w:pStyle w:val="TextBody"/>
        <w:bidi w:val="0"/>
        <w:spacing w:before="0" w:after="240"/>
        <w:ind w:left="720" w:right="0" w:firstLine="2160"/>
        <w:jc w:val="both"/>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b/>
          <w:sz w:val="20"/>
        </w:rPr>
        <w:t>Amount of Withholding</w:t>
      </w:r>
      <w:r>
        <w:rPr>
          <w:rFonts w:ascii="Times New Roman;Times;serif" w:hAnsi="Times New Roman;Times;serif"/>
          <w:sz w:val="20"/>
        </w:rPr>
        <w:t xml:space="preserve">.  The amount which the 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Withholding Rate equal to the maximum statutory tax rate for the applicable withholding tax in Participant’s applicable jurisdictions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pPr>
      <w:r>
        <w:rPr/>
        <w:t>“</w:t>
      </w:r>
      <w:r>
        <w:rPr>
          <w:rFonts w:ascii="Times New Roman;Times;serif" w:hAnsi="Times New Roman;Times;serif"/>
          <w:sz w:val="20"/>
        </w:rPr>
        <w:t>Alternate Withholding 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8(c)(ii) and 8(c)(iii), in the event Participant is determined to be subject to Section 16 of the 1934 Act at the time of settlement, the Alternate Withholding Rate must be approved by the Corporation’s Compensation Committee.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(d)Notwithstanding the foregoing provisions of this Paragraph 8,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8(d) shall be applicable only to the extent necessary to comply with the applicable tax withholding requirements of Section 3121(v) of the Code.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(e)Except as otherwise provided in Paragraph 5 or this Paragraph 8,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b/>
          <w:sz w:val="20"/>
        </w:rPr>
        <w:t>Section 409A</w:t>
      </w:r>
      <w:r>
        <w:rPr>
          <w:rFonts w:ascii="Times New Roman;Times;serif" w:hAnsi="Times New Roman;Times;serif"/>
          <w:sz w:val="20"/>
        </w:rPr>
        <w:t>.  Notwithstanding any provision to the contrary in this Agreement, to the extent this Award may be deemed to create a deferred compensation arrangement under Section 409A, then the following limitation and provisions shall apply: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(a)No Shares or other amounts which become issuable or distributable under this Agreement upon Participant’s Separation from Service shall actually be issued or distributed to Participant prior to the </w:t>
      </w:r>
      <w:r>
        <w:rPr>
          <w:rFonts w:ascii="Times New Roman;Times;serif" w:hAnsi="Times New Roman;Times;serif"/>
          <w:b/>
          <w:i/>
          <w:sz w:val="20"/>
        </w:rPr>
        <w:t>earlier</w:t>
      </w:r>
      <w:r>
        <w:rPr>
          <w:rFonts w:ascii="Times New Roman;Times;serif" w:hAnsi="Times New Roman;Times;serif"/>
          <w:sz w:val="20"/>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Section 409A arrangements of the Corporation, and such delayed commencement is otherwise required in order to avoid a prohibited distribution under Section 409A(a)(2) of the Code.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(b)Participant’s right to receive each installment of Shares or other installment distribution pursuant to the terms of this Agreement shall, for purposes of Section 409A, be treated as a right to receive a series of separate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b/>
          <w:sz w:val="20"/>
        </w:rPr>
        <w:t>Compliance with Laws and Regulations</w:t>
      </w:r>
      <w:r>
        <w:rPr>
          <w:rFonts w:ascii="Times New Roman;Times;serif" w:hAnsi="Times New Roman;Times;serif"/>
          <w:sz w:val="20"/>
        </w:rPr>
        <w:t>.  The issuance of shares of 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b/>
          <w:sz w:val="20"/>
        </w:rPr>
        <w:t>Notices</w:t>
      </w:r>
      <w:r>
        <w:rPr>
          <w:rFonts w:ascii="Times New Roman;Times;serif" w:hAnsi="Times New Roman;Times;serif"/>
          <w:sz w:val="20"/>
        </w:rPr>
        <w:t>.  Any notice required to be given or delivered to the Corporation under the terms of 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b/>
          <w:sz w:val="20"/>
        </w:rPr>
        <w:t>Successors and Assigns</w:t>
      </w:r>
      <w:r>
        <w:rPr>
          <w:rFonts w:ascii="Times New Roman;Times;serif" w:hAnsi="Times New Roman;Times;serif"/>
          <w:sz w:val="20"/>
        </w:rPr>
        <w:t>.  Except to the extent otherwise provided in this 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b/>
          <w:sz w:val="20"/>
        </w:rPr>
        <w:t>Construction</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 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b/>
          <w:sz w:val="20"/>
        </w:rPr>
        <w:t>Governing Law</w:t>
      </w:r>
      <w:r>
        <w:rPr>
          <w:rFonts w:ascii="Times New Roman;Times;serif" w:hAnsi="Times New Roman;Times;serif"/>
          <w:sz w:val="20"/>
        </w:rPr>
        <w:t>.  The interpretation, performance and enforcement of this Agreement shall be governed by the laws of the State of Hawaii without regard to that State’s conflict-of-laws rules.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b/>
          <w:sz w:val="20"/>
        </w:rPr>
        <w:t>Coverage under Recoupment Policy</w:t>
      </w:r>
      <w:r>
        <w:rPr>
          <w:rFonts w:ascii="Times New Roman;Times;serif" w:hAnsi="Times New Roman;Times;serif"/>
          <w:sz w:val="20"/>
        </w:rPr>
        <w:t>. If Participant is on the Award Date, or at any time thereafter becomes, an executive officer of the Corporation subject to Section 16 of the 1934 Act, then Participant shall be subject to the Matson, Inc. Policy Regarding Recoupment of Certain Compensation (as amended from time to time, the “Recoupment Policy”), the terms of which are hereby incorporated herein by reference. A copy of the Recoupment Policy is available upon request made to the Corporate Secretary.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b/>
          <w:sz w:val="20"/>
        </w:rPr>
        <w:t>Data Privacy</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b/>
          <w:sz w:val="20"/>
        </w:rPr>
        <w:t>Amendment</w:t>
      </w:r>
      <w:r>
        <w:rPr>
          <w:rFonts w:ascii="Times New Roman;Times;serif" w:hAnsi="Times New Roman;Times;serif"/>
          <w:sz w:val="20"/>
        </w:rPr>
        <w:t>.  This Agreement may not be altered, modified, or amended except by written instrument signed by the parties hereto; provided that the Corporation may alter, modify or amend this Agreement unilaterally if such change is not materially adverse to Participant or to cause this Agreement to comply with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b/>
          <w:sz w:val="20"/>
        </w:rPr>
        <w:t>Other Agreements Superseded</w:t>
      </w:r>
      <w:r>
        <w:rPr>
          <w:rFonts w:ascii="Times New Roman;Times;serif" w:hAnsi="Times New Roman;Times;serif"/>
          <w:sz w:val="20"/>
        </w:rPr>
        <w:t>.  The Award Notice, this Agreement, and the Plan constitute the entire understanding between Participant and the Corporation regarding the Award.  Any prior agreements, commitments or negotiations concerning the Award are superseded.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b/>
          <w:sz w:val="20"/>
        </w:rPr>
        <w:t>Governing Plan Document</w:t>
      </w:r>
      <w:r>
        <w:rPr>
          <w:rFonts w:ascii="Times New Roman;Times;serif" w:hAnsi="Times New Roman;Times;serif"/>
          <w:sz w:val="20"/>
        </w:rPr>
        <w:t xml:space="preserve">.  The Award is subject to all the provisions of the Plan, the provisions of which are hereby made a part of the Award, and is further subject to all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interpretations, amendments, rules and regulations, which may from time to time be promulgated and adopted pursuant to the Plan.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EXHIBIT</w:t>
      </w:r>
      <w:r>
        <w:rPr>
          <w:rFonts w:ascii="Times New Roman;Times;serif" w:hAnsi="Times New Roman;Times;serif"/>
          <w:sz w:val="20"/>
        </w:rPr>
        <w:t xml:space="preserve"> A-11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APPENDIX A</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DEFINITIONS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The following definitions shall be in effect under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Agreement</w:t>
      </w:r>
      <w:r>
        <w:rPr>
          <w:rFonts w:ascii="Times New Roman;Times;serif" w:hAnsi="Times New Roman;Times;serif"/>
          <w:sz w:val="20"/>
        </w:rPr>
        <w:t xml:space="preserve"> shall mean this Performance Share Award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Award</w:t>
      </w:r>
      <w:r>
        <w:rPr>
          <w:rFonts w:ascii="Times New Roman;Times;serif" w:hAnsi="Times New Roman;Times;serif"/>
          <w:sz w:val="20"/>
        </w:rPr>
        <w:t xml:space="preserve"> shall mean the award of Performance Shares made to Participant pursuant to the terms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Award Date</w:t>
      </w:r>
      <w:r>
        <w:rPr>
          <w:rFonts w:ascii="Times New Roman;Times;serif" w:hAnsi="Times New Roman;Times;serif"/>
          <w:sz w:val="20"/>
        </w:rPr>
        <w:t xml:space="preserve"> shall mean the date the Performance Shares are awarded to Participant pursuant to the Agreement and shall be the date specified in Paragraph 1 of the Award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Award Notice</w:t>
      </w:r>
      <w:r>
        <w:rPr>
          <w:rFonts w:ascii="Times New Roman;Times;serif" w:hAnsi="Times New Roman;Times;serif"/>
          <w:sz w:val="20"/>
        </w:rPr>
        <w:t xml:space="preserve"> shall mean the Notice of Award of Performance Shares delivered to Participant in which there is set forth the basic terms of the Performance Shares subject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Cause</w:t>
      </w:r>
      <w:r>
        <w:rPr>
          <w:rFonts w:ascii="Times New Roman;Times;serif" w:hAnsi="Times New Roman;Times;serif"/>
          <w:sz w:val="20"/>
        </w:rPr>
        <w:t xml:space="preserve"> shall have the meaning set forth in the Plan; </w:t>
      </w:r>
      <w:r>
        <w:rPr>
          <w:rFonts w:ascii="Times New Roman;Times;serif" w:hAnsi="Times New Roman;Times;serif"/>
          <w:i/>
          <w:sz w:val="20"/>
        </w:rPr>
        <w:t>provided, however</w:t>
      </w:r>
      <w:r>
        <w:rPr>
          <w:rFonts w:ascii="Times New Roman;Times;serif" w:hAnsi="Times New Roman;Times;serif"/>
          <w:sz w:val="20"/>
        </w:rPr>
        <w:t>, that in the 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Change in Control</w:t>
      </w:r>
      <w:r>
        <w:rPr>
          <w:rFonts w:ascii="Times New Roman;Times;serif" w:hAnsi="Times New Roman;Times;serif"/>
          <w:sz w:val="20"/>
        </w:rPr>
        <w:t xml:space="preserve"> shall have the meaning set forth in the Plan; </w:t>
      </w:r>
      <w:r>
        <w:rPr>
          <w:rFonts w:ascii="Times New Roman;Times;serif" w:hAnsi="Times New Roman;Times;serif"/>
          <w:i/>
          <w:sz w:val="20"/>
        </w:rPr>
        <w:t>provided, however</w:t>
      </w:r>
      <w:r>
        <w:rPr>
          <w:rFonts w:ascii="Times New Roman;Times;serif" w:hAnsi="Times New Roman;Times;serif"/>
          <w:sz w:val="20"/>
        </w:rPr>
        <w:t>, that in the event Participant is a party to a Change in Control Benefits Agreement applicable to the Award, the term Change in Control shall have the meaning ascribed to that term in such Change in Control Benefits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Change in Control Benefits Agreement</w:t>
      </w:r>
      <w:r>
        <w:rPr>
          <w:rFonts w:ascii="Times New Roman;Times;serif" w:hAnsi="Times New Roman;Times;serif"/>
          <w:sz w:val="20"/>
        </w:rPr>
        <w:t xml:space="preserve"> shall mean any separate agreement 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Change in Control Shares</w:t>
      </w:r>
      <w:r>
        <w:rPr>
          <w:rFonts w:ascii="Times New Roman;Times;serif" w:hAnsi="Times New Roman;Times;serif"/>
          <w:sz w:val="20"/>
        </w:rPr>
        <w:t xml:space="preserve"> shall mean the number of Shares obtained by multiplying the Vested Percentage by the greater of (i) the number of Designated Shares, or (ii) the number of Performance-Qualified Shares issuable under the Award based on actual performance of the Performance Goal through the date of the Change in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Early Retirement</w:t>
      </w:r>
      <w:r>
        <w:rPr>
          <w:rFonts w:ascii="Times New Roman;Times;serif" w:hAnsi="Times New Roman;Times;serif"/>
          <w:sz w:val="20"/>
        </w:rPr>
        <w:t xml:space="preserve"> shall mean Participant’s retirement from Service, with the prior approval of the Corporation (or the Parent or Subsidiary employing Participant), on or after the attainment of age fifty-five (55) and the completion of at least five (5) years of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b/>
          <w:sz w:val="20"/>
        </w:rPr>
        <w:t>Good Reason</w:t>
      </w:r>
      <w:r>
        <w:rPr>
          <w:rFonts w:ascii="Times New Roman;Times;serif" w:hAnsi="Times New Roman;Times;serif"/>
          <w:sz w:val="20"/>
        </w:rPr>
        <w:t xml:space="preserve"> shall have the meaning set forth in the Plan; </w:t>
      </w:r>
      <w:r>
        <w:rPr>
          <w:rFonts w:ascii="Times New Roman;Times;serif" w:hAnsi="Times New Roman;Times;serif"/>
          <w:i/>
          <w:sz w:val="20"/>
        </w:rPr>
        <w:t xml:space="preserve">provided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APPENDIX</w:t>
      </w:r>
      <w:r>
        <w:rPr>
          <w:rFonts w:ascii="Times New Roman;Times;serif" w:hAnsi="Times New Roman;Times;serif"/>
          <w:sz w:val="20"/>
        </w:rPr>
        <w:t xml:space="preserve"> 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however</w:t>
      </w:r>
      <w:r>
        <w:rPr>
          <w:rFonts w:ascii="Times New Roman;Times;serif" w:hAnsi="Times New Roman;Times;serif"/>
          <w:sz w:val="20"/>
        </w:rPr>
        <w:t>, in the event Participant is at the time of his or her cessation of Employee status a party to a Change in Control Benefits Agreement applicable to the Award evidenced by this Agreement, the term Good Reason shall have the meaning ascribed to that term in such Change in Control Benefits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b/>
          <w:sz w:val="20"/>
        </w:rPr>
        <w:t>Maximum Level Attainment</w:t>
      </w:r>
      <w:r>
        <w:rPr>
          <w:rFonts w:ascii="Times New Roman;Times;serif" w:hAnsi="Times New Roman;Times;serif"/>
          <w:sz w:val="20"/>
        </w:rPr>
        <w:t xml:space="preserve"> shall mean the Corporation’s achievement of the Performance Goal set forth in Schedule I of the Award Notice at the level designated as Maximum Level attainment for that goal.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b/>
          <w:sz w:val="20"/>
        </w:rPr>
        <w:t>Normal Retirement</w:t>
      </w:r>
      <w:r>
        <w:rPr>
          <w:rFonts w:ascii="Times New Roman;Times;serif" w:hAnsi="Times New Roman;Times;serif"/>
          <w:sz w:val="20"/>
        </w:rPr>
        <w:t xml:space="preserve"> shall mean the cessation of Service by reason of Retirement at or after the attainment of age sixty-five (65).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b/>
          <w:sz w:val="20"/>
        </w:rPr>
        <w:t>Participant</w:t>
      </w:r>
      <w:r>
        <w:rPr>
          <w:rFonts w:ascii="Times New Roman;Times;serif" w:hAnsi="Times New Roman;Times;serif"/>
          <w:sz w:val="20"/>
        </w:rPr>
        <w:t xml:space="preserve"> shall mean the person to whom the Award is made pursuant to the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b/>
          <w:sz w:val="20"/>
        </w:rPr>
        <w:t>Performance Goal</w:t>
      </w:r>
      <w:r>
        <w:rPr>
          <w:rFonts w:ascii="Times New Roman;Times;serif" w:hAnsi="Times New Roman;Times;serif"/>
          <w:sz w:val="20"/>
        </w:rPr>
        <w:t xml:space="preserve"> shall mean the performance goal specified on Schedule I of the Award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b/>
          <w:sz w:val="20"/>
        </w:rPr>
        <w:t>Performance Period</w:t>
      </w:r>
      <w:r>
        <w:rPr>
          <w:rFonts w:ascii="Times New Roman;Times;serif" w:hAnsi="Times New Roman;Times;serif"/>
          <w:sz w:val="20"/>
        </w:rPr>
        <w:t xml:space="preserve"> shall mean the period specified on Schedule I of the Award Notice over which the attainment of the Performance Goal is to be measured.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b/>
          <w:sz w:val="20"/>
        </w:rPr>
        <w:t>Performance-Qualified Shares</w:t>
      </w:r>
      <w:r>
        <w:rPr>
          <w:rFonts w:ascii="Times New Roman;Times;serif" w:hAnsi="Times New Roman;Times;serif"/>
          <w:sz w:val="20"/>
        </w:rPr>
        <w:t xml:space="preserve"> shall mean the maximum number of Shares in which Participant can vest based on the level at which the Performance Goal for the Performance Period is attained and shall be calculated in accordance with the provisions of the Award Notice.  In no event shall the number of such Performance-Qualified Shares exceed two hundred percent (200%) of the designated number of Performance Shares set forth in the Performance Shares section of the Award Notice.  Each Performance-Qualified Share that vests pursuant to the terms of the Award shall entitle Participant to receive one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b/>
          <w:sz w:val="20"/>
        </w:rPr>
        <w:t>Performance Shares</w:t>
      </w:r>
      <w:r>
        <w:rPr>
          <w:rFonts w:ascii="Times New Roman;Times;serif" w:hAnsi="Times New Roman;Times;serif"/>
          <w:sz w:val="20"/>
        </w:rPr>
        <w:t xml:space="preserve"> shall mean the number of phantom shares of Common Stock awarded under this Agreement that shall be applied to the calculation of the maximum number of Performance-Qualified Shares (if any) based on the level at which the Performance Goal is in fact attained over the applicable Performance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b/>
          <w:sz w:val="20"/>
        </w:rPr>
        <w:t>Plan</w:t>
      </w:r>
      <w:r>
        <w:rPr>
          <w:rFonts w:ascii="Times New Roman;Times;serif" w:hAnsi="Times New Roman;Times;serif"/>
          <w:sz w:val="20"/>
        </w:rPr>
        <w:t xml:space="preserve"> shall mean the Corporation’s 2025 Incentive Compensation Plan, as amended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w:t>
      </w:r>
      <w:r>
        <w:rPr>
          <w:rFonts w:ascii="Times New Roman;Times;serif" w:hAnsi="Times New Roman;Times;serif"/>
          <w:b/>
          <w:sz w:val="20"/>
        </w:rPr>
        <w:t>Qualifying Change in Control</w:t>
      </w:r>
      <w:r>
        <w:rPr>
          <w:rFonts w:ascii="Times New Roman;Times;serif" w:hAnsi="Times New Roman;Times;serif"/>
          <w:sz w:val="20"/>
        </w:rPr>
        <w:t xml:space="preserve"> shall mean the date on which there occurs a Change in Control that also qualifies 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w:t>
      </w:r>
      <w:r>
        <w:rPr>
          <w:rFonts w:ascii="Times New Roman;Times;serif" w:hAnsi="Times New Roman;Times;serif"/>
          <w:b/>
          <w:sz w:val="20"/>
        </w:rPr>
        <w:t>Separation from Service</w:t>
      </w:r>
      <w:r>
        <w:rPr>
          <w:rFonts w:ascii="Times New Roman;Times;serif" w:hAnsi="Times New Roman;Times;serif"/>
          <w:sz w:val="20"/>
        </w:rPr>
        <w:t xml:space="preserve"> shall mean the Participant’s cessation of Employee status by reason of his or her death, retirement or termination of employment.  The Participant shall be deemed to have terminated employment for such purpose at such time as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APPENDIX</w:t>
      </w:r>
      <w:r>
        <w:rPr>
          <w:rFonts w:ascii="Times New Roman;Times;serif" w:hAnsi="Times New Roman;Times;serif"/>
          <w:sz w:val="20"/>
        </w:rPr>
        <w:t xml:space="preserve"> 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U.</w:t>
      </w:r>
      <w:r>
        <w:rPr>
          <w:rFonts w:ascii="Times New Roman;Times;serif" w:hAnsi="Times New Roman;Times;serif"/>
          <w:b/>
          <w:sz w:val="20"/>
        </w:rPr>
        <w:t>Service</w:t>
      </w:r>
      <w:r>
        <w:rPr>
          <w:rFonts w:ascii="Times New Roman;Times;serif" w:hAnsi="Times New Roman;Times;serif"/>
          <w:sz w:val="20"/>
        </w:rPr>
        <w:t xml:space="preserve"> shall mean Participant’s performance of services for the Corporation (or any Parent or Subsidiary) in the capacity of an Employee, a non-employee member of the board of directors or a consultant or independent advisor.  In addition, the following provisions shall govern the determination of Participant’s period of Service:</w:t>
      </w:r>
    </w:p>
    <w:p>
      <w:pPr>
        <w:pStyle w:val="TextBody"/>
        <w:bidi w:val="0"/>
        <w:spacing w:before="0" w:after="240"/>
        <w:ind w:left="720" w:right="720" w:firstLine="1440"/>
        <w:jc w:val="both"/>
        <w:rPr>
          <w:rFonts w:ascii="Times New Roman;Times;serif" w:hAnsi="Times New Roman;Times;serif"/>
          <w:sz w:val="20"/>
        </w:rPr>
      </w:pPr>
      <w:r>
        <w:rPr>
          <w:rFonts w:ascii="Times New Roman;Times;serif" w:hAnsi="Times New Roman;Times;serif"/>
          <w:sz w:val="20"/>
        </w:rPr>
        <w:t>(i) Participant shall be deemed to continue in Service for so long as Participant performs services for the Corporation (or any Parent or Subsidiary) in the capacity of an Employee, a non-employee member of the board of directors or a consultant or independent advisor.</w:t>
      </w:r>
    </w:p>
    <w:p>
      <w:pPr>
        <w:pStyle w:val="TextBody"/>
        <w:bidi w:val="0"/>
        <w:spacing w:before="0" w:after="240"/>
        <w:ind w:left="720" w:right="720" w:firstLine="1440"/>
        <w:jc w:val="both"/>
        <w:rPr>
          <w:rFonts w:ascii="Times New Roman;Times;serif" w:hAnsi="Times New Roman;Times;serif"/>
          <w:sz w:val="20"/>
        </w:rPr>
      </w:pPr>
      <w:r>
        <w:rPr>
          <w:rFonts w:ascii="Times New Roman;Times;serif" w:hAnsi="Times New Roman;Times;serif"/>
          <w:sz w:val="20"/>
        </w:rPr>
        <w:t>(ii)Participant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pStyle w:val="TextBody"/>
        <w:bidi w:val="0"/>
        <w:spacing w:before="0" w:after="240"/>
        <w:ind w:left="720" w:right="720" w:firstLine="1440"/>
        <w:jc w:val="both"/>
        <w:rPr>
          <w:rFonts w:ascii="Times New Roman;Times;serif" w:hAnsi="Times New Roman;Times;serif"/>
          <w:sz w:val="20"/>
        </w:rPr>
      </w:pPr>
      <w:r>
        <w:rPr>
          <w:rFonts w:ascii="Times New Roman;Times;serif" w:hAnsi="Times New Roman;Times;serif"/>
          <w:sz w:val="20"/>
        </w:rPr>
        <w:t>(iii)Service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pStyle w:val="TextBody"/>
        <w:bidi w:val="0"/>
        <w:spacing w:before="0" w:after="0"/>
        <w:ind w:left="720" w:right="720" w:firstLine="2160"/>
        <w:jc w:val="both"/>
        <w:rPr>
          <w:rFonts w:ascii="Times New Roman;Times;serif" w:hAnsi="Times New Roman;Times;serif"/>
          <w:sz w:val="20"/>
        </w:rPr>
      </w:pPr>
      <w:r>
        <w:rPr>
          <w:rFonts w:ascii="Times New Roman;Times;serif" w:hAnsi="Times New Roman;Times;serif"/>
          <w:sz w:val="20"/>
        </w:rPr>
        <w:t xml:space="preserve">a.Should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APPENDIX</w:t>
      </w:r>
      <w:r>
        <w:rPr>
          <w:rFonts w:ascii="Times New Roman;Times;serif" w:hAnsi="Times New Roman;Times;serif"/>
          <w:sz w:val="20"/>
        </w:rPr>
        <w:t xml:space="preserve"> 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applicable law or by contract with the Corporation (or any Parent or Subsidiary).</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b.Should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pStyle w:val="TextBody"/>
        <w:bidi w:val="0"/>
        <w:spacing w:before="0" w:after="240"/>
        <w:ind w:left="720" w:right="720" w:firstLine="2160"/>
        <w:jc w:val="both"/>
        <w:rPr>
          <w:rFonts w:ascii="Times New Roman;Times;serif" w:hAnsi="Times New Roman;Times;serif"/>
          <w:sz w:val="20"/>
        </w:rPr>
      </w:pPr>
      <w:r>
        <w:rPr>
          <w:rFonts w:ascii="Times New Roman;Times;serif" w:hAnsi="Times New Roman;Times;serif"/>
          <w:sz w:val="20"/>
        </w:rPr>
        <w:t>c. Except to the extent otherwise required by law or expressly authorized by the Plan Administrator or by the Corporation’s written policy on leaves of absence no Service credit shall be given for vesting purposes for any period Participant is on a leave of absence.</w:t>
      </w:r>
    </w:p>
    <w:p>
      <w:pPr>
        <w:pStyle w:val="TextBody"/>
        <w:bidi w:val="0"/>
        <w:spacing w:before="0" w:after="240"/>
        <w:ind w:left="720" w:right="720" w:firstLine="1440"/>
        <w:jc w:val="both"/>
        <w:rPr>
          <w:rFonts w:ascii="Times New Roman;Times;serif" w:hAnsi="Times New Roman;Times;serif"/>
          <w:sz w:val="20"/>
        </w:rPr>
      </w:pPr>
      <w:r>
        <w:rPr>
          <w:rFonts w:ascii="Times New Roman;Times;serif" w:hAnsi="Times New Roman;Times;serif"/>
          <w:sz w:val="20"/>
        </w:rPr>
        <w:t>(iv)Notwithstanding anything to the contrary in the foregoing provisions of this Service definition, the Participant shall in all events be deemed to cease Service for all purposes of this Award immediately upon Participant’s incurrence of a Separation from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b/>
          <w:sz w:val="20"/>
        </w:rPr>
        <w:t>Service Vesting Date</w:t>
      </w:r>
      <w:r>
        <w:rPr>
          <w:rFonts w:ascii="Times New Roman;Times;serif" w:hAnsi="Times New Roman;Times;serif"/>
          <w:sz w:val="20"/>
        </w:rPr>
        <w:t xml:space="preserve"> shall mean the three (3)-year anniversary of the Award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w:t>
      </w:r>
      <w:r>
        <w:rPr>
          <w:rFonts w:ascii="Times New Roman;Times;serif" w:hAnsi="Times New Roman;Times;serif"/>
          <w:b/>
          <w:sz w:val="20"/>
        </w:rPr>
        <w:t>Shares</w:t>
      </w:r>
      <w:r>
        <w:rPr>
          <w:rFonts w:ascii="Times New Roman;Times;serif" w:hAnsi="Times New Roman;Times;serif"/>
          <w:sz w:val="20"/>
        </w:rPr>
        <w:t xml:space="preserve"> shall mean the shares of Common Stock which may vest and become issuable under the Award pursuant to the terms of this Agreement and the Award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b/>
          <w:sz w:val="20"/>
        </w:rPr>
        <w:t>Target Level Attainment</w:t>
      </w:r>
      <w:r>
        <w:rPr>
          <w:rFonts w:ascii="Times New Roman;Times;serif" w:hAnsi="Times New Roman;Times;serif"/>
          <w:sz w:val="20"/>
        </w:rPr>
        <w:t xml:space="preserve"> shall mean the Corporation’s achievement of the Performance Goal set forth in Schedule I to the Award Notice at the level designated as Target Level attainment for that goal.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Y.</w:t>
      </w:r>
      <w:r>
        <w:rPr>
          <w:rFonts w:ascii="Times New Roman;Times;serif" w:hAnsi="Times New Roman;Times;serif"/>
          <w:b/>
          <w:sz w:val="20"/>
        </w:rPr>
        <w:t>Vested Percentage</w:t>
      </w:r>
      <w:r>
        <w:rPr>
          <w:rFonts w:ascii="Times New Roman;Times;serif" w:hAnsi="Times New Roman;Times;serif"/>
          <w:sz w:val="20"/>
        </w:rPr>
        <w:t xml:space="preserve"> shall mean (i) fifty percent (50%) if the Change in Control is consummated during the first eighteen (18) months of the Performance Period and (ii) one hundred percent (100%) if the Change in Control is consummated after the first eighteen (18) months of the Performance Period, but prior to the completion of the Performance Period.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APPENDIX</w:t>
      </w:r>
      <w:r>
        <w:rPr>
          <w:rFonts w:ascii="Times New Roman;Times;serif" w:hAnsi="Times New Roman;Times;serif"/>
          <w:sz w:val="20"/>
        </w:rPr>
        <w:t xml:space="preserve"> 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APPENDIX B</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ILLUSTRATION OF VESTING CALCULATIONS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examples are for illustration purposes only: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Participant receives an Award for 100 Performance Shares at Target Level and Participant continues in Service until the expiration of the requisite three (3)-year Service vesting period. If the Performance Goal is attained at the Target Level, Participant shall vest in 100 Performance Shares upon the Service Vesting Date.  If the Performance Goal is attained at the Maximum Level, Participant shall vest in an additional 100 Shares for a total of 200 Shares following the completion of the Performance Period upon the Service Vesting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Participant receives an Award for 100 Performance Shares at Target Level and Participant ceases Service due to Permanent Disability halfway through the Performance Period.  If the Performance Goal is attained at the Target Level, Participant shall vest in 50 of the Shares following the completion of the Performance Period.  On the other hand, if the Performance Goal is attained at the Maximum Level, Participant shall vest, following the completion of the Performance Period, in an additional 50 Shares for a total of 100 Performance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Participant receives an Award for 100 Shares at Target Level and Participant continues in Service until the Service Vesting Date.  If the Performance Goal is attained at a point halfway between the Threshold and Target Levels, Participant would vest in 63 of the Shares following the completion of the Performance Period upon the Service Vesting Date.  On the other hand, if the Performance Goal is attained at a point halfway between the Target and Maximum Levels, Participant would vest in 150 of the Shares following the completion of the Performance Period upon the Service Vesting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Participant receives an Award for 100 Performance Shares at Target Level and Participant ceases Service due to Permanent Disability halfway through the Performance Period.  If the Performance Goal is attained at a point halfway between the Threshold and Target Levels, Participant would vest in 32 of the Shares following the completion of the Performance Period.  On the other hand, if the Performance Goal is attained at a point halfway between the Target and Maximum Levels, Participant would vest in 75 of the Shares following the completion of the Performance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mallCaps/>
          <w:sz w:val="20"/>
        </w:rPr>
        <w:t>APPENDIX</w:t>
      </w:r>
      <w:r>
        <w:rPr>
          <w:rFonts w:ascii="Times New Roman;Times;serif" w:hAnsi="Times New Roman;Times;serif"/>
          <w:sz w:val="20"/>
        </w:rPr>
        <w:t xml:space="preserve"> B</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88" w:name="matx-20250630xex10d10.htm"/>
      <w:bookmarkStart w:id="1489" w:name="ksmatx20250630xex10d10"/>
      <w:bookmarkEnd w:id="1488"/>
      <w:bookmarkEnd w:id="1489"/>
      <w:r>
        <w:rPr>
          <w:rFonts w:ascii="Times New Roman;Times;serif" w:hAnsi="Times New Roman;Times;serif"/>
          <w:b/>
          <w:sz w:val="20"/>
        </w:rPr>
        <w:t>Exhibit 10.10</w:t>
      </w:r>
      <w:r>
        <w:br w:type="page"/>
      </w:r>
    </w:p>
    <w:p>
      <w:pPr>
        <w:pStyle w:val="TextBody"/>
        <w:bidi w:val="0"/>
        <w:spacing w:lineRule="auto" w:line="331" w:before="0" w:after="16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MATSON, INC.</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EXECUTIVE NOTICE OF AWARD OF TIME-BASED RESTRICTED STOCK UNITS</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The Corporation hereby awards to Participant, as of the Award Date indicated below, an award (the “Award”) of restricted stock units under the Corporation’s 2025 Incentive Compensation Plan (as amended from time to time, the “Plan”).  Each restricted stock unit represents the right to receive one share of Common Stock on the applicable issuance date following the vesting of that unit.  The number of shares of Common Stock subject to the awarded restricted stock units (the “RSUs”) and the applicable vesting schedule for those RSUs and the underlying shares of Common Stock are set forth below. The remaining terms and conditions governing the Award, including the issuance date or dates for the shares of Common Stock that vest under the Award, shall be as set forth in the form Time-Based Restricted Stock Unit Award Agreement for service-vesting Awards.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AWARD SUMMARY</w:t>
      </w:r>
    </w:p>
    <w:p>
      <w:pPr>
        <w:pStyle w:val="TextBody"/>
        <w:bidi w:val="0"/>
        <w:spacing w:lineRule="auto" w:line="331"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79"/>
        <w:gridCol w:w="8626"/>
      </w:tblGrid>
      <w:tr>
        <w:trPr/>
        <w:tc>
          <w:tcPr>
            <w:tcW w:w="1579" w:type="dxa"/>
            <w:tcBorders/>
            <w:vAlign w:val="center"/>
          </w:tcPr>
          <w:p>
            <w:pPr>
              <w:pStyle w:val="TableContents"/>
              <w:bidi w:val="0"/>
              <w:spacing w:before="0" w:after="283"/>
              <w:ind w:left="0" w:right="0" w:hanging="0"/>
              <w:jc w:val="left"/>
              <w:rPr>
                <w:sz w:val="4"/>
                <w:szCs w:val="4"/>
              </w:rPr>
            </w:pPr>
            <w:r>
              <w:rPr>
                <w:sz w:val="4"/>
                <w:szCs w:val="4"/>
              </w:rPr>
            </w:r>
          </w:p>
        </w:tc>
        <w:tc>
          <w:tcPr>
            <w:tcW w:w="862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9" w:type="dxa"/>
            <w:tcBorders/>
            <w:vAlign w:val="center"/>
          </w:tcPr>
          <w:p>
            <w:pPr>
              <w:pStyle w:val="TableContents"/>
              <w:bidi w:val="0"/>
              <w:spacing w:lineRule="auto" w:line="285"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Participant</w:t>
            </w:r>
          </w:p>
        </w:tc>
        <w:tc>
          <w:tcPr>
            <w:tcW w:w="862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______________</w:t>
            </w:r>
          </w:p>
        </w:tc>
      </w:tr>
      <w:tr>
        <w:trPr/>
        <w:tc>
          <w:tcPr>
            <w:tcW w:w="1579" w:type="dxa"/>
            <w:tcBorders/>
            <w:vAlign w:val="center"/>
          </w:tcPr>
          <w:p>
            <w:pPr>
              <w:pStyle w:val="TableContents"/>
              <w:bidi w:val="0"/>
              <w:spacing w:lineRule="auto" w:line="331" w:before="0" w:after="160"/>
              <w:ind w:left="0" w:right="0" w:hanging="0"/>
              <w:jc w:val="both"/>
              <w:rPr/>
            </w:pPr>
            <w:r>
              <w:rPr/>
              <w:t>​</w:t>
            </w:r>
          </w:p>
        </w:tc>
        <w:tc>
          <w:tcPr>
            <w:tcW w:w="8626" w:type="dxa"/>
            <w:tcBorders/>
            <w:vAlign w:val="center"/>
          </w:tcPr>
          <w:p>
            <w:pPr>
              <w:pStyle w:val="TableContents"/>
              <w:bidi w:val="0"/>
              <w:spacing w:lineRule="auto" w:line="331" w:before="0" w:after="160"/>
              <w:ind w:left="0" w:right="0" w:hanging="0"/>
              <w:jc w:val="both"/>
              <w:rPr/>
            </w:pPr>
            <w:r>
              <w:rPr/>
              <w:t>​</w:t>
            </w:r>
          </w:p>
        </w:tc>
      </w:tr>
      <w:tr>
        <w:trPr/>
        <w:tc>
          <w:tcPr>
            <w:tcW w:w="1579" w:type="dxa"/>
            <w:tcBorders/>
            <w:vAlign w:val="center"/>
          </w:tcPr>
          <w:p>
            <w:pPr>
              <w:pStyle w:val="TableContents"/>
              <w:bidi w:val="0"/>
              <w:spacing w:lineRule="auto" w:line="285"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Award Date:</w:t>
            </w:r>
          </w:p>
        </w:tc>
        <w:tc>
          <w:tcPr>
            <w:tcW w:w="862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______________</w:t>
            </w:r>
          </w:p>
        </w:tc>
      </w:tr>
      <w:tr>
        <w:trPr/>
        <w:tc>
          <w:tcPr>
            <w:tcW w:w="1579" w:type="dxa"/>
            <w:tcBorders/>
            <w:vAlign w:val="center"/>
          </w:tcPr>
          <w:p>
            <w:pPr>
              <w:pStyle w:val="TableContents"/>
              <w:bidi w:val="0"/>
              <w:spacing w:lineRule="auto" w:line="331" w:before="0" w:after="160"/>
              <w:ind w:left="0" w:right="0" w:hanging="0"/>
              <w:jc w:val="both"/>
              <w:rPr/>
            </w:pPr>
            <w:r>
              <w:rPr/>
              <w:t>​</w:t>
            </w:r>
          </w:p>
        </w:tc>
        <w:tc>
          <w:tcPr>
            <w:tcW w:w="8626" w:type="dxa"/>
            <w:tcBorders/>
            <w:vAlign w:val="center"/>
          </w:tcPr>
          <w:p>
            <w:pPr>
              <w:pStyle w:val="TableContents"/>
              <w:bidi w:val="0"/>
              <w:spacing w:lineRule="auto" w:line="331" w:before="0" w:after="160"/>
              <w:ind w:left="0" w:right="0" w:hanging="0"/>
              <w:jc w:val="both"/>
              <w:rPr/>
            </w:pPr>
            <w:r>
              <w:rPr/>
              <w:t>​</w:t>
            </w:r>
          </w:p>
        </w:tc>
      </w:tr>
      <w:tr>
        <w:trPr/>
        <w:tc>
          <w:tcPr>
            <w:tcW w:w="1579" w:type="dxa"/>
            <w:tcBorders/>
            <w:vAlign w:val="center"/>
          </w:tcPr>
          <w:p>
            <w:pPr>
              <w:pStyle w:val="TableContents"/>
              <w:bidi w:val="0"/>
              <w:spacing w:lineRule="auto" w:line="285"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 xml:space="preserve">Number of Shares Subject to Restricted Stock Unit Award: </w:t>
            </w:r>
          </w:p>
        </w:tc>
        <w:tc>
          <w:tcPr>
            <w:tcW w:w="862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____________ shares of Common Stock (the “Shares”) </w:t>
            </w:r>
          </w:p>
        </w:tc>
      </w:tr>
      <w:tr>
        <w:trPr/>
        <w:tc>
          <w:tcPr>
            <w:tcW w:w="1579" w:type="dxa"/>
            <w:tcBorders/>
            <w:vAlign w:val="center"/>
          </w:tcPr>
          <w:p>
            <w:pPr>
              <w:pStyle w:val="TableContents"/>
              <w:bidi w:val="0"/>
              <w:spacing w:lineRule="auto" w:line="331" w:before="0" w:after="160"/>
              <w:ind w:left="0" w:right="0" w:hanging="0"/>
              <w:jc w:val="left"/>
              <w:rPr/>
            </w:pPr>
            <w:r>
              <w:rPr/>
              <w:t>​</w:t>
            </w:r>
          </w:p>
        </w:tc>
        <w:tc>
          <w:tcPr>
            <w:tcW w:w="8626" w:type="dxa"/>
            <w:tcBorders/>
            <w:vAlign w:val="center"/>
          </w:tcPr>
          <w:p>
            <w:pPr>
              <w:pStyle w:val="TableContents"/>
              <w:bidi w:val="0"/>
              <w:spacing w:lineRule="auto" w:line="331" w:before="0" w:after="160"/>
              <w:ind w:left="0" w:right="0" w:hanging="0"/>
              <w:jc w:val="both"/>
              <w:rPr/>
            </w:pPr>
            <w:r>
              <w:rPr/>
              <w:t>​</w:t>
            </w:r>
          </w:p>
        </w:tc>
      </w:tr>
      <w:tr>
        <w:trPr/>
        <w:tc>
          <w:tcPr>
            <w:tcW w:w="1579" w:type="dxa"/>
            <w:tcBorders/>
            <w:vAlign w:val="center"/>
          </w:tcPr>
          <w:p>
            <w:pPr>
              <w:pStyle w:val="TableContents"/>
              <w:bidi w:val="0"/>
              <w:spacing w:lineRule="auto" w:line="285" w:before="0" w:after="240"/>
              <w:ind w:left="0" w:right="0" w:hanging="0"/>
              <w:jc w:val="both"/>
              <w:rPr>
                <w:rFonts w:ascii="Times New Roman;Times;serif" w:hAnsi="Times New Roman;Times;serif"/>
                <w:sz w:val="20"/>
                <w:u w:val="single"/>
              </w:rPr>
            </w:pPr>
            <w:r>
              <w:rPr>
                <w:rFonts w:ascii="Times New Roman;Times;serif" w:hAnsi="Times New Roman;Times;serif"/>
                <w:sz w:val="20"/>
                <w:u w:val="single"/>
              </w:rPr>
              <w:t>Vesting Schedule:</w:t>
            </w:r>
          </w:p>
        </w:tc>
        <w:tc>
          <w:tcPr>
            <w:tcW w:w="8626" w:type="dxa"/>
            <w:tcBorders/>
            <w:vAlign w:val="center"/>
          </w:tcPr>
          <w:p>
            <w:pPr>
              <w:pStyle w:val="TableContents"/>
              <w:bidi w:val="0"/>
              <w:spacing w:lineRule="auto" w:line="285" w:before="0" w:after="0"/>
              <w:ind w:left="115" w:right="720" w:hanging="0"/>
              <w:jc w:val="both"/>
              <w:rPr>
                <w:rFonts w:ascii="Times New Roman;Times;serif" w:hAnsi="Times New Roman;Times;serif"/>
                <w:sz w:val="20"/>
              </w:rPr>
            </w:pPr>
            <w:r>
              <w:rPr>
                <w:rFonts w:ascii="Times New Roman;Times;serif" w:hAnsi="Times New Roman;Times;serif"/>
                <w:sz w:val="20"/>
              </w:rPr>
              <w:t xml:space="preserve">The Shares underlying the Award shall vest in a series of three (3) successive equal annual installments upon Participant’s completion of each successive year of Service over the three (3)-year period measured from the Award Date. Each such installment vesting date is hereby designated a “Vesting and Issuance Date.” However, one or more Shares may be subject to accelerated vesting in accordance with the provisions of Paragraph 3 or Paragraph 5 of the form Time-Based Restricted Stock Unit Award Agreement attached hereto as Exhibit A (the “Award Agreement”) . </w:t>
            </w:r>
          </w:p>
        </w:tc>
      </w:tr>
    </w:tbl>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Participant agrees to electronic delivery of any and all communications relating to the Award, the Award Agreement or the Plan, including but not limited to documentation of the Award, the official prospectus for the Plan, and any and all other documents and materials relating to the Award, the Award Agreement or the Plan.</w:t>
      </w:r>
    </w:p>
    <w:p>
      <w:pPr>
        <w:pStyle w:val="TextBody"/>
        <w:bidi w:val="0"/>
        <w:spacing w:lineRule="auto" w:line="285" w:before="0" w:after="240"/>
        <w:ind w:left="0" w:right="0" w:hanging="0"/>
        <w:jc w:val="both"/>
        <w:rPr>
          <w:rFonts w:ascii="Aptos" w:hAnsi="Aptos"/>
          <w:sz w:val="20"/>
        </w:rPr>
      </w:pPr>
      <w:r>
        <w:rPr>
          <w:rFonts w:ascii="Times New Roman;Times;serif" w:hAnsi="Times New Roman;Times;serif"/>
          <w:sz w:val="20"/>
          <w:u w:val="single"/>
        </w:rPr>
        <w:t>Coverage under Recoupment Policy</w:t>
      </w:r>
      <w:r>
        <w:rPr>
          <w:rFonts w:ascii="Times New Roman;Times;serif" w:hAnsi="Times New Roman;Times;serif"/>
          <w:sz w:val="20"/>
        </w:rPr>
        <w:t>. Participant hereby agrees that: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Participant is subject to the Matson, Inc. Policy Regarding Recoupment of Certain Compensation, as applicable, and as it may be amended from time to time, the terms of which are hereby incorporated herein by reference; and</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incentive compensation that is paid or granted to, or received by, Participant under the Award shall be subject to recovery and recoupment pursuant to the terms of such policy.</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A copy of the recoupment policy is available upon request made to the Corporate Secretary.</w:t>
      </w:r>
    </w:p>
    <w:p>
      <w:pPr>
        <w:pStyle w:val="TextBody"/>
        <w:bidi w:val="0"/>
        <w:spacing w:lineRule="auto" w:line="285" w:before="0" w:after="240"/>
        <w:ind w:left="0" w:right="0" w:hanging="0"/>
        <w:jc w:val="both"/>
        <w:rPr>
          <w:rFonts w:ascii="Aptos" w:hAnsi="Aptos"/>
          <w:sz w:val="20"/>
        </w:rPr>
      </w:pPr>
      <w:r>
        <w:rPr>
          <w:rFonts w:ascii="Times New Roman;Times;serif" w:hAnsi="Times New Roman;Times;serif"/>
          <w:sz w:val="20"/>
          <w:u w:val="single"/>
        </w:rPr>
        <w:t>Continuing Consent</w:t>
      </w:r>
      <w:r>
        <w:rPr>
          <w:rFonts w:ascii="Times New Roman;Times;serif" w:hAnsi="Times New Roman;Times;serif"/>
          <w:sz w:val="20"/>
        </w:rPr>
        <w:t>. Participant further acknowledges and agrees that, except to the extent the Plan Administrator notifies Participant in writing to the contrary, each subsequent award of service-vesting restricted stock units made to him or her under the Plan shall be subject to the same terms and conditions set forth in the Award Agreement, and Participant hereby understands and agrees to those terms and conditions for each such subsequent service-vesting restricted stock unit award that may be made to him or her under the Plan and hereby agrees to be bound by those terms and conditions for any such restricted stock unit awards, without any further consent or action required on his or her part at the time or times when those awards may be made.  However, Participant may, at any time he or she holds an outstanding service-vesting restricted stock unit award under the Plan, request a written copy of the Award Agreement from the Corporation by contacting the Corporation’s Human Resources Department.</w:t>
      </w:r>
    </w:p>
    <w:p>
      <w:pPr>
        <w:pStyle w:val="TextBody"/>
        <w:bidi w:val="0"/>
        <w:spacing w:lineRule="auto" w:line="285" w:before="0" w:after="240"/>
        <w:ind w:left="0" w:right="0" w:hanging="0"/>
        <w:jc w:val="both"/>
        <w:rPr>
          <w:rFonts w:ascii="Aptos" w:hAnsi="Aptos"/>
          <w:sz w:val="20"/>
        </w:rPr>
      </w:pPr>
      <w:r>
        <w:rPr>
          <w:rFonts w:ascii="Times New Roman;Times;serif" w:hAnsi="Times New Roman;Times;serif"/>
          <w:sz w:val="20"/>
          <w:u w:val="single"/>
        </w:rPr>
        <w:t>Employment at Will</w:t>
      </w:r>
      <w:r>
        <w:rPr>
          <w:rFonts w:ascii="Times New Roman;Times;serif" w:hAnsi="Times New Roman;Times;serif"/>
          <w:sz w:val="20"/>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pStyle w:val="TextBody"/>
        <w:bidi w:val="0"/>
        <w:spacing w:lineRule="auto" w:line="285" w:before="0" w:after="0"/>
        <w:ind w:left="0" w:right="0" w:hanging="0"/>
        <w:jc w:val="both"/>
        <w:rPr>
          <w:rFonts w:ascii="Aptos" w:hAnsi="Aptos"/>
          <w:sz w:val="20"/>
        </w:rPr>
      </w:pPr>
      <w:r>
        <w:rPr>
          <w:rFonts w:ascii="Times New Roman;Times;serif" w:hAnsi="Times New Roman;Times;serif"/>
          <w:sz w:val="20"/>
          <w:u w:val="single"/>
        </w:rPr>
        <w:t>Definitions</w:t>
      </w:r>
      <w:r>
        <w:rPr>
          <w:rFonts w:ascii="Times New Roman;Times;serif" w:hAnsi="Times New Roman;Times;serif"/>
          <w:sz w:val="20"/>
        </w:rPr>
        <w:t xml:space="preserve">.  All capitalized terms in this Notice shall have the meaning assigned to them in this Notice or in the Award Agreement. </w:t>
      </w:r>
    </w:p>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tbl>
      <w:tblPr>
        <w:tblW w:w="2166" w:type="dxa"/>
        <w:jc w:val="left"/>
        <w:tblInd w:w="0" w:type="dxa"/>
        <w:tblLayout w:type="fixed"/>
        <w:tblCellMar>
          <w:top w:w="0" w:type="dxa"/>
          <w:left w:w="0" w:type="dxa"/>
          <w:bottom w:w="0" w:type="dxa"/>
          <w:right w:w="0" w:type="dxa"/>
        </w:tblCellMar>
      </w:tblPr>
      <w:tblGrid>
        <w:gridCol w:w="124"/>
        <w:gridCol w:w="556"/>
        <w:gridCol w:w="1486"/>
      </w:tblGrid>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pPr>
            <w:r>
              <w:rPr/>
              <w:t>​</w:t>
            </w:r>
          </w:p>
        </w:tc>
        <w:tc>
          <w:tcPr>
            <w:tcW w:w="148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042"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MATSON, INC.</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pPr>
            <w:r>
              <w:rPr/>
              <w:t>​</w:t>
            </w:r>
          </w:p>
        </w:tc>
        <w:tc>
          <w:tcPr>
            <w:tcW w:w="148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4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pPr>
            <w:r>
              <w:rPr/>
              <w:t>​</w:t>
            </w:r>
          </w:p>
        </w:tc>
        <w:tc>
          <w:tcPr>
            <w:tcW w:w="148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PARTICIPANT</w:t>
            </w:r>
          </w:p>
        </w:tc>
      </w:tr>
    </w:tbl>
    <w:p>
      <w:pPr>
        <w:pStyle w:val="TextBody"/>
        <w:bidi w:val="0"/>
        <w:spacing w:lineRule="auto" w:line="331" w:before="0" w:after="160"/>
        <w:ind w:left="0" w:right="0" w:hanging="0"/>
        <w:jc w:val="center"/>
        <w:rPr/>
      </w:pPr>
      <w:r>
        <w:rPr/>
        <w:t>​</w:t>
      </w:r>
    </w:p>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caps/>
        </w:rPr>
      </w:pPr>
      <w:r>
        <w:rPr>
          <w:caps/>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EXHIBIT A</w:t>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MATSON, INC.</w:t>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time-BASED RESTRICTED STOCK UNIT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AWARD AGREEMENT</w:t>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hanging="0"/>
        <w:jc w:val="both"/>
        <w:rPr>
          <w:rFonts w:ascii="Times New Roman;Times;serif" w:hAnsi="Times New Roman;Times;serif"/>
          <w:b/>
          <w:caps/>
          <w:sz w:val="20"/>
        </w:rPr>
      </w:pPr>
      <w:r>
        <w:rPr>
          <w:rFonts w:ascii="Times New Roman;Times;serif" w:hAnsi="Times New Roman;Times;serif"/>
          <w:b/>
          <w:caps/>
          <w:sz w:val="20"/>
        </w:rPr>
        <w:t>RECITALS</w:t>
      </w:r>
    </w:p>
    <w:p>
      <w:pPr>
        <w:pStyle w:val="TextBody"/>
        <w:bidi w:val="0"/>
        <w:spacing w:lineRule="auto" w:line="331" w:before="0" w:after="160"/>
        <w:ind w:left="0" w:right="0" w:hanging="0"/>
        <w:jc w:val="both"/>
        <w:rPr/>
      </w:pPr>
      <w:r>
        <w:rPr/>
        <w: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equity incentive compensation programs designed to motivate, attract and retain the services of persons who contribute to the success of the Corporation.</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All capitalized terms in this Agreement shall have the meaning assigned to them in the attached </w:t>
      </w:r>
      <w:r>
        <w:rPr>
          <w:rFonts w:ascii="Times New Roman;Times;serif" w:hAnsi="Times New Roman;Times;serif"/>
          <w:sz w:val="20"/>
          <w:u w:val="single"/>
        </w:rPr>
        <w:t>Appendix A</w:t>
      </w:r>
      <w:r>
        <w:rPr>
          <w:rFonts w:ascii="Times New Roman;Times;serif" w:hAnsi="Times New Roman;Times;serif"/>
          <w:sz w:val="20"/>
        </w:rPr>
        <w:t>, or if not defined in that appendix, as defined in the Plan.</w:t>
      </w:r>
    </w:p>
    <w:p>
      <w:pPr>
        <w:pStyle w:val="TextBody"/>
        <w:bidi w:val="0"/>
        <w:spacing w:lineRule="auto" w:line="285" w:before="0" w:after="240"/>
        <w:ind w:left="0" w:right="0" w:firstLine="90"/>
        <w:jc w:val="both"/>
        <w:rPr>
          <w:rFonts w:ascii="Aptos" w:hAnsi="Aptos"/>
          <w:sz w:val="20"/>
        </w:rPr>
      </w:pPr>
      <w:r>
        <w:rPr>
          <w:rFonts w:ascii="Times New Roman;Times;serif" w:hAnsi="Times New Roman;Times;serif"/>
          <w:b/>
          <w:sz w:val="20"/>
        </w:rPr>
        <w:t>NOW, THEREFORE</w:t>
      </w:r>
      <w:r>
        <w:rPr>
          <w:rFonts w:ascii="Times New Roman;Times;serif" w:hAnsi="Times New Roman;Times;serif"/>
          <w:sz w:val="20"/>
        </w:rPr>
        <w:t>, it is hereby agreed as follows: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Grant of Restricted Stock Units</w:t>
      </w:r>
      <w:r>
        <w:rPr>
          <w:rFonts w:ascii="Times New Roman;Times;serif" w:hAnsi="Times New Roman;Times;serif"/>
          <w:sz w:val="20"/>
        </w:rPr>
        <w:t>.  The Corporation hereby awards to Participant, as of the Award Date, restricted stock units under the Plan.  The number of RSUs and the applicable service vesting requirements for those RSUs are set forth in the Award Notice.  The remaining terms and conditions governing the Award shall be as set forth in this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Limited Transferability</w:t>
      </w:r>
      <w:r>
        <w:rPr>
          <w:rFonts w:ascii="Times New Roman;Times;serif" w:hAnsi="Times New Roman;Times;serif"/>
          <w:sz w:val="20"/>
        </w:rPr>
        <w:t>.  Prior to the actual issuance of the Shares hereunder, Participant may not transfer any interest in the RSUs or the underlying Shares or pledge or otherwise hedge the sale of those RSUs or Shares, including (without limitation) any short sale or any acquisition or disposition of any put or call option or other instrument tied to the value of those RSUs or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Cessation of Service</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(a)Except to the extent otherwise provided in this Paragraph 3 or Paragraph 5 below, should Participant cease Service for any reason prior to vesting in one or more RSUs, then any</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A-1</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unvested RSUs shall be automatically cancelled.  Participant shall thereupon cease to have any right or entitlement to receive any Shares under those cancelled RSUs.</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(b)Should Participant’s Service terminate by reason of his or her death or Permanent Disability prior to vesting in one or more RSUs, then the RSUs shall vest in full upon Participant’s termination of Service. The Shares subject to those vested RSUs shall be issued in accordance with the applicable provisions of Paragraph 7.</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(c)Should Participant’s Service terminate by reason of his or her Early Retirement or Normal Retirement prior to vesting in all the RSUs subject to this Award in accordance with the annual installment vesting schedule set forth in the Award Notice, then Participant shall immediately vest in that number of additional RSUs (if any) in which Participant would have otherwise been vested at the time of such termination had the RSUs subject to this Award vested in a series of successive equal monthly installments over the duration of the vesting schedule set forth in the Award Notice.  The RSUs which are deemed to vest on the basis of such monthly installment vesting schedule shall, together with any other RSUs which are at the time vested but unissued, be settled in Shares in accordance with the applicable provisions of Paragraph 7.  The balance of the Award shall be automatically cancelled and cease to be outstanding upon such termination of Service.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Shareholder Rights and Dividend Equivalents</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(a)The holder of this Award shall not have any shareholder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pStyle w:val="TextBody"/>
        <w:bidi w:val="0"/>
        <w:spacing w:lineRule="auto" w:line="285" w:before="0" w:after="120"/>
        <w:ind w:left="0" w:right="0" w:firstLine="2160"/>
        <w:jc w:val="both"/>
        <w:rPr>
          <w:rFonts w:ascii="Times New Roman;Times;serif" w:hAnsi="Times New Roman;Times;serif"/>
          <w:sz w:val="20"/>
        </w:rPr>
      </w:pPr>
      <w:r>
        <w:rPr>
          <w:rFonts w:ascii="Times New Roman;Times;serif" w:hAnsi="Times New Roman;Times;serif"/>
          <w:sz w:val="20"/>
        </w:rPr>
        <w:t>(b)Notwithstanding the foregoing, should any dividend or other distribution payable other than in shares of Common Stock be declared and paid on the Corporation’s outstanding Common Stock at a time when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 they been issued and outstanding and entitled to that dividend or distribution. The phantom dividend equivalents so credited to the Participant’s book account for each calendar quarter this Award remains outstanding in whole or in part shall be distributed to Participant (in cash or such other form as the Plan Administrator may deem appropriate in its sole discretion) on or after the date the dividend or other distribution is paid to holders of Common Stock, but in no case later than the last business day of that calendar quarter. However, each such distribution shall be subject to the Corporation’s collection of the Withholding Taxes applicable to that distribution.</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Change in Control</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(a)This Award, to the extent outstanding at the time of a Change in Control, may be assumed by the successor entity or otherwise continued in full force and effect or may be replaced with a substitute equivalent award by the successor entity.  Any such assumption or continuation of this Award shall be effected in accordance with Paragraph 5(b) below. To the extent the substitute equivalent award is in the form of cash, a cash retention account shall be established in replacement of this Award and shall initially be credited with the Fair Market Value (determined at the effective time of the Change</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A-2</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both"/>
        <w:rPr>
          <w:rFonts w:ascii="Aptos" w:hAnsi="Aptos"/>
          <w:sz w:val="20"/>
        </w:rPr>
      </w:pPr>
      <w:r>
        <w:rPr>
          <w:rFonts w:ascii="Times New Roman;Times;serif" w:hAnsi="Times New Roman;Times;serif"/>
          <w:sz w:val="20"/>
        </w:rPr>
        <w:t xml:space="preserve">in Control) of the Shares subject to the Award at that time, and interest shall accrue on the outstanding balance of such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by </w:t>
      </w:r>
      <w:r>
        <w:rPr>
          <w:rFonts w:ascii="Times New Roman;Times;serif" w:hAnsi="Times New Roman;Times;serif"/>
          <w:b/>
          <w:i/>
          <w:sz w:val="20"/>
        </w:rPr>
        <w:t>The Wall Street Journal</w:t>
      </w:r>
      <w:r>
        <w:rPr>
          <w:rFonts w:ascii="Times New Roman;Times;serif" w:hAnsi="Times New Roman;Times;serif"/>
          <w:sz w:val="20"/>
        </w:rPr>
        <w:t>.  The substitute equivalent award shall vest and be paid out in accordance with the same vesting and payment schedule applicable to the Award, as set forth in Paragraphs 1 and 7, and the Participant’s interest in any substitute equivalent award shall at all times be that of a general, unsecured creditor.  In the event of such assumption or continuation of this Award or such replacement of the Award with a substitute equivalent award, no accelerated vesting of the RSUs subject to this Award or the underlying Shares shall occur at the time of the Change in Control, and the Service-vesting provisions set forth in the Award Notice shall continue in full force and effect.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(b)In the event this Award is assumed, otherwise continued in effect, or replaced in connection with such Change in Control, the RSUs subject to the Award shall be adjusted immediately after the consummation of that Change in Control so as to apply to the number and class of securities into which the Shares subject to those RSUs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RSUs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pStyle w:val="TextBody"/>
        <w:bidi w:val="0"/>
        <w:spacing w:lineRule="auto" w:line="285" w:before="0" w:after="240"/>
        <w:ind w:left="0" w:right="0" w:firstLine="2160"/>
        <w:jc w:val="both"/>
        <w:rPr>
          <w:rFonts w:ascii="Aptos" w:hAnsi="Aptos"/>
          <w:sz w:val="20"/>
        </w:rPr>
      </w:pPr>
      <w:r>
        <w:rPr>
          <w:rFonts w:ascii="Times New Roman;Times;serif" w:hAnsi="Times New Roman;Times;serif"/>
          <w:sz w:val="20"/>
        </w:rPr>
        <w:t xml:space="preserve">(c)Upon Participant’s Separation from Service due to an Involuntary Termination occurring within twenty-four (24) months after a Change in Control in which this Award is assumed or continued in effect, all of the RSUs at the time subject to this Award shall vest, or any substitute equivalent award, and the Shares underlying those RSUs shall be issued to Participant in accordance with the applicable provisions of Paragraph 7.  Should the RSUs be replaced with a cash retention account in accordance with Paragraph 5(a), then the balance credited to Participant under that account at the time of his or her Separation from Service due to an Involuntary Termination shall immediately vest and shall be distributed to Participant in accordance with the applicable provisions of Paragraph 7; </w:t>
      </w:r>
      <w:r>
        <w:rPr>
          <w:rFonts w:ascii="Times New Roman;Times;serif" w:hAnsi="Times New Roman;Times;serif"/>
          <w:b/>
          <w:i/>
          <w:sz w:val="20"/>
        </w:rPr>
        <w:t>provided, however,</w:t>
      </w:r>
      <w:r>
        <w:rPr>
          <w:rFonts w:ascii="Aptos" w:hAnsi="Aptos"/>
          <w:sz w:val="20"/>
        </w:rPr>
        <w:t xml:space="preserve"> </w:t>
      </w:r>
      <w:r>
        <w:rPr>
          <w:rFonts w:ascii="Times New Roman;Times;serif" w:hAnsi="Times New Roman;Times;serif"/>
          <w:sz w:val="20"/>
        </w:rPr>
        <w:t>that Participant shall vest and be entitled to such distribution only if such Involuntary Termination occurs within twenty-four (24) months following the Change in Control.</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(d)If the RSUs subject to this Award at the time of the Change in Control are not assumed or otherwise continued in effect or replaced with substitute equivalent award in accordance with Paragraph 5(a), then those RSUs shall vest immediately prior to the closing of the Change in Control, and Participant shall become entitled to a vested distribution in accordance with the applicable provisions of Paragraph 7.</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(e)This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A-3</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Adjustment in Shares</w:t>
      </w:r>
      <w:r>
        <w:rPr>
          <w:rFonts w:ascii="Times New Roman;Times;serif" w:hAnsi="Times New Roman;Times;serif"/>
          <w:sz w:val="20"/>
        </w:rPr>
        <w:t>.  Should any change be made to the Common Stock by 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the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4(b) in connection with the transaction, and the determination of the Plan Administrator shall be final, binding and conclusive as provided in Section III.B of Article One of the Plan.  In the event of any Change in Control transaction, the adjustment provisions of Paragraph 5(b) shall be controlling.</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Issuance or Distribution of Shares or Other Vested Amounts and Applicable Withholding Taxes</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(a)The following provisions shall govern the issuance of the Shares (or any replacement or substitute amounts under Paragraph 5) which vest in accordance with the provisions of this Agreement:</w:t>
      </w:r>
    </w:p>
    <w:p>
      <w:pPr>
        <w:pStyle w:val="TextBody"/>
        <w:bidi w:val="0"/>
        <w:spacing w:lineRule="auto" w:line="285" w:before="0" w:after="240"/>
        <w:ind w:left="720" w:right="720" w:firstLine="2160"/>
        <w:jc w:val="both"/>
        <w:rPr>
          <w:rFonts w:ascii="Times New Roman;Times;serif" w:hAnsi="Times New Roman;Times;serif"/>
          <w:sz w:val="20"/>
        </w:rPr>
      </w:pPr>
      <w:r>
        <w:rPr>
          <w:rFonts w:ascii="Times New Roman;Times;serif" w:hAnsi="Times New Roman;Times;serif"/>
          <w:sz w:val="20"/>
        </w:rPr>
        <w:t>(i)On each Vesting and Issuance Date specified in the Award Notice, the Shares underlying the RSUs which vest at that time or which are otherwise deemed to have vested during the twelve (12)-month period ending with that date but have not otherwise been issued in accordance with any other applicable provision of this Paragraph 7(a) shall be issued.</w:t>
      </w:r>
    </w:p>
    <w:p>
      <w:pPr>
        <w:pStyle w:val="TextBody"/>
        <w:bidi w:val="0"/>
        <w:spacing w:lineRule="auto" w:line="285" w:before="0" w:after="240"/>
        <w:ind w:left="720" w:right="720" w:firstLine="2160"/>
        <w:jc w:val="both"/>
        <w:rPr>
          <w:rFonts w:ascii="Times New Roman;Times;serif" w:hAnsi="Times New Roman;Times;serif"/>
          <w:sz w:val="20"/>
        </w:rPr>
      </w:pPr>
      <w:r>
        <w:rPr>
          <w:rFonts w:ascii="Times New Roman;Times;serif" w:hAnsi="Times New Roman;Times;serif"/>
          <w:sz w:val="20"/>
        </w:rPr>
        <w:t>(ii)Shares underlying RSUs which vest on an accelerated basis upon the Participant’s cessation of Service under Paragraph 3(b) or 3(c) or upon his or her Involuntary Termination under Paragraph 5(c) shall be issued on the date of Participant’s Separation from Service due to such cessation of Service or Involuntary Termination. Any distribution from the cash retention account to which Participant is entitled under Paragraph 5(c) upon his or her Involuntary Termination shall be paid in a lump sum on the date of his or her Separation from Service due to such Involuntary Termination.  However, any issuance or distribution pursuant to the provisions of this subparagraph (ii) shall be subject to the deferred issuance provisions of Paragraph 8, to the extent applicable.</w:t>
      </w:r>
    </w:p>
    <w:p>
      <w:pPr>
        <w:pStyle w:val="TextBody"/>
        <w:bidi w:val="0"/>
        <w:spacing w:lineRule="auto" w:line="285" w:before="0" w:after="240"/>
        <w:ind w:left="720" w:right="720" w:firstLine="2160"/>
        <w:jc w:val="both"/>
        <w:rPr>
          <w:rFonts w:ascii="Aptos" w:hAnsi="Aptos"/>
          <w:sz w:val="20"/>
        </w:rPr>
      </w:pPr>
      <w:r>
        <w:rPr>
          <w:rFonts w:ascii="Times New Roman;Times;serif" w:hAnsi="Times New Roman;Times;serif"/>
          <w:sz w:val="20"/>
        </w:rPr>
        <w:t xml:space="preserve">(iii)Shares underlying RSUs which vest under Paragraph 5(d) shall be converted into the right to receive the same consideration per share of Common Stock payable to the other shareholders of the Corporation in consummation of the Change in Control transaction, and such consideration per Share shall be distributed to Participant upon the </w:t>
      </w:r>
      <w:r>
        <w:rPr>
          <w:rFonts w:ascii="Times New Roman;Times;serif" w:hAnsi="Times New Roman;Times;serif"/>
          <w:b/>
          <w:i/>
          <w:sz w:val="20"/>
        </w:rPr>
        <w:t xml:space="preserve">earliest </w:t>
      </w:r>
      <w:r>
        <w:rPr>
          <w:rFonts w:ascii="Times New Roman;Times;serif" w:hAnsi="Times New Roman;Times;serif"/>
          <w:sz w:val="20"/>
        </w:rPr>
        <w:t>to occur of (i) the Vesting and Issuance Date on which the particular Shares to which such consideration relates would have been issued in the absence of such Change in Control, (ii) the date of Participant’s Separation from Service or (iii) the first date following a Qualifying Change in Control on which the distribution can be made</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A-4</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240"/>
        <w:ind w:left="720" w:right="720" w:hanging="0"/>
        <w:jc w:val="both"/>
        <w:rPr>
          <w:rFonts w:ascii="Times New Roman;Times;serif" w:hAnsi="Times New Roman;Times;serif"/>
          <w:sz w:val="20"/>
        </w:rPr>
      </w:pPr>
      <w:r>
        <w:rPr>
          <w:rFonts w:ascii="Times New Roman;Times;serif" w:hAnsi="Times New Roman;Times;serif"/>
          <w:sz w:val="20"/>
        </w:rPr>
        <w:t>without contravention of any applicable provisions of Section 409A of the Code (“Section 409A”).</w:t>
      </w:r>
    </w:p>
    <w:p>
      <w:pPr>
        <w:pStyle w:val="TextBody"/>
        <w:bidi w:val="0"/>
        <w:spacing w:lineRule="auto" w:line="285" w:before="0" w:after="240"/>
        <w:ind w:left="720" w:right="720" w:firstLine="2160"/>
        <w:jc w:val="both"/>
        <w:rPr>
          <w:rFonts w:ascii="Aptos" w:hAnsi="Aptos"/>
          <w:sz w:val="20"/>
        </w:rPr>
      </w:pPr>
      <w:r>
        <w:rPr>
          <w:rFonts w:ascii="Times New Roman;Times;serif" w:hAnsi="Times New Roman;Times;serif"/>
          <w:sz w:val="20"/>
        </w:rPr>
        <w:t xml:space="preserve">(iv)To the extent the consideration payable per share of Common Stock in the Change in Control is in the form of cash, a fully-vested cash retention account shall be established by the successor entity at the time of such Change in Control for any Shares subject to this Award that vest on an accelerated basis under Paragraph 5(d).  Such account shall be credited with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by </w:t>
      </w:r>
      <w:r>
        <w:rPr>
          <w:rFonts w:ascii="Times New Roman;Times;serif" w:hAnsi="Times New Roman;Times;serif"/>
          <w:b/>
          <w:i/>
          <w:sz w:val="20"/>
        </w:rPr>
        <w:t>The Wall Street Journal</w:t>
      </w:r>
      <w:r>
        <w:rPr>
          <w:rFonts w:ascii="Times New Roman;Times;serif" w:hAnsi="Times New Roman;Times;serif"/>
          <w:sz w:val="20"/>
        </w:rPr>
        <w:t>. The cash retention account, together with all accrued interest thereon through the actual payment date, shall be distributed in accordance with the same distribution provisions in effect under  Paragraph 7(a)(iii), and the Participant’s interest in the account shall at all times be that of a general, unsecured creditor.</w:t>
      </w:r>
    </w:p>
    <w:p>
      <w:pPr>
        <w:pStyle w:val="TextBody"/>
        <w:bidi w:val="0"/>
        <w:spacing w:lineRule="auto" w:line="285" w:before="0" w:after="240"/>
        <w:ind w:left="720" w:right="720" w:firstLine="2160"/>
        <w:jc w:val="both"/>
        <w:rPr>
          <w:rFonts w:ascii="Times New Roman;Times;serif" w:hAnsi="Times New Roman;Times;serif"/>
          <w:sz w:val="20"/>
        </w:rPr>
      </w:pPr>
      <w:r>
        <w:rPr>
          <w:rFonts w:ascii="Times New Roman;Times;serif" w:hAnsi="Times New Roman;Times;serif"/>
          <w:sz w:val="20"/>
        </w:rPr>
        <w:t>(v)Any issuance or distribution to be made pursuant to the foregoing provisions of this Paragraph 7(a) shall be made on the designated issuance or distribution date or as soon as administratively practicable thereafter. In no event, however, shall such issuance or distribution be made later than the fifteenth (15th) day of the third (3rd) calendar month following that date.</w:t>
      </w:r>
    </w:p>
    <w:p>
      <w:pPr>
        <w:pStyle w:val="TextBody"/>
        <w:bidi w:val="0"/>
        <w:spacing w:lineRule="auto" w:line="285" w:before="0" w:after="240"/>
        <w:ind w:left="720" w:right="720" w:firstLine="2160"/>
        <w:jc w:val="both"/>
        <w:rPr>
          <w:rFonts w:ascii="Times New Roman;Times;serif" w:hAnsi="Times New Roman;Times;serif"/>
          <w:sz w:val="20"/>
        </w:rPr>
      </w:pPr>
      <w:r>
        <w:rPr>
          <w:rFonts w:ascii="Times New Roman;Times;serif" w:hAnsi="Times New Roman;Times;serif"/>
          <w:sz w:val="20"/>
        </w:rPr>
        <w:t>(vi)Each issuance or distribution to be made pursuant to this Paragraph 7(a) shall be subject to the Corporation’s collection of all applicable Withholding Taxes, in accordance with the provisions of Paragraphs 7(b) and 7(c).</w:t>
      </w:r>
    </w:p>
    <w:p>
      <w:pPr>
        <w:pStyle w:val="TextBody"/>
        <w:bidi w:val="0"/>
        <w:spacing w:lineRule="auto" w:line="285" w:before="0" w:after="240"/>
        <w:ind w:left="720" w:right="720" w:firstLine="2160"/>
        <w:jc w:val="both"/>
        <w:rPr>
          <w:rFonts w:ascii="Times New Roman;Times;serif" w:hAnsi="Times New Roman;Times;serif"/>
          <w:sz w:val="20"/>
        </w:rPr>
      </w:pPr>
      <w:r>
        <w:rPr>
          <w:rFonts w:ascii="Times New Roman;Times;serif" w:hAnsi="Times New Roman;Times;serif"/>
          <w:sz w:val="20"/>
        </w:rPr>
        <w:t>(vii)Any Shares to be issued to Participant in accordance with the foregoing provisions of this Agreement shall be in the form of a book entry evidencing ownership of those Shares. Actual certificates for any vested Shares evidenced by book entry ownership shall be promptly delivered upon the request of Participant or any other person having an interest at the time in those Shares.</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(c)The following provisions shall govern the US Withholding Taxes on the Shares (or any replacement or substitute securities, property or other amounts under Paragraphs 5 or 6 above) which vest in accordance with the provisions of this Agreement:</w:t>
      </w:r>
    </w:p>
    <w:p>
      <w:pPr>
        <w:pStyle w:val="TextBody"/>
        <w:bidi w:val="0"/>
        <w:spacing w:lineRule="auto" w:line="285" w:before="0" w:after="240"/>
        <w:ind w:left="720" w:right="720" w:firstLine="2160"/>
        <w:jc w:val="both"/>
        <w:rPr>
          <w:rFonts w:ascii="Times New Roman;Times;serif" w:hAnsi="Times New Roman;Times;serif"/>
          <w:sz w:val="20"/>
        </w:rPr>
      </w:pPr>
      <w:r>
        <w:rPr>
          <w:rFonts w:ascii="Times New Roman;Times;serif" w:hAnsi="Times New Roman;Times;serif"/>
          <w:sz w:val="20"/>
        </w:rPr>
        <w:t>(i)The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A-5</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240"/>
        <w:ind w:left="720" w:right="720" w:hanging="0"/>
        <w:jc w:val="both"/>
        <w:rPr>
          <w:rFonts w:ascii="Times New Roman;Times;serif" w:hAnsi="Times New Roman;Times;serif"/>
          <w:sz w:val="20"/>
        </w:rPr>
      </w:pPr>
      <w:r>
        <w:rPr>
          <w:rFonts w:ascii="Times New Roman;Times;serif" w:hAnsi="Times New Roman;Times;serif"/>
          <w:sz w:val="20"/>
        </w:rPr>
        <w:t>approved, Participant shall (i) make satisfactory arrangements with the Corporation’s Human Resources Department, on or before the expiration of the notification period designated by the Corporation preceding each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7(c)(ii).</w:t>
      </w:r>
    </w:p>
    <w:p>
      <w:pPr>
        <w:pStyle w:val="TextBody"/>
        <w:bidi w:val="0"/>
        <w:spacing w:lineRule="auto" w:line="285" w:before="0" w:after="240"/>
        <w:ind w:left="720" w:right="720" w:firstLine="2160"/>
        <w:jc w:val="both"/>
        <w:rPr>
          <w:rFonts w:ascii="Aptos" w:hAnsi="Aptos"/>
          <w:sz w:val="20"/>
        </w:rPr>
      </w:pPr>
      <w:r>
        <w:rPr>
          <w:rFonts w:ascii="Times New Roman;Times;serif" w:hAnsi="Times New Roman;Times;serif"/>
          <w:sz w:val="20"/>
        </w:rPr>
        <w:t>(ii)</w:t>
      </w:r>
      <w:r>
        <w:rPr>
          <w:rFonts w:ascii="Times New Roman;Times;serif" w:hAnsi="Times New Roman;Times;serif"/>
          <w:b/>
          <w:sz w:val="20"/>
        </w:rPr>
        <w:t>Automatic Share Withholding</w:t>
      </w:r>
      <w:r>
        <w:rPr>
          <w:rFonts w:ascii="Times New Roman;Times;serif" w:hAnsi="Times New Roman;Times;serif"/>
          <w:sz w:val="20"/>
        </w:rPr>
        <w:t>. On each applicable issuance date, the 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Times New Roman;Times;serif" w:hAnsi="Times New Roman;Times;serif"/>
          <w:b/>
          <w:i/>
          <w:sz w:val="20"/>
        </w:rPr>
        <w:t>provided, however</w:t>
      </w:r>
      <w:r>
        <w:rPr>
          <w:rFonts w:ascii="Times New Roman;Times;serif" w:hAnsi="Times New Roman;Times;serif"/>
          <w:sz w:val="20"/>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7(c)(iii) below (the “Applicable Withholding Rate”).</w:t>
      </w:r>
    </w:p>
    <w:p>
      <w:pPr>
        <w:pStyle w:val="TextBody"/>
        <w:bidi w:val="0"/>
        <w:spacing w:lineRule="auto" w:line="285" w:before="0" w:after="240"/>
        <w:ind w:left="720" w:right="720" w:firstLine="2160"/>
        <w:jc w:val="both"/>
        <w:rPr>
          <w:rFonts w:ascii="Aptos" w:hAnsi="Aptos"/>
          <w:sz w:val="20"/>
        </w:rPr>
      </w:pPr>
      <w:r>
        <w:rPr>
          <w:rFonts w:ascii="Times New Roman;Times;serif" w:hAnsi="Times New Roman;Times;serif"/>
          <w:sz w:val="20"/>
        </w:rPr>
        <w:t>(iii)</w:t>
      </w:r>
      <w:r>
        <w:rPr>
          <w:rFonts w:ascii="Times New Roman;Times;serif" w:hAnsi="Times New Roman;Times;serif"/>
          <w:b/>
          <w:sz w:val="20"/>
        </w:rPr>
        <w:t>Amount of Withholding</w:t>
      </w:r>
      <w:r>
        <w:rPr>
          <w:rFonts w:ascii="Times New Roman;Times;serif" w:hAnsi="Times New Roman;Times;serif"/>
          <w:sz w:val="20"/>
        </w:rPr>
        <w:t>.  The amount which the 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Withholding Rate equal to the maximum statutory tax rate for the applicable withholding tax in Participant’s applicable jurisdictions (the “Alternate Withholding Rate”).  To 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7(c)(ii) and 7(c)(iii), in the event Participant is determined to be subject to Section 16 of the 1934 Act at the time of settlement, the Alternate Withholding Rate must be approved by the Corporation’s Compensation Committee.</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(d)Notwithstanding the foregoing provisions of this Paragraph 7,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A-6</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7(d) shall be applicable only to the extent necessary to comply with the applicable tax withholding requirements of Section 3121(v) of the Code.</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(e)Except as otherwise provided in Paragraph 5 or this Paragraph 7,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8.</w:t>
      </w:r>
      <w:r>
        <w:rPr>
          <w:rFonts w:ascii="Times New Roman;Times;serif" w:hAnsi="Times New Roman;Times;serif"/>
          <w:b/>
          <w:sz w:val="20"/>
        </w:rPr>
        <w:t>Section 409A</w:t>
      </w:r>
      <w:r>
        <w:rPr>
          <w:rFonts w:ascii="Times New Roman;Times;serif" w:hAnsi="Times New Roman;Times;serif"/>
          <w:sz w:val="20"/>
        </w:rPr>
        <w:t>.  Notwithstanding any provision to the contrary in this Agreement, to the extent this Award may be deemed to create a deferred compensation arrangement under Section 409A, then the following limitation and provisions shall apply:</w:t>
      </w:r>
    </w:p>
    <w:p>
      <w:pPr>
        <w:pStyle w:val="TextBody"/>
        <w:bidi w:val="0"/>
        <w:spacing w:lineRule="auto" w:line="285" w:before="0" w:after="240"/>
        <w:ind w:left="0" w:right="0" w:firstLine="2160"/>
        <w:jc w:val="both"/>
        <w:rPr>
          <w:rFonts w:ascii="Aptos" w:hAnsi="Aptos"/>
          <w:sz w:val="20"/>
        </w:rPr>
      </w:pPr>
      <w:r>
        <w:rPr>
          <w:rFonts w:ascii="Times New Roman;Times;serif" w:hAnsi="Times New Roman;Times;serif"/>
          <w:sz w:val="20"/>
        </w:rPr>
        <w:t xml:space="preserve">(a)No Shares or other amounts which become issuable or distributable under this Agreement upon Participant’s Separation from Service shall actually be issued or distributed to Participant prior to the </w:t>
      </w:r>
      <w:r>
        <w:rPr>
          <w:rFonts w:ascii="Times New Roman;Times;serif" w:hAnsi="Times New Roman;Times;serif"/>
          <w:b/>
          <w:i/>
          <w:sz w:val="20"/>
        </w:rPr>
        <w:t>earlier</w:t>
      </w:r>
      <w:r>
        <w:rPr>
          <w:rFonts w:ascii="Aptos" w:hAnsi="Aptos"/>
          <w:sz w:val="20"/>
        </w:rPr>
        <w:t xml:space="preserve"> </w:t>
      </w:r>
      <w:r>
        <w:rPr>
          <w:rFonts w:ascii="Times New Roman;Times;serif" w:hAnsi="Times New Roman;Times;serif"/>
          <w:sz w:val="20"/>
        </w:rPr>
        <w:t>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 Section 409A arrangements of the Corporation subject to Section 409A, and such delayed commencement is otherwise required in order to avoid a prohibited distribution under Section 409A(a)(2) of the Code.  The deferred Shares or other distributable amount shall be issued or distributed in a lump sum on or within sixty (60) days after the first (1st) day of the seventh (7th) month following the date of Participant’s Separation from Service or, if earlier, the first day of the month immediately following the date the Corporation receives proof of Participant’s death.</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(b)Participant’s right to receive each installment of Shares or other installment distribution pursuant to the terms of this Agreement shall, for purposes of Section 409A, be treated as a right to receive a series of separate payments.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9.</w:t>
      </w:r>
      <w:r>
        <w:rPr>
          <w:rFonts w:ascii="Times New Roman;Times;serif" w:hAnsi="Times New Roman;Times;serif"/>
          <w:b/>
          <w:sz w:val="20"/>
        </w:rPr>
        <w:t>Compliance with Laws and Regulations</w:t>
      </w:r>
      <w:r>
        <w:rPr>
          <w:rFonts w:ascii="Times New Roman;Times;serif" w:hAnsi="Times New Roman;Times;serif"/>
          <w:sz w:val="20"/>
        </w:rPr>
        <w:t>.  The issuance of shares of 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10.</w:t>
      </w:r>
      <w:r>
        <w:rPr>
          <w:rFonts w:ascii="Times New Roman;Times;serif" w:hAnsi="Times New Roman;Times;serif"/>
          <w:b/>
          <w:sz w:val="20"/>
        </w:rPr>
        <w:t>Change in Control Benefits Agreement</w:t>
      </w:r>
      <w:r>
        <w:rPr>
          <w:rFonts w:ascii="Times New Roman;Times;serif" w:hAnsi="Times New Roman;Times;serif"/>
          <w:sz w:val="20"/>
        </w:rPr>
        <w:t xml:space="preserve">.  Notwithstanding anything to the 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Times New Roman;Times;serif" w:hAnsi="Times New Roman;Times;serif"/>
          <w:i/>
          <w:sz w:val="20"/>
        </w:rPr>
        <w:t>provided, however,</w:t>
      </w:r>
      <w:r>
        <w:rPr>
          <w:rFonts w:ascii="Aptos" w:hAnsi="Aptos"/>
          <w:sz w:val="20"/>
        </w:rPr>
        <w:t xml:space="preserve"> </w:t>
      </w:r>
      <w:r>
        <w:rPr>
          <w:rFonts w:ascii="Times New Roman;Times;serif" w:hAnsi="Times New Roman;Times;serif"/>
          <w:sz w:val="20"/>
        </w:rPr>
        <w:t>that in the event there is</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A-7</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any conflict between the issuance or distribution provisions of this Agreement and the issuance or distribution provisions of the Change in Control Benefits Agreement, the issuance and distribution provisions of this Agreement shall be controlling.</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11.</w:t>
      </w:r>
      <w:r>
        <w:rPr>
          <w:rFonts w:ascii="Times New Roman;Times;serif" w:hAnsi="Times New Roman;Times;serif"/>
          <w:b/>
          <w:sz w:val="20"/>
        </w:rPr>
        <w:t>Notices</w:t>
      </w:r>
      <w:r>
        <w:rPr>
          <w:rFonts w:ascii="Times New Roman;Times;serif" w:hAnsi="Times New Roman;Times;serif"/>
          <w:sz w:val="20"/>
        </w:rPr>
        <w:t>.  Any notice required to be given or delivered to the Corporation under the terms of 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12.</w:t>
      </w:r>
      <w:r>
        <w:rPr>
          <w:rFonts w:ascii="Times New Roman;Times;serif" w:hAnsi="Times New Roman;Times;serif"/>
          <w:b/>
          <w:sz w:val="20"/>
        </w:rPr>
        <w:t>Successors and Assigns</w:t>
      </w:r>
      <w:r>
        <w:rPr>
          <w:rFonts w:ascii="Times New Roman;Times;serif" w:hAnsi="Times New Roman;Times;serif"/>
          <w:sz w:val="20"/>
        </w:rPr>
        <w:t>.  Except to the extent otherwise provided in this 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13.</w:t>
      </w:r>
      <w:r>
        <w:rPr>
          <w:rFonts w:ascii="Times New Roman;Times;serif" w:hAnsi="Times New Roman;Times;serif"/>
          <w:b/>
          <w:sz w:val="20"/>
        </w:rPr>
        <w:t>Construction</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(c)This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14.</w:t>
      </w:r>
      <w:r>
        <w:rPr>
          <w:rFonts w:ascii="Times New Roman;Times;serif" w:hAnsi="Times New Roman;Times;serif"/>
          <w:b/>
          <w:sz w:val="20"/>
        </w:rPr>
        <w:t>Governing Law</w:t>
      </w:r>
      <w:r>
        <w:rPr>
          <w:rFonts w:ascii="Times New Roman;Times;serif" w:hAnsi="Times New Roman;Times;serif"/>
          <w:sz w:val="20"/>
        </w:rPr>
        <w:t>.  The interpretation, performance and enforcement of this Agreement shall be governed by the laws of the State of Hawaii without regard to that State’s conflict-of-laws rules.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15.</w:t>
      </w:r>
      <w:r>
        <w:rPr>
          <w:rFonts w:ascii="Times New Roman;Times;serif" w:hAnsi="Times New Roman;Times;serif"/>
          <w:b/>
          <w:sz w:val="20"/>
        </w:rPr>
        <w:t>Coverage under Recoupment Policy</w:t>
      </w:r>
      <w:r>
        <w:rPr>
          <w:rFonts w:ascii="Times New Roman;Times;serif" w:hAnsi="Times New Roman;Times;serif"/>
          <w:sz w:val="20"/>
        </w:rPr>
        <w:t>.  If Participant is on the Award Date, or at any time thereafter becomes an executive officer of the Corporation subject to Section 16 of the 1934 Act, then Participant shall be subject to the Matson, Inc. Policy Regarding Recoupment of Certain Compensation, as amended from time to time (the “Recoupment Policy”), the terms of which are hereby incorporated herein by reference.  A copy of the Recoupment Policy is available upon request made to the Corporate Secretary.</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16.</w:t>
      </w:r>
      <w:r>
        <w:rPr>
          <w:rFonts w:ascii="Times New Roman;Times;serif" w:hAnsi="Times New Roman;Times;serif"/>
          <w:b/>
          <w:sz w:val="20"/>
        </w:rPr>
        <w:t>Data Privacy</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(a)Participant hereby explicitly and unambiguously consents to the collection, use and transfer, in electronic or other form, of Participant’s personal data as described in this Agreement</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A-8</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by the Corporation for the exclusive purpose of implementing, administering and managing Participant’s participation in the Plan.</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17.</w:t>
      </w:r>
      <w:r>
        <w:rPr>
          <w:rFonts w:ascii="Times New Roman;Times;serif" w:hAnsi="Times New Roman;Times;serif"/>
          <w:b/>
          <w:sz w:val="20"/>
        </w:rPr>
        <w:t>Amendment</w:t>
      </w:r>
      <w:r>
        <w:rPr>
          <w:rFonts w:ascii="Times New Roman;Times;serif" w:hAnsi="Times New Roman;Times;serif"/>
          <w:sz w:val="20"/>
        </w:rPr>
        <w:t>.  This Agreement may not be altered, modified, or amended except by written instrument signed by the parties hereto; provided that the Corporation may alter, modify or amend this Agreement unilaterally if such change is not materially adverse to Participant or to cause this Agreement to comply with applicable law.</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18.</w:t>
      </w:r>
      <w:r>
        <w:rPr>
          <w:rFonts w:ascii="Times New Roman;Times;serif" w:hAnsi="Times New Roman;Times;serif"/>
          <w:b/>
          <w:sz w:val="20"/>
        </w:rPr>
        <w:t>Other Agreements Superseded</w:t>
      </w:r>
      <w:r>
        <w:rPr>
          <w:rFonts w:ascii="Times New Roman;Times;serif" w:hAnsi="Times New Roman;Times;serif"/>
          <w:sz w:val="20"/>
        </w:rPr>
        <w:t>.  The Award Notice, this Agreement, and the Plan constitute the entire understanding between Participant and the Corporation regarding the Award.  Any prior agreements, commitments or negotiations concerning the Award are superseded.</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19.</w:t>
      </w:r>
      <w:r>
        <w:rPr>
          <w:rFonts w:ascii="Times New Roman;Times;serif" w:hAnsi="Times New Roman;Times;serif"/>
          <w:b/>
          <w:sz w:val="20"/>
        </w:rPr>
        <w:t>Governing Plan Document</w:t>
      </w:r>
      <w:r>
        <w:rPr>
          <w:rFonts w:ascii="Times New Roman;Times;serif" w:hAnsi="Times New Roman;Times;serif"/>
          <w:sz w:val="20"/>
        </w:rPr>
        <w:t>.  The Award is subject to all the provisions of the Plan, the provisions of which are hereby made a part of the Award, and is further subject to all interpretations, amendments, rules and regulations, which may from time to time be promulgated and adopted pursuant to the Plan.</w:t>
      </w:r>
    </w:p>
    <w:p>
      <w:pPr>
        <w:pStyle w:val="TextBody"/>
        <w:bidi w:val="0"/>
        <w:spacing w:lineRule="auto" w:line="331" w:before="0" w:after="160"/>
        <w:ind w:left="0" w:right="0" w:firstLine="1440"/>
        <w:jc w:val="both"/>
        <w:rPr/>
      </w:pPr>
      <w:r>
        <w:rPr/>
        <w:t>​</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A-9</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APPENDIX A</w:t>
      </w:r>
    </w:p>
    <w:p>
      <w:pPr>
        <w:pStyle w:val="TextBody"/>
        <w:bidi w:val="0"/>
        <w:spacing w:lineRule="auto" w:line="331" w:before="0" w:after="160"/>
        <w:ind w:left="0" w:right="0" w:hanging="0"/>
        <w:jc w:val="center"/>
        <w:rPr/>
      </w:pPr>
      <w:r>
        <w:rPr/>
        <w:t>​</w:t>
      </w:r>
    </w:p>
    <w:p>
      <w:pPr>
        <w:pStyle w:val="TextBody"/>
        <w:bidi w:val="0"/>
        <w:spacing w:lineRule="auto" w:line="285" w:before="0" w:after="480"/>
        <w:ind w:left="0" w:right="0" w:hanging="0"/>
        <w:jc w:val="center"/>
        <w:rPr>
          <w:rFonts w:ascii="Times New Roman;Times;serif" w:hAnsi="Times New Roman;Times;serif"/>
          <w:b/>
          <w:caps/>
          <w:sz w:val="20"/>
        </w:rPr>
      </w:pPr>
      <w:r>
        <w:rPr>
          <w:rFonts w:ascii="Times New Roman;Times;serif" w:hAnsi="Times New Roman;Times;serif"/>
          <w:b/>
          <w:caps/>
          <w:sz w:val="20"/>
        </w:rPr>
        <w:t>DEFINITIONS</w:t>
      </w:r>
    </w:p>
    <w:p>
      <w:pPr>
        <w:pStyle w:val="TextBody"/>
        <w:bidi w:val="0"/>
        <w:spacing w:lineRule="auto" w:line="285" w:before="0" w:after="240"/>
        <w:ind w:left="0" w:right="0" w:firstLine="1440"/>
        <w:jc w:val="both"/>
        <w:rPr>
          <w:rFonts w:ascii="Times New Roman;Times;serif" w:hAnsi="Times New Roman;Times;serif"/>
          <w:sz w:val="20"/>
        </w:rPr>
      </w:pPr>
      <w:r>
        <w:rPr>
          <w:rFonts w:ascii="Times New Roman;Times;serif" w:hAnsi="Times New Roman;Times;serif"/>
          <w:sz w:val="20"/>
        </w:rPr>
        <w:t>The following definitions shall be in effect under the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Agreement</w:t>
      </w:r>
      <w:r>
        <w:rPr>
          <w:rFonts w:ascii="Aptos" w:hAnsi="Aptos"/>
          <w:sz w:val="20"/>
        </w:rPr>
        <w:t xml:space="preserve"> </w:t>
      </w:r>
      <w:r>
        <w:rPr>
          <w:rFonts w:ascii="Times New Roman;Times;serif" w:hAnsi="Times New Roman;Times;serif"/>
          <w:sz w:val="20"/>
        </w:rPr>
        <w:t>shall mean this Restricted Stock Unit Award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Award</w:t>
      </w:r>
      <w:r>
        <w:rPr>
          <w:rFonts w:ascii="Aptos" w:hAnsi="Aptos"/>
          <w:sz w:val="20"/>
        </w:rPr>
        <w:t xml:space="preserve"> </w:t>
      </w:r>
      <w:r>
        <w:rPr>
          <w:rFonts w:ascii="Times New Roman;Times;serif" w:hAnsi="Times New Roman;Times;serif"/>
          <w:sz w:val="20"/>
        </w:rPr>
        <w:t>shall mean the award of restricted stock units made to Participant pursuant to the terms of this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Award Date</w:t>
      </w:r>
      <w:r>
        <w:rPr>
          <w:rFonts w:ascii="Aptos" w:hAnsi="Aptos"/>
          <w:sz w:val="20"/>
        </w:rPr>
        <w:t xml:space="preserve"> </w:t>
      </w:r>
      <w:r>
        <w:rPr>
          <w:rFonts w:ascii="Times New Roman;Times;serif" w:hAnsi="Times New Roman;Times;serif"/>
          <w:sz w:val="20"/>
        </w:rPr>
        <w:t>shall mean the date the restricted stock units are awarded to Participant pursuant to the Agreement and shall be the date specified in the Award Notice.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Award Notice</w:t>
      </w:r>
      <w:r>
        <w:rPr>
          <w:rFonts w:ascii="Aptos" w:hAnsi="Aptos"/>
          <w:sz w:val="20"/>
        </w:rPr>
        <w:t xml:space="preserve"> </w:t>
      </w:r>
      <w:r>
        <w:rPr>
          <w:rFonts w:ascii="Times New Roman;Times;serif" w:hAnsi="Times New Roman;Times;serif"/>
          <w:sz w:val="20"/>
        </w:rPr>
        <w:t>shall mean the Notice of Award of Time-Based Restricted Stock Units delivered to Participant in which there is set forth the basic terms of the restricted stock units subject to this Agreement, including (without limitation) the applicable vesting schedule for those RSUs.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Cause</w:t>
      </w:r>
      <w:r>
        <w:rPr>
          <w:rFonts w:ascii="Aptos" w:hAnsi="Aptos"/>
          <w:sz w:val="20"/>
        </w:rPr>
        <w:t xml:space="preserve"> </w:t>
      </w:r>
      <w:r>
        <w:rPr>
          <w:rFonts w:ascii="Times New Roman;Times;serif" w:hAnsi="Times New Roman;Times;serif"/>
          <w:sz w:val="20"/>
        </w:rPr>
        <w:t xml:space="preserve">shall have the meaning set forth in the Plan;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  The foregoing 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and this Agreement, to constitute grounds for termination for Cause.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Change in Control</w:t>
      </w:r>
      <w:r>
        <w:rPr>
          <w:rFonts w:ascii="Aptos" w:hAnsi="Aptos"/>
          <w:sz w:val="20"/>
        </w:rPr>
        <w:t xml:space="preserve"> </w:t>
      </w:r>
      <w:r>
        <w:rPr>
          <w:rFonts w:ascii="Times New Roman;Times;serif" w:hAnsi="Times New Roman;Times;serif"/>
          <w:sz w:val="20"/>
        </w:rPr>
        <w:t xml:space="preserve">shall have the meaning set forth in the Plan;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Participant is a party to a Change in Control Benefits Agreement applicable to the Award, the term Change in Control shall have the meaning ascribed to that term in such Change in Control Benefits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Change in Control Benefits Agreement</w:t>
      </w:r>
      <w:r>
        <w:rPr>
          <w:rFonts w:ascii="Aptos" w:hAnsi="Aptos"/>
          <w:sz w:val="20"/>
        </w:rPr>
        <w:t xml:space="preserve"> </w:t>
      </w:r>
      <w:r>
        <w:rPr>
          <w:rFonts w:ascii="Times New Roman;Times;serif" w:hAnsi="Times New Roman;Times;serif"/>
          <w:sz w:val="20"/>
        </w:rPr>
        <w:t>shall mean any separate agreement 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Early Retirement</w:t>
      </w:r>
      <w:r>
        <w:rPr>
          <w:rFonts w:ascii="Aptos" w:hAnsi="Aptos"/>
          <w:sz w:val="20"/>
        </w:rPr>
        <w:t xml:space="preserve"> </w:t>
      </w:r>
      <w:r>
        <w:rPr>
          <w:rFonts w:ascii="Times New Roman;Times;serif" w:hAnsi="Times New Roman;Times;serif"/>
          <w:sz w:val="20"/>
        </w:rPr>
        <w:t>shall mean Participant’s retirement from Service, with the prior approval of the Corporation (or the Parent or Subsidiary employing Participant), on or after the attainment of age fifty-five (55) and the completion of at least five (5) years of Service.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Good Reason</w:t>
      </w:r>
      <w:r>
        <w:rPr>
          <w:rFonts w:ascii="Aptos" w:hAnsi="Aptos"/>
          <w:sz w:val="20"/>
        </w:rPr>
        <w:t xml:space="preserve"> </w:t>
      </w:r>
      <w:r>
        <w:rPr>
          <w:rFonts w:ascii="Times New Roman;Times;serif" w:hAnsi="Times New Roman;Times;serif"/>
          <w:sz w:val="20"/>
        </w:rPr>
        <w:t xml:space="preserve">shall have the meaning set forth in the Plan;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in the event Participant is at the time of his or her cessation of Employee status a party</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APPENDIX A-1</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both"/>
        <w:rPr>
          <w:rFonts w:ascii="Aptos" w:hAnsi="Aptos"/>
          <w:sz w:val="20"/>
        </w:rPr>
      </w:pPr>
      <w:r>
        <w:rPr>
          <w:rFonts w:ascii="Times New Roman;Times;serif" w:hAnsi="Times New Roman;Times;serif"/>
          <w:sz w:val="20"/>
        </w:rPr>
        <w:t xml:space="preserve">to a Change in Control Benefits Agreement applicable to the Award evidenced by this Agreement, the term </w:t>
      </w:r>
      <w:r>
        <w:rPr>
          <w:rFonts w:ascii="Times New Roman;Times;serif" w:hAnsi="Times New Roman;Times;serif"/>
          <w:b/>
          <w:sz w:val="20"/>
        </w:rPr>
        <w:t xml:space="preserve">Good Reason </w:t>
      </w:r>
      <w:r>
        <w:rPr>
          <w:rFonts w:ascii="Times New Roman;Times;serif" w:hAnsi="Times New Roman;Times;serif"/>
          <w:sz w:val="20"/>
        </w:rPr>
        <w:t>shall have the meaning ascribed to that term in such Change in Control Benefits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J.</w:t>
      </w:r>
      <w:r>
        <w:rPr>
          <w:rFonts w:ascii="Times New Roman;Times;serif" w:hAnsi="Times New Roman;Times;serif"/>
          <w:b/>
          <w:sz w:val="20"/>
        </w:rPr>
        <w:t>Normal Retirement</w:t>
      </w:r>
      <w:r>
        <w:rPr>
          <w:rFonts w:ascii="Aptos" w:hAnsi="Aptos"/>
          <w:sz w:val="20"/>
        </w:rPr>
        <w:t xml:space="preserve"> </w:t>
      </w:r>
      <w:r>
        <w:rPr>
          <w:rFonts w:ascii="Times New Roman;Times;serif" w:hAnsi="Times New Roman;Times;serif"/>
          <w:sz w:val="20"/>
        </w:rPr>
        <w:t>shall mean the cessation of Service by reason of retirement at or after the attainment of age sixty-five (65).</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K.</w:t>
      </w:r>
      <w:r>
        <w:rPr>
          <w:rFonts w:ascii="Times New Roman;Times;serif" w:hAnsi="Times New Roman;Times;serif"/>
          <w:b/>
          <w:sz w:val="20"/>
        </w:rPr>
        <w:t>Participant</w:t>
      </w:r>
      <w:r>
        <w:rPr>
          <w:rFonts w:ascii="Aptos" w:hAnsi="Aptos"/>
          <w:sz w:val="20"/>
        </w:rPr>
        <w:t xml:space="preserve"> </w:t>
      </w:r>
      <w:r>
        <w:rPr>
          <w:rFonts w:ascii="Times New Roman;Times;serif" w:hAnsi="Times New Roman;Times;serif"/>
          <w:sz w:val="20"/>
        </w:rPr>
        <w:t>shall mean the person to whom the Award is made pursuant to the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L.</w:t>
      </w:r>
      <w:r>
        <w:rPr>
          <w:rFonts w:ascii="Times New Roman;Times;serif" w:hAnsi="Times New Roman;Times;serif"/>
          <w:b/>
          <w:sz w:val="20"/>
        </w:rPr>
        <w:t>Plan</w:t>
      </w:r>
      <w:r>
        <w:rPr>
          <w:rFonts w:ascii="Aptos" w:hAnsi="Aptos"/>
          <w:sz w:val="20"/>
        </w:rPr>
        <w:t xml:space="preserve"> </w:t>
      </w:r>
      <w:r>
        <w:rPr>
          <w:rFonts w:ascii="Times New Roman;Times;serif" w:hAnsi="Times New Roman;Times;serif"/>
          <w:sz w:val="20"/>
        </w:rPr>
        <w:t>shall mean the Corporation’s 2025 Incentive Compensation Plan, as amended from time to time.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M.</w:t>
      </w:r>
      <w:r>
        <w:rPr>
          <w:rFonts w:ascii="Times New Roman;Times;serif" w:hAnsi="Times New Roman;Times;serif"/>
          <w:b/>
          <w:sz w:val="20"/>
        </w:rPr>
        <w:t>Qualifying Change in Control</w:t>
      </w:r>
      <w:r>
        <w:rPr>
          <w:rFonts w:ascii="Aptos" w:hAnsi="Aptos"/>
          <w:sz w:val="20"/>
        </w:rPr>
        <w:t xml:space="preserve"> </w:t>
      </w:r>
      <w:r>
        <w:rPr>
          <w:rFonts w:ascii="Times New Roman;Times;serif" w:hAnsi="Times New Roman;Times;serif"/>
          <w:sz w:val="20"/>
        </w:rPr>
        <w:t>shall mean the date on which there occurs a Change in Control that also qualifies 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N.</w:t>
      </w:r>
      <w:r>
        <w:rPr>
          <w:rFonts w:ascii="Times New Roman;Times;serif" w:hAnsi="Times New Roman;Times;serif"/>
          <w:b/>
          <w:sz w:val="20"/>
        </w:rPr>
        <w:t>Separation from Service</w:t>
      </w:r>
      <w:r>
        <w:rPr>
          <w:rFonts w:ascii="Aptos" w:hAnsi="Aptos"/>
          <w:sz w:val="20"/>
        </w:rPr>
        <w:t xml:space="preserve"> </w:t>
      </w:r>
      <w:r>
        <w:rPr>
          <w:rFonts w:ascii="Times New Roman;Times;serif" w:hAnsi="Times New Roman;Times;serif"/>
          <w:sz w:val="20"/>
        </w:rPr>
        <w:t>shall mean the Participant’s cessation of Employee status by 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O.</w:t>
      </w:r>
      <w:r>
        <w:rPr>
          <w:rFonts w:ascii="Times New Roman;Times;serif" w:hAnsi="Times New Roman;Times;serif"/>
          <w:b/>
          <w:sz w:val="20"/>
        </w:rPr>
        <w:t>Service</w:t>
      </w:r>
      <w:r>
        <w:rPr>
          <w:rFonts w:ascii="Aptos" w:hAnsi="Aptos"/>
          <w:sz w:val="20"/>
        </w:rPr>
        <w:t xml:space="preserve"> </w:t>
      </w:r>
      <w:r>
        <w:rPr>
          <w:rFonts w:ascii="Times New Roman;Times;serif" w:hAnsi="Times New Roman;Times;serif"/>
          <w:sz w:val="20"/>
        </w:rPr>
        <w:t>shall mean Participant’s performance of services for the Corporation (or any Parent or Subsidiary) in the capacity of an Employee, a non-employee member</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APPENDIX A-2</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of the board of directors or a consultant or independent advisor.  In addition, the following provisions shall govern the determination of Participant’s period of Service:</w:t>
      </w:r>
    </w:p>
    <w:p>
      <w:pPr>
        <w:pStyle w:val="TextBody"/>
        <w:bidi w:val="0"/>
        <w:spacing w:lineRule="auto" w:line="285" w:before="0" w:after="0"/>
        <w:ind w:left="720" w:right="720" w:hanging="0"/>
        <w:jc w:val="left"/>
        <w:rPr>
          <w:rFonts w:ascii="Aptos" w:hAnsi="Aptos"/>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pStyle w:val="TextBody"/>
        <w:bidi w:val="0"/>
        <w:spacing w:lineRule="auto" w:line="331" w:before="0" w:after="160"/>
        <w:ind w:left="720" w:right="720" w:firstLine="936"/>
        <w:jc w:val="both"/>
        <w:rPr/>
      </w:pPr>
      <w:r>
        <w:rPr/>
        <w:t>​</w:t>
      </w:r>
    </w:p>
    <w:p>
      <w:pPr>
        <w:pStyle w:val="TextBody"/>
        <w:bidi w:val="0"/>
        <w:spacing w:lineRule="auto" w:line="285" w:before="0" w:after="0"/>
        <w:ind w:left="720" w:right="720" w:hanging="0"/>
        <w:jc w:val="left"/>
        <w:rPr>
          <w:rFonts w:ascii="Aptos" w:hAnsi="Aptos"/>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pStyle w:val="TextBody"/>
        <w:bidi w:val="0"/>
        <w:spacing w:lineRule="auto" w:line="331" w:before="0" w:after="160"/>
        <w:ind w:left="720" w:right="720" w:firstLine="936"/>
        <w:jc w:val="both"/>
        <w:rPr/>
      </w:pPr>
      <w:r>
        <w:rPr/>
        <w:t>​</w:t>
      </w:r>
    </w:p>
    <w:p>
      <w:pPr>
        <w:pStyle w:val="TextBody"/>
        <w:bidi w:val="0"/>
        <w:spacing w:lineRule="auto" w:line="285" w:before="0" w:after="0"/>
        <w:ind w:left="720" w:right="720" w:hanging="0"/>
        <w:jc w:val="left"/>
        <w:rPr>
          <w:rFonts w:ascii="Aptos" w:hAnsi="Aptos"/>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pStyle w:val="TextBody"/>
        <w:bidi w:val="0"/>
        <w:spacing w:lineRule="auto" w:line="331" w:before="0" w:after="160"/>
        <w:ind w:left="720" w:right="0" w:hanging="0"/>
        <w:jc w:val="both"/>
        <w:rPr/>
      </w:pPr>
      <w:r>
        <w:rPr/>
        <w:t>​</w:t>
      </w:r>
    </w:p>
    <w:p>
      <w:pPr>
        <w:pStyle w:val="TextBody"/>
        <w:bidi w:val="0"/>
        <w:spacing w:lineRule="auto" w:line="285" w:before="0" w:after="0"/>
        <w:ind w:left="720" w:right="720" w:firstLine="1440"/>
        <w:jc w:val="both"/>
        <w:rPr>
          <w:rFonts w:ascii="Times New Roman;Times;serif" w:hAnsi="Times New Roman;Times;serif"/>
          <w:sz w:val="20"/>
        </w:rPr>
      </w:pPr>
      <w:r>
        <w:rPr>
          <w:rFonts w:ascii="Times New Roman;Times;serif" w:hAnsi="Times New Roman;Times;serif"/>
          <w:sz w:val="20"/>
        </w:rPr>
        <w:t>a.Should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pStyle w:val="TextBody"/>
        <w:bidi w:val="0"/>
        <w:spacing w:lineRule="auto" w:line="331" w:before="0" w:after="160"/>
        <w:ind w:left="720" w:right="720" w:firstLine="1440"/>
        <w:jc w:val="both"/>
        <w:rPr/>
      </w:pPr>
      <w:r>
        <w:rPr/>
        <w:t>​</w:t>
      </w:r>
    </w:p>
    <w:p>
      <w:pPr>
        <w:pStyle w:val="TextBody"/>
        <w:bidi w:val="0"/>
        <w:spacing w:lineRule="auto" w:line="285" w:before="0" w:after="0"/>
        <w:ind w:left="720" w:right="720" w:firstLine="1440"/>
        <w:jc w:val="both"/>
        <w:rPr>
          <w:rFonts w:ascii="Times New Roman;Times;serif" w:hAnsi="Times New Roman;Times;serif"/>
          <w:sz w:val="20"/>
        </w:rPr>
      </w:pPr>
      <w:r>
        <w:rPr>
          <w:rFonts w:ascii="Times New Roman;Times;serif" w:hAnsi="Times New Roman;Times;serif"/>
          <w:sz w:val="20"/>
        </w:rPr>
        <w:t>b.Should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pStyle w:val="TextBody"/>
        <w:bidi w:val="0"/>
        <w:spacing w:lineRule="auto" w:line="331" w:before="0" w:after="160"/>
        <w:ind w:left="720" w:right="720" w:firstLine="1440"/>
        <w:jc w:val="both"/>
        <w:rPr/>
      </w:pPr>
      <w:r>
        <w:rPr/>
        <w:t>​</w:t>
      </w:r>
    </w:p>
    <w:p>
      <w:pPr>
        <w:pStyle w:val="TextBody"/>
        <w:bidi w:val="0"/>
        <w:spacing w:lineRule="auto" w:line="285" w:before="0" w:after="0"/>
        <w:ind w:left="720" w:right="720" w:firstLine="1440"/>
        <w:jc w:val="both"/>
        <w:rPr>
          <w:rFonts w:ascii="Times New Roman;Times;serif" w:hAnsi="Times New Roman;Times;serif"/>
          <w:sz w:val="20"/>
        </w:rPr>
      </w:pPr>
      <w:r>
        <w:rPr>
          <w:rFonts w:ascii="Times New Roman;Times;serif" w:hAnsi="Times New Roman;Times;serif"/>
          <w:sz w:val="20"/>
        </w:rPr>
        <w:t>c.Except to the extent otherwise required by law or expressly authorized by the Plan Administrator or by the Corporation’s written policy on leaves of absence no Service credit shall be given for vesting purposes for any period Participant is on a leave of absence.</w:t>
      </w:r>
    </w:p>
    <w:p>
      <w:pPr>
        <w:pStyle w:val="TextBody"/>
        <w:bidi w:val="0"/>
        <w:spacing w:lineRule="auto" w:line="331" w:before="0" w:after="160"/>
        <w:ind w:left="720" w:right="0" w:hanging="0"/>
        <w:jc w:val="both"/>
        <w:rPr/>
      </w:pPr>
      <w:r>
        <w:rPr/>
        <w:t>​</w:t>
      </w:r>
    </w:p>
    <w:p>
      <w:pPr>
        <w:pStyle w:val="TextBody"/>
        <w:bidi w:val="0"/>
        <w:spacing w:lineRule="auto" w:line="285" w:before="0" w:after="0"/>
        <w:ind w:left="720" w:right="720" w:hanging="0"/>
        <w:jc w:val="left"/>
        <w:rPr>
          <w:rFonts w:ascii="Aptos" w:hAnsi="Aptos"/>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Notwithstanding anything to the contrary in the foregoing provisions of this Service definition, the Participant shall in all events be deemed</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APPENDIX A-3</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0"/>
        <w:ind w:left="720" w:right="720" w:hanging="0"/>
        <w:jc w:val="both"/>
        <w:rPr>
          <w:rFonts w:ascii="Times New Roman;Times;serif" w:hAnsi="Times New Roman;Times;serif"/>
          <w:sz w:val="20"/>
        </w:rPr>
      </w:pPr>
      <w:r>
        <w:rPr>
          <w:rFonts w:ascii="Times New Roman;Times;serif" w:hAnsi="Times New Roman;Times;serif"/>
          <w:sz w:val="20"/>
        </w:rPr>
        <w:t>to cease Service for all purposes of this Award immediately upon Participant’s incurrence of a Separation from Service.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APPENDIX A-4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490" w:name="matx-20250630xex10d11.htm"/>
      <w:bookmarkStart w:id="1491" w:name="ksmatx20250630xex10d11"/>
      <w:bookmarkEnd w:id="1490"/>
      <w:bookmarkEnd w:id="1491"/>
      <w:r>
        <w:rPr/>
        <w:t>​</w:t>
      </w:r>
      <w:r>
        <w:br w:type="page"/>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10.11</w:t>
      </w:r>
    </w:p>
    <w:p>
      <w:pPr>
        <w:pStyle w:val="TextBody"/>
        <w:bidi w:val="0"/>
        <w:spacing w:lineRule="auto" w:line="331" w:before="0" w:after="160"/>
        <w:ind w:left="0" w:right="0" w:hanging="0"/>
        <w:jc w:val="righ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Time Based Restricted Stock Unit Package - Standard</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MATSON, INC.</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NOTICE OF AWARD OF TIME-BASED RESTRICTED STOCK UNITS</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The Corporation hereby awards to Participant, as of the Award Date indicated below, an award (the “Award”) of restricted stock units under the Corporation’s 2025 Incentive Compensation Plan (as amended from time to time, the “Plan”).  Each restricted stock unit represents the right to receive one share of Common Stock on the applicable issuance date following the vesting of that unit.  The number of shares of Common Stock subject to the awarded restricted stock units (the “RSUs”) and the applicable vesting schedule for those RSUs and the underlying shares of Common Stock are set forth below. The remaining terms and conditions governing the Award, including the issuance date or dates for the shares of Common Stock that vest under the Award, shall be as set forth in the form Time-Based Restricted Stock Unit Award Agreement for service-vesting Awards.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AWARD SUMMARY</w:t>
      </w:r>
    </w:p>
    <w:p>
      <w:pPr>
        <w:pStyle w:val="TextBody"/>
        <w:bidi w:val="0"/>
        <w:spacing w:lineRule="auto" w:line="331"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79"/>
        <w:gridCol w:w="8626"/>
      </w:tblGrid>
      <w:tr>
        <w:trPr/>
        <w:tc>
          <w:tcPr>
            <w:tcW w:w="1579" w:type="dxa"/>
            <w:tcBorders/>
            <w:vAlign w:val="center"/>
          </w:tcPr>
          <w:p>
            <w:pPr>
              <w:pStyle w:val="TableContents"/>
              <w:bidi w:val="0"/>
              <w:spacing w:before="0" w:after="283"/>
              <w:ind w:left="0" w:right="0" w:hanging="0"/>
              <w:jc w:val="left"/>
              <w:rPr>
                <w:sz w:val="4"/>
                <w:szCs w:val="4"/>
              </w:rPr>
            </w:pPr>
            <w:r>
              <w:rPr>
                <w:sz w:val="4"/>
                <w:szCs w:val="4"/>
              </w:rPr>
            </w:r>
          </w:p>
        </w:tc>
        <w:tc>
          <w:tcPr>
            <w:tcW w:w="862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9" w:type="dxa"/>
            <w:tcBorders/>
            <w:vAlign w:val="center"/>
          </w:tcPr>
          <w:p>
            <w:pPr>
              <w:pStyle w:val="TableContents"/>
              <w:bidi w:val="0"/>
              <w:spacing w:lineRule="auto" w:line="285"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Participant</w:t>
            </w:r>
          </w:p>
        </w:tc>
        <w:tc>
          <w:tcPr>
            <w:tcW w:w="862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______________</w:t>
            </w:r>
          </w:p>
        </w:tc>
      </w:tr>
      <w:tr>
        <w:trPr/>
        <w:tc>
          <w:tcPr>
            <w:tcW w:w="1579" w:type="dxa"/>
            <w:tcBorders/>
            <w:vAlign w:val="center"/>
          </w:tcPr>
          <w:p>
            <w:pPr>
              <w:pStyle w:val="TableContents"/>
              <w:bidi w:val="0"/>
              <w:spacing w:lineRule="auto" w:line="331" w:before="0" w:after="160"/>
              <w:ind w:left="0" w:right="0" w:hanging="0"/>
              <w:jc w:val="both"/>
              <w:rPr/>
            </w:pPr>
            <w:r>
              <w:rPr/>
              <w:t>​</w:t>
            </w:r>
          </w:p>
        </w:tc>
        <w:tc>
          <w:tcPr>
            <w:tcW w:w="8626" w:type="dxa"/>
            <w:tcBorders/>
            <w:vAlign w:val="center"/>
          </w:tcPr>
          <w:p>
            <w:pPr>
              <w:pStyle w:val="TableContents"/>
              <w:bidi w:val="0"/>
              <w:spacing w:lineRule="auto" w:line="331" w:before="0" w:after="160"/>
              <w:ind w:left="0" w:right="0" w:hanging="0"/>
              <w:jc w:val="both"/>
              <w:rPr/>
            </w:pPr>
            <w:r>
              <w:rPr/>
              <w:t>​</w:t>
            </w:r>
          </w:p>
        </w:tc>
      </w:tr>
      <w:tr>
        <w:trPr/>
        <w:tc>
          <w:tcPr>
            <w:tcW w:w="1579" w:type="dxa"/>
            <w:tcBorders/>
            <w:vAlign w:val="center"/>
          </w:tcPr>
          <w:p>
            <w:pPr>
              <w:pStyle w:val="TableContents"/>
              <w:bidi w:val="0"/>
              <w:spacing w:lineRule="auto" w:line="285"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Award Date:</w:t>
            </w:r>
          </w:p>
        </w:tc>
        <w:tc>
          <w:tcPr>
            <w:tcW w:w="862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______________</w:t>
            </w:r>
          </w:p>
        </w:tc>
      </w:tr>
      <w:tr>
        <w:trPr/>
        <w:tc>
          <w:tcPr>
            <w:tcW w:w="1579" w:type="dxa"/>
            <w:tcBorders/>
            <w:vAlign w:val="center"/>
          </w:tcPr>
          <w:p>
            <w:pPr>
              <w:pStyle w:val="TableContents"/>
              <w:bidi w:val="0"/>
              <w:spacing w:lineRule="auto" w:line="331" w:before="0" w:after="160"/>
              <w:ind w:left="0" w:right="0" w:hanging="0"/>
              <w:jc w:val="both"/>
              <w:rPr/>
            </w:pPr>
            <w:r>
              <w:rPr/>
              <w:t>​</w:t>
            </w:r>
          </w:p>
        </w:tc>
        <w:tc>
          <w:tcPr>
            <w:tcW w:w="8626" w:type="dxa"/>
            <w:tcBorders/>
            <w:vAlign w:val="center"/>
          </w:tcPr>
          <w:p>
            <w:pPr>
              <w:pStyle w:val="TableContents"/>
              <w:bidi w:val="0"/>
              <w:spacing w:lineRule="auto" w:line="331" w:before="0" w:after="160"/>
              <w:ind w:left="0" w:right="0" w:hanging="0"/>
              <w:jc w:val="both"/>
              <w:rPr/>
            </w:pPr>
            <w:r>
              <w:rPr/>
              <w:t>​</w:t>
            </w:r>
          </w:p>
        </w:tc>
      </w:tr>
      <w:tr>
        <w:trPr/>
        <w:tc>
          <w:tcPr>
            <w:tcW w:w="1579" w:type="dxa"/>
            <w:tcBorders/>
            <w:vAlign w:val="center"/>
          </w:tcPr>
          <w:p>
            <w:pPr>
              <w:pStyle w:val="TableContents"/>
              <w:bidi w:val="0"/>
              <w:spacing w:lineRule="auto" w:line="285"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 xml:space="preserve">Number of Shares Subject to Restricted Stock Unit Award: </w:t>
            </w:r>
          </w:p>
        </w:tc>
        <w:tc>
          <w:tcPr>
            <w:tcW w:w="862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____________ shares of Common Stock (the “Shares”) </w:t>
            </w:r>
          </w:p>
        </w:tc>
      </w:tr>
      <w:tr>
        <w:trPr/>
        <w:tc>
          <w:tcPr>
            <w:tcW w:w="1579" w:type="dxa"/>
            <w:tcBorders/>
            <w:vAlign w:val="center"/>
          </w:tcPr>
          <w:p>
            <w:pPr>
              <w:pStyle w:val="TableContents"/>
              <w:bidi w:val="0"/>
              <w:spacing w:lineRule="auto" w:line="331" w:before="0" w:after="160"/>
              <w:ind w:left="0" w:right="0" w:hanging="0"/>
              <w:jc w:val="left"/>
              <w:rPr/>
            </w:pPr>
            <w:r>
              <w:rPr/>
              <w:t>​</w:t>
            </w:r>
          </w:p>
        </w:tc>
        <w:tc>
          <w:tcPr>
            <w:tcW w:w="8626" w:type="dxa"/>
            <w:tcBorders/>
            <w:vAlign w:val="center"/>
          </w:tcPr>
          <w:p>
            <w:pPr>
              <w:pStyle w:val="TableContents"/>
              <w:bidi w:val="0"/>
              <w:spacing w:lineRule="auto" w:line="331" w:before="0" w:after="160"/>
              <w:ind w:left="0" w:right="0" w:hanging="0"/>
              <w:jc w:val="both"/>
              <w:rPr/>
            </w:pPr>
            <w:r>
              <w:rPr/>
              <w:t>​</w:t>
            </w:r>
          </w:p>
        </w:tc>
      </w:tr>
      <w:tr>
        <w:trPr/>
        <w:tc>
          <w:tcPr>
            <w:tcW w:w="1579" w:type="dxa"/>
            <w:tcBorders/>
            <w:vAlign w:val="center"/>
          </w:tcPr>
          <w:p>
            <w:pPr>
              <w:pStyle w:val="TableContents"/>
              <w:bidi w:val="0"/>
              <w:spacing w:lineRule="auto" w:line="285" w:before="0" w:after="240"/>
              <w:ind w:left="0" w:right="0" w:hanging="0"/>
              <w:jc w:val="both"/>
              <w:rPr>
                <w:rFonts w:ascii="Times New Roman;Times;serif" w:hAnsi="Times New Roman;Times;serif"/>
                <w:sz w:val="20"/>
                <w:u w:val="single"/>
              </w:rPr>
            </w:pPr>
            <w:r>
              <w:rPr>
                <w:rFonts w:ascii="Times New Roman;Times;serif" w:hAnsi="Times New Roman;Times;serif"/>
                <w:sz w:val="20"/>
                <w:u w:val="single"/>
              </w:rPr>
              <w:t>Vesting Schedule:</w:t>
            </w:r>
          </w:p>
        </w:tc>
        <w:tc>
          <w:tcPr>
            <w:tcW w:w="8626" w:type="dxa"/>
            <w:tcBorders/>
            <w:vAlign w:val="center"/>
          </w:tcPr>
          <w:p>
            <w:pPr>
              <w:pStyle w:val="TableContents"/>
              <w:bidi w:val="0"/>
              <w:spacing w:lineRule="auto" w:line="285" w:before="0" w:after="0"/>
              <w:ind w:left="115" w:right="720" w:hanging="0"/>
              <w:jc w:val="both"/>
              <w:rPr>
                <w:rFonts w:ascii="Aptos" w:hAnsi="Aptos"/>
                <w:sz w:val="20"/>
              </w:rPr>
            </w:pPr>
            <w:r>
              <w:rPr>
                <w:rFonts w:ascii="Times New Roman;Times;serif" w:hAnsi="Times New Roman;Times;serif"/>
                <w:sz w:val="20"/>
              </w:rPr>
              <w:t xml:space="preserve">The Shares underlying the Award shall vest in a series of three (3) successive equal annual installments upon Participant’s completion of each successive year of Service over the three (3)-year period measured from the Award Date. Each such installment vesting date is hereby designated a “Vesting and Issuance Date.” However, one or more Shares may be subject to accelerated vesting in accordance with the provisions of Paragraph 3 or Paragraph 5 of the form Time-Based Restricted Stock Unit Award Agreement attached hereto as </w:t>
            </w:r>
            <w:r>
              <w:rPr>
                <w:rFonts w:ascii="Times New Roman;Times;serif" w:hAnsi="Times New Roman;Times;serif"/>
                <w:sz w:val="20"/>
                <w:u w:val="single"/>
              </w:rPr>
              <w:t>Exhibit A</w:t>
            </w:r>
            <w:r>
              <w:rPr>
                <w:rFonts w:ascii="Aptos" w:hAnsi="Aptos"/>
                <w:sz w:val="20"/>
              </w:rPr>
              <w:t xml:space="preserve"> </w:t>
            </w:r>
            <w:r>
              <w:rPr>
                <w:rFonts w:ascii="Times New Roman;Times;serif" w:hAnsi="Times New Roman;Times;serif"/>
                <w:sz w:val="20"/>
              </w:rPr>
              <w:t xml:space="preserve">(the “Award Agreement”) . </w:t>
            </w:r>
          </w:p>
        </w:tc>
      </w:tr>
    </w:tbl>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Participant understands and agrees that the Award is granted subject to and in accordance with the terms of the Plan and hereby agrees to be bound by the terms of the Plan and the terms of the Award as set forth in the Award Agreement.  Participant hereby acknowledges the receipt of a copy of the official prospectus for the Plan.  A copy of the Plan is available upon request made to the Corporation’s Human Resources Department. Participant agrees to electronic delivery of any and all communications relating to the Award, the Award Agreement or the Plan, including but not limited to documentation of the Award, the official prospectus for the Plan, and any and all other documents and materials relating to the Award, the Award Agreement or the Plan.</w:t>
      </w:r>
    </w:p>
    <w:p>
      <w:pPr>
        <w:pStyle w:val="TextBody"/>
        <w:bidi w:val="0"/>
        <w:spacing w:lineRule="auto" w:line="285" w:before="0" w:after="240"/>
        <w:ind w:left="0" w:right="0" w:hanging="0"/>
        <w:jc w:val="both"/>
        <w:rPr>
          <w:rFonts w:ascii="Aptos" w:hAnsi="Aptos"/>
          <w:sz w:val="20"/>
        </w:rPr>
      </w:pPr>
      <w:r>
        <w:rPr>
          <w:rFonts w:ascii="Times New Roman;Times;serif" w:hAnsi="Times New Roman;Times;serif"/>
          <w:sz w:val="20"/>
          <w:u w:val="single"/>
        </w:rPr>
        <w:t>Coverage under Recoupment Policy</w:t>
      </w:r>
      <w:r>
        <w:rPr>
          <w:rFonts w:ascii="Times New Roman;Times;serif" w:hAnsi="Times New Roman;Times;serif"/>
          <w:sz w:val="20"/>
        </w:rPr>
        <w:t>. Participant hereby agrees that: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Participant may be subject to the Matson, Inc. Policy Regarding Recoupment of Certain Compensation, as applicable, and as it may be amended from time to time, the terms of which are hereby incorporated herein by reference; and</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incentive compensation that is paid or granted to, or received by, Participant under the Award shall be subject to recovery and recoupment pursuant to the terms of such policy.</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A copy of the recoupment policy is available upon request made to the Corporate Secretary.</w:t>
      </w:r>
    </w:p>
    <w:p>
      <w:pPr>
        <w:pStyle w:val="TextBody"/>
        <w:bidi w:val="0"/>
        <w:spacing w:lineRule="auto" w:line="285" w:before="0" w:after="240"/>
        <w:ind w:left="0" w:right="0" w:hanging="0"/>
        <w:jc w:val="both"/>
        <w:rPr>
          <w:rFonts w:ascii="Aptos" w:hAnsi="Aptos"/>
          <w:sz w:val="20"/>
        </w:rPr>
      </w:pPr>
      <w:r>
        <w:rPr>
          <w:rFonts w:ascii="Times New Roman;Times;serif" w:hAnsi="Times New Roman;Times;serif"/>
          <w:sz w:val="20"/>
          <w:u w:val="single"/>
        </w:rPr>
        <w:t>Continuing Consent</w:t>
      </w:r>
      <w:r>
        <w:rPr>
          <w:rFonts w:ascii="Times New Roman;Times;serif" w:hAnsi="Times New Roman;Times;serif"/>
          <w:sz w:val="20"/>
        </w:rPr>
        <w:t>. Participant further acknowledges and agrees that, except to the extent the Plan Administrator notifies Participant in writing to the contrary, each subsequent award of service-vesting restricted stock units made to him or her under the Plan shall be subject to the same terms and conditions set forth in the Award Agreement, and Participant hereby understands and agrees to those terms and conditions for each such subsequent service-vesting restricted stock unit award that may be made to him or her under the Plan and hereby agrees to be bound by those terms and conditions for any such restricted stock unit awards, without any further consent or action required on his or her part at the time or times when those awards may be made.  However, Participant may, at any time he or she holds an outstanding service-vesting restricted stock unit award under the Plan, request a written copy of the Award Agreement from the Corporation by contacting the Corporation’s Human Resources Department at the Corporation's offices at 555 12th Street, Oakland, California 94607.</w:t>
      </w:r>
    </w:p>
    <w:p>
      <w:pPr>
        <w:pStyle w:val="TextBody"/>
        <w:bidi w:val="0"/>
        <w:spacing w:lineRule="auto" w:line="285" w:before="0" w:after="240"/>
        <w:ind w:left="0" w:right="0" w:hanging="0"/>
        <w:jc w:val="both"/>
        <w:rPr>
          <w:rFonts w:ascii="Aptos" w:hAnsi="Aptos"/>
          <w:sz w:val="20"/>
        </w:rPr>
      </w:pPr>
      <w:r>
        <w:rPr>
          <w:rFonts w:ascii="Times New Roman;Times;serif" w:hAnsi="Times New Roman;Times;serif"/>
          <w:sz w:val="20"/>
          <w:u w:val="single"/>
        </w:rPr>
        <w:t>Employment at Will</w:t>
      </w:r>
      <w:r>
        <w:rPr>
          <w:rFonts w:ascii="Times New Roman;Times;serif" w:hAnsi="Times New Roman;Times;serif"/>
          <w:sz w:val="20"/>
        </w:rPr>
        <w:t>.  Nothing in this Notice or in the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pStyle w:val="TextBody"/>
        <w:bidi w:val="0"/>
        <w:spacing w:lineRule="auto" w:line="285" w:before="0" w:after="0"/>
        <w:ind w:left="0" w:right="0" w:hanging="0"/>
        <w:jc w:val="both"/>
        <w:rPr>
          <w:rFonts w:ascii="Aptos" w:hAnsi="Aptos"/>
          <w:sz w:val="20"/>
        </w:rPr>
      </w:pPr>
      <w:r>
        <w:rPr>
          <w:rFonts w:ascii="Times New Roman;Times;serif" w:hAnsi="Times New Roman;Times;serif"/>
          <w:sz w:val="20"/>
          <w:u w:val="single"/>
        </w:rPr>
        <w:t>Definitions</w:t>
      </w:r>
      <w:r>
        <w:rPr>
          <w:rFonts w:ascii="Times New Roman;Times;serif" w:hAnsi="Times New Roman;Times;serif"/>
          <w:sz w:val="20"/>
        </w:rPr>
        <w:t xml:space="preserve">.  All capitalized terms in this Notice shall have the meaning assigned to them in this Notice or in the Award Agreement. </w:t>
      </w:r>
    </w:p>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tbl>
      <w:tblPr>
        <w:tblW w:w="2166" w:type="dxa"/>
        <w:jc w:val="left"/>
        <w:tblInd w:w="0" w:type="dxa"/>
        <w:tblLayout w:type="fixed"/>
        <w:tblCellMar>
          <w:top w:w="0" w:type="dxa"/>
          <w:left w:w="0" w:type="dxa"/>
          <w:bottom w:w="0" w:type="dxa"/>
          <w:right w:w="0" w:type="dxa"/>
        </w:tblCellMar>
      </w:tblPr>
      <w:tblGrid>
        <w:gridCol w:w="124"/>
        <w:gridCol w:w="556"/>
        <w:gridCol w:w="1486"/>
      </w:tblGrid>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pPr>
            <w:r>
              <w:rPr/>
              <w:t>​</w:t>
            </w:r>
          </w:p>
        </w:tc>
        <w:tc>
          <w:tcPr>
            <w:tcW w:w="148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2042"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MATSON, INC.</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pPr>
            <w:r>
              <w:rPr/>
              <w:t>​</w:t>
            </w:r>
          </w:p>
        </w:tc>
        <w:tc>
          <w:tcPr>
            <w:tcW w:w="148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4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pPr>
            <w:r>
              <w:rPr/>
              <w:t>​</w:t>
            </w:r>
          </w:p>
        </w:tc>
        <w:tc>
          <w:tcPr>
            <w:tcW w:w="148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pPr>
            <w:r>
              <w:rPr/>
              <w:t>​</w:t>
            </w:r>
          </w:p>
        </w:tc>
        <w:tc>
          <w:tcPr>
            <w:tcW w:w="148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PARTICIPANT</w:t>
            </w:r>
          </w:p>
        </w:tc>
      </w:tr>
    </w:tbl>
    <w:p>
      <w:pPr>
        <w:pStyle w:val="TextBody"/>
        <w:bidi w:val="0"/>
        <w:spacing w:lineRule="auto" w:line="331" w:before="0" w:after="160"/>
        <w:ind w:left="0" w:right="0" w:hanging="0"/>
        <w:jc w:val="center"/>
        <w:rPr/>
      </w:pPr>
      <w:r>
        <w:rPr/>
        <w:t>​</w:t>
      </w:r>
    </w:p>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caps/>
        </w:rPr>
      </w:pPr>
      <w:r>
        <w:rPr>
          <w:caps/>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EXHIBIT A</w:t>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MATSON, INC.</w:t>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time-BASED RESTRICTED STOCK UNIT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AWARD AGREEMENT</w:t>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hanging="0"/>
        <w:jc w:val="both"/>
        <w:rPr>
          <w:rFonts w:ascii="Times New Roman;Times;serif" w:hAnsi="Times New Roman;Times;serif"/>
          <w:b/>
          <w:caps/>
          <w:sz w:val="20"/>
        </w:rPr>
      </w:pPr>
      <w:r>
        <w:rPr>
          <w:rFonts w:ascii="Times New Roman;Times;serif" w:hAnsi="Times New Roman;Times;serif"/>
          <w:b/>
          <w:caps/>
          <w:sz w:val="20"/>
        </w:rPr>
        <w:t>RECITALS</w:t>
      </w:r>
    </w:p>
    <w:p>
      <w:pPr>
        <w:pStyle w:val="TextBody"/>
        <w:bidi w:val="0"/>
        <w:spacing w:lineRule="auto" w:line="331" w:before="0" w:after="160"/>
        <w:ind w:left="0" w:right="0" w:hanging="0"/>
        <w:jc w:val="both"/>
        <w:rPr/>
      </w:pPr>
      <w:r>
        <w:rPr/>
        <w: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Matson, Inc., a Hawaii corporation (along with any subsequent corporate successor to all or substantially all of the assets or voting stock of Matson, Inc., which has by  appropriate action assumed the Plan, the “Corporation”), has implemented the Plan for the purpose of providing eligible persons in the Corporation’s service with the opportunity to participate in one or more equity incentive compensation programs designed to motivate, attract and retain the services of persons who contribute to the success of the Corporation.</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All capitalized terms in this Agreement shall have the meaning assigned to them in the attached </w:t>
      </w:r>
      <w:r>
        <w:rPr>
          <w:rFonts w:ascii="Times New Roman;Times;serif" w:hAnsi="Times New Roman;Times;serif"/>
          <w:sz w:val="20"/>
          <w:u w:val="single"/>
        </w:rPr>
        <w:t>Appendix A</w:t>
      </w:r>
      <w:r>
        <w:rPr>
          <w:rFonts w:ascii="Times New Roman;Times;serif" w:hAnsi="Times New Roman;Times;serif"/>
          <w:sz w:val="20"/>
        </w:rPr>
        <w:t>, or if not defined in that appendix, as defined in the Plan.</w:t>
      </w:r>
    </w:p>
    <w:p>
      <w:pPr>
        <w:pStyle w:val="TextBody"/>
        <w:bidi w:val="0"/>
        <w:spacing w:lineRule="auto" w:line="285" w:before="0" w:after="240"/>
        <w:ind w:left="0" w:right="0" w:firstLine="90"/>
        <w:jc w:val="both"/>
        <w:rPr>
          <w:rFonts w:ascii="Aptos" w:hAnsi="Aptos"/>
          <w:sz w:val="20"/>
        </w:rPr>
      </w:pPr>
      <w:r>
        <w:rPr>
          <w:rFonts w:ascii="Times New Roman;Times;serif" w:hAnsi="Times New Roman;Times;serif"/>
          <w:b/>
          <w:sz w:val="20"/>
        </w:rPr>
        <w:t>NOW, THEREFORE</w:t>
      </w:r>
      <w:r>
        <w:rPr>
          <w:rFonts w:ascii="Times New Roman;Times;serif" w:hAnsi="Times New Roman;Times;serif"/>
          <w:sz w:val="20"/>
        </w:rPr>
        <w:t>, it is hereby agreed as follows: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Grant of Restricted Stock Units</w:t>
      </w:r>
      <w:r>
        <w:rPr>
          <w:rFonts w:ascii="Times New Roman;Times;serif" w:hAnsi="Times New Roman;Times;serif"/>
          <w:sz w:val="20"/>
        </w:rPr>
        <w:t>.  The Corporation hereby awards to Participant, as of the Award Date, restricted stock units under the Plan.  The number of RSUs and the applicable service vesting requirements for those RSUs are set forth in the Award Notice.  The remaining terms and conditions governing the Award shall be as set forth in this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Limited Transferability</w:t>
      </w:r>
      <w:r>
        <w:rPr>
          <w:rFonts w:ascii="Times New Roman;Times;serif" w:hAnsi="Times New Roman;Times;serif"/>
          <w:sz w:val="20"/>
        </w:rPr>
        <w:t>.  Prior to the actual issuance of the Shares hereunder, Participant may not transfer any interest in the RSUs or the underlying Shares or pledge or otherwise hedge the sale of those RSUs or Shares, including (without limitation) any short sale or any acquisition or disposition of any put or call option or other instrument tied to the value of those RSUs or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become issuable hereunder in the name of a revocable living trust established for the exclusive benefit of either Participant or Participant and his or her spouse. Participant may make such a beneficiary designation or ownership directive at any time by filing the appropriate form with the Plan Administrator or its designee.</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Cessation of Service</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(a)Except to the extent otherwise provided in this Paragraph 3 or Paragraph 5 below, should Participant cease Service for any reason prior to vesting in one or more RSUs, then any unvested RSUs shall be automatically cancelled.  Participant shall thereupon cease to have any right or entitlement to receive any Shares under those cancelled RSUs.</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(b)Should Participant’s Service terminate by reason of his or her death or Permanent Disability prior to vesting in one or more RSUs, then the RSUs shall vest in full upon Participant’s termination of Service. The Shares subject to those vested RSUs shall be issued in accordance with the applicable provisions of Paragraph 7.</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(c)Should Participant’s Service terminate by reason of his or her Early Retirement or Normal Retirement prior to vesting in all the RSUs subject to this Award in accordance with the annual installment vesting schedule set forth in the Award Notice, then Participant shall immediately vest in that number of additional RSUs (if any) in which Participant would have otherwise been vested at the time of such termination had the RSUs subject to this Award vested in a series of successive equal monthly installments over the duration of the vesting schedule set forth in the Award Notice.  The RSUs which are deemed to vest on the basis of such monthly installment vesting schedule shall, together with any other RSUs which are at the time vested but unissued, be settled in Shares in accordance with the applicable provisions of Paragraph 7.  The balance of the Award shall be automatically cancelled and cease to be outstanding upon such termination of Service.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Shareholder Rights and Dividend Equivalents</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(a)The holder of this Award shall not have any shareholder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pStyle w:val="TextBody"/>
        <w:bidi w:val="0"/>
        <w:spacing w:lineRule="auto" w:line="285" w:before="0" w:after="120"/>
        <w:ind w:left="0" w:right="0" w:firstLine="2160"/>
        <w:jc w:val="both"/>
        <w:rPr>
          <w:rFonts w:ascii="Times New Roman;Times;serif" w:hAnsi="Times New Roman;Times;serif"/>
          <w:sz w:val="20"/>
        </w:rPr>
      </w:pPr>
      <w:r>
        <w:rPr>
          <w:rFonts w:ascii="Times New Roman;Times;serif" w:hAnsi="Times New Roman;Times;serif"/>
          <w:sz w:val="20"/>
        </w:rPr>
        <w:t>(b)Notwithstanding the foregoing, should any dividend or other distribution payable other than in shares of Common Stock be declared and paid on the Corporation’s outstanding Common Stock at a time when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 they been issued and outstanding and entitled to that dividend or distribution. The phantom dividend equivalents so credited to the Participant’s book account for each calendar quarter this Award remains outstanding in whole or in part shall be distributed to Participant (in cash or such other form as the Plan Administrator may deem appropriate in its sole discretion) on or after the date the dividend or other distribution is paid to holders of Common Stock, but in no case later than the last business day of that calendar quarter. However, each such distribution shall be subject to the Corporation’s collection of the Withholding Taxes applicable to that distribution.</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Change in Control</w:t>
      </w:r>
      <w:r>
        <w:rPr>
          <w:rFonts w:ascii="Times New Roman;Times;serif" w:hAnsi="Times New Roman;Times;serif"/>
          <w:sz w:val="20"/>
        </w:rPr>
        <w:t>.</w:t>
      </w:r>
    </w:p>
    <w:p>
      <w:pPr>
        <w:pStyle w:val="TextBody"/>
        <w:bidi w:val="0"/>
        <w:spacing w:lineRule="auto" w:line="285" w:before="0" w:after="240"/>
        <w:ind w:left="0" w:right="0" w:firstLine="2160"/>
        <w:jc w:val="both"/>
        <w:rPr>
          <w:rFonts w:ascii="Aptos" w:hAnsi="Aptos"/>
          <w:sz w:val="20"/>
        </w:rPr>
      </w:pPr>
      <w:r>
        <w:rPr>
          <w:rFonts w:ascii="Times New Roman;Times;serif" w:hAnsi="Times New Roman;Times;serif"/>
          <w:sz w:val="20"/>
        </w:rPr>
        <w:t xml:space="preserve">(a)This Award, to the extent outstanding at the time of a Change in Control, may be assumed by the successor entity or otherwise continued in full force and effect or may be replaced with a substitute equivalent award by the successor entity.  Any such assumption or continuation of this Award shall be effected in accordance with Paragraph 5(b) below. To the extent the substitute equivalent award is in the form of cash, a cash retention account shall be established in replacement of this Award and shall initially be credited with the Fair Market Value (determined at the effective time of the Change in Control) of the Shares subject to the Award at that time, and interest shall accrue on the outstanding balance of such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by </w:t>
      </w:r>
      <w:r>
        <w:rPr>
          <w:rFonts w:ascii="Times New Roman;Times;serif" w:hAnsi="Times New Roman;Times;serif"/>
          <w:b/>
          <w:i/>
          <w:sz w:val="20"/>
        </w:rPr>
        <w:t>The Wall Street Journal</w:t>
      </w:r>
      <w:r>
        <w:rPr>
          <w:rFonts w:ascii="Times New Roman;Times;serif" w:hAnsi="Times New Roman;Times;serif"/>
          <w:sz w:val="20"/>
        </w:rPr>
        <w:t>.  The substitute equivalent award shall vest and be paid out in accordance with the same vesting and payment schedule applicable to the Award, as set forth in Paragraphs 1 and 7, and the Participant’s interest in any substitute equivalent award shall at all times be that of a general, unsecured creditor.  In the event of such assumption or continuation of this Award or such replacement of the Award with a substitute equivalent award, no accelerated vesting of the RSUs subject to this Award or the underlying Shares shall occur at the time of the Change in Control, and the Service-vesting provisions set forth in the Award Notice shall continue in full force and effect.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(b)In the event this Award is assumed, otherwise continued in effect, or replaced in connection with such Change in Control, the RSUs subject to the Award shall be adjusted immediately after the consummation of that Change in Control so as to apply to the number and class of securities into which the Shares subject to those RSUs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RSUs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pStyle w:val="TextBody"/>
        <w:bidi w:val="0"/>
        <w:spacing w:lineRule="auto" w:line="285" w:before="0" w:after="240"/>
        <w:ind w:left="0" w:right="0" w:firstLine="2160"/>
        <w:jc w:val="both"/>
        <w:rPr>
          <w:rFonts w:ascii="Aptos" w:hAnsi="Aptos"/>
          <w:sz w:val="20"/>
        </w:rPr>
      </w:pPr>
      <w:r>
        <w:rPr>
          <w:rFonts w:ascii="Times New Roman;Times;serif" w:hAnsi="Times New Roman;Times;serif"/>
          <w:sz w:val="20"/>
        </w:rPr>
        <w:t xml:space="preserve">(c)Upon Participant’s Separation from Service due to an Involuntary Termination occurring within twelve (12) months after a Change in Control in which this Award is assumed or continued in effect, all of the RSUs at the time subject to this Award shall vest, or any substitute equivalent award, and the Shares underlying those RSUs shall be issued to Participant in accordance with the applicable provisions of Paragraph 7.  Should the RSUs be replaced with a cash retention account in accordance with Paragraph 5(a), then the balance credited to Participant under that account at the time of his or her Separation from Service due to an Involuntary Termination shall immediately vest and shall be distributed to Participant in accordance with the applicable provisions of Paragraph 7;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Participant shall </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vest and be entitled to such distribution only if such Involuntary Termination occurs within twelve (12) months following the Change in Control.</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(d)If the RSUs subject to this Award at the time of the Change in Control are not assumed or otherwise continued in effect or replaced with substitute equivalent award in accordance with Paragraph 5(a), then those RSUs shall vest immediately prior to the closing of the Change in Control, and Participant shall become entitled to a vested distribution in accordance with the applicable provisions of Paragraph 7.</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(e)This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6.</w:t>
      </w:r>
      <w:r>
        <w:rPr>
          <w:rFonts w:ascii="Times New Roman;Times;serif" w:hAnsi="Times New Roman;Times;serif"/>
          <w:b/>
          <w:sz w:val="20"/>
        </w:rPr>
        <w:t>Adjustment in Shares</w:t>
      </w:r>
      <w:r>
        <w:rPr>
          <w:rFonts w:ascii="Times New Roman;Times;serif" w:hAnsi="Times New Roman;Times;serif"/>
          <w:sz w:val="20"/>
        </w:rPr>
        <w:t>.  Should any change be made to the Common Stock by 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the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4(b) in connection with the transaction, and the determination of the Plan Administrator shall be final, binding and conclusive as provided in Section III.B of Article One of the Plan.  In the event of any Change in Control transaction, the adjustment provisions of Paragraph 5(b) shall be controlling.</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7.</w:t>
      </w:r>
      <w:r>
        <w:rPr>
          <w:rFonts w:ascii="Times New Roman;Times;serif" w:hAnsi="Times New Roman;Times;serif"/>
          <w:b/>
          <w:sz w:val="20"/>
        </w:rPr>
        <w:t>Issuance or Distribution of Shares or Other Vested Amounts and Applicable Withholding Taxes.</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(a)The following provisions shall govern the issuance of the Shares (or any replacement or substitute amounts under Paragraph 5) which vest in accordance with the provisions of this Agreement:</w:t>
      </w:r>
    </w:p>
    <w:p>
      <w:pPr>
        <w:pStyle w:val="TextBody"/>
        <w:bidi w:val="0"/>
        <w:spacing w:lineRule="auto" w:line="285" w:before="0" w:after="240"/>
        <w:ind w:left="720" w:right="720" w:firstLine="2160"/>
        <w:jc w:val="both"/>
        <w:rPr>
          <w:rFonts w:ascii="Times New Roman;Times;serif" w:hAnsi="Times New Roman;Times;serif"/>
          <w:sz w:val="20"/>
        </w:rPr>
      </w:pPr>
      <w:r>
        <w:rPr>
          <w:rFonts w:ascii="Times New Roman;Times;serif" w:hAnsi="Times New Roman;Times;serif"/>
          <w:sz w:val="20"/>
        </w:rPr>
        <w:t>(i)On each Vesting and Issuance Date specified in the Award Notice, the Shares underlying the RSUs which vest at that time or which are otherwise deemed to have vested during the twelve (12)-month period ending with that date but have not otherwise been issued in accordance with any other applicable provision of this Paragraph 7(a) shall be issued.</w:t>
      </w:r>
    </w:p>
    <w:p>
      <w:pPr>
        <w:pStyle w:val="TextBody"/>
        <w:bidi w:val="0"/>
        <w:spacing w:lineRule="auto" w:line="285" w:before="0" w:after="240"/>
        <w:ind w:left="720" w:right="720" w:firstLine="2160"/>
        <w:jc w:val="both"/>
        <w:rPr>
          <w:rFonts w:ascii="Times New Roman;Times;serif" w:hAnsi="Times New Roman;Times;serif"/>
          <w:sz w:val="20"/>
        </w:rPr>
      </w:pPr>
      <w:r>
        <w:rPr>
          <w:rFonts w:ascii="Times New Roman;Times;serif" w:hAnsi="Times New Roman;Times;serif"/>
          <w:sz w:val="20"/>
        </w:rPr>
        <w:t xml:space="preserve">(ii)Shares underlying RSUs which vest on an accelerated basis upon the Participant’s cessation of Service under Paragraph 3(b) or 3(c) or upon his or her Involuntary Termination under Paragraph 5(c) shall be issued on the date of Participant’s Separation from Service due to such cessation of </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720" w:right="720" w:hanging="0"/>
        <w:jc w:val="both"/>
        <w:rPr>
          <w:rFonts w:ascii="Times New Roman;Times;serif" w:hAnsi="Times New Roman;Times;serif"/>
          <w:sz w:val="20"/>
        </w:rPr>
      </w:pPr>
      <w:r>
        <w:rPr>
          <w:rFonts w:ascii="Times New Roman;Times;serif" w:hAnsi="Times New Roman;Times;serif"/>
          <w:sz w:val="20"/>
        </w:rPr>
        <w:t>Service or Involuntary Termination. Any distribution from the cash retention account to which Participant is entitled under Paragraph 5(c) upon his or her Involuntary Termination shall be paid in a lump sum on the date of his or her Separation from Service due to such Involuntary Termination.  However, any issuance or distribution pursuant to the provisions of this subparagraph (ii) shall be subject to the deferred issuance provisions of Paragraph 8, to the extent applicable.</w:t>
      </w:r>
    </w:p>
    <w:p>
      <w:pPr>
        <w:pStyle w:val="TextBody"/>
        <w:bidi w:val="0"/>
        <w:spacing w:lineRule="auto" w:line="285" w:before="0" w:after="240"/>
        <w:ind w:left="720" w:right="720" w:firstLine="2160"/>
        <w:jc w:val="both"/>
        <w:rPr>
          <w:rFonts w:ascii="Aptos" w:hAnsi="Aptos"/>
          <w:sz w:val="20"/>
        </w:rPr>
      </w:pPr>
      <w:r>
        <w:rPr>
          <w:rFonts w:ascii="Times New Roman;Times;serif" w:hAnsi="Times New Roman;Times;serif"/>
          <w:sz w:val="20"/>
        </w:rPr>
        <w:t xml:space="preserve">(iii)Shares underlying RSUs which vest under Paragraph 5(d) shall be converted into the right to receive the same consideration per share of Common Stock payable to the other shareholders of the Corporation in consummation of the Change in Control transaction, and such consideration per Share shall be distributed to Participant upon the </w:t>
      </w:r>
      <w:r>
        <w:rPr>
          <w:rFonts w:ascii="Times New Roman;Times;serif" w:hAnsi="Times New Roman;Times;serif"/>
          <w:b/>
          <w:i/>
          <w:sz w:val="20"/>
        </w:rPr>
        <w:t xml:space="preserve">earliest </w:t>
      </w:r>
      <w:r>
        <w:rPr>
          <w:rFonts w:ascii="Times New Roman;Times;serif" w:hAnsi="Times New Roman;Times;serif"/>
          <w:sz w:val="20"/>
        </w:rPr>
        <w:t>to occur of (i) the Vesting and Issuance Date on which the particular Shares to which such consideration relates would have been issued in the absence of such Change in Control, (ii) the date of Participant’s Separation from Service or (iii) the first date following a Qualifying Change in Control on which the distribution can be made without contravention of any applicable provisions of Section 409A of the Code (“Section 409A”).</w:t>
      </w:r>
    </w:p>
    <w:p>
      <w:pPr>
        <w:pStyle w:val="TextBody"/>
        <w:bidi w:val="0"/>
        <w:spacing w:lineRule="auto" w:line="285" w:before="0" w:after="240"/>
        <w:ind w:left="720" w:right="720" w:firstLine="2160"/>
        <w:jc w:val="both"/>
        <w:rPr>
          <w:rFonts w:ascii="Aptos" w:hAnsi="Aptos"/>
          <w:sz w:val="20"/>
        </w:rPr>
      </w:pPr>
      <w:r>
        <w:rPr>
          <w:rFonts w:ascii="Times New Roman;Times;serif" w:hAnsi="Times New Roman;Times;serif"/>
          <w:sz w:val="20"/>
        </w:rPr>
        <w:t xml:space="preserve">(iv)To the extent the consideration payable per share of Common Stock in the Change in Control is in the form of cash, a fully-vested cash retention account shall be established by the successor entity at the time of such Change in Control for any Shares subject to this Award that vest on an accelerated basis under Paragraph 5(d).  Such account shall be credited with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by </w:t>
      </w:r>
      <w:r>
        <w:rPr>
          <w:rFonts w:ascii="Times New Roman;Times;serif" w:hAnsi="Times New Roman;Times;serif"/>
          <w:b/>
          <w:i/>
          <w:sz w:val="20"/>
        </w:rPr>
        <w:t>The Wall Street Journal</w:t>
      </w:r>
      <w:r>
        <w:rPr>
          <w:rFonts w:ascii="Times New Roman;Times;serif" w:hAnsi="Times New Roman;Times;serif"/>
          <w:sz w:val="20"/>
        </w:rPr>
        <w:t>. The cash retention account, together with all accrued interest thereon through the actual payment date, shall be distributed in accordance with the same distribution provisions in effect under  Paragraph 7(a)(iii), and the Participant’s interest in the account shall at all times be that of a general, unsecured creditor.</w:t>
      </w:r>
    </w:p>
    <w:p>
      <w:pPr>
        <w:pStyle w:val="TextBody"/>
        <w:bidi w:val="0"/>
        <w:spacing w:lineRule="auto" w:line="285" w:before="0" w:after="240"/>
        <w:ind w:left="720" w:right="720" w:firstLine="2160"/>
        <w:jc w:val="both"/>
        <w:rPr>
          <w:rFonts w:ascii="Times New Roman;Times;serif" w:hAnsi="Times New Roman;Times;serif"/>
          <w:sz w:val="20"/>
        </w:rPr>
      </w:pPr>
      <w:r>
        <w:rPr>
          <w:rFonts w:ascii="Times New Roman;Times;serif" w:hAnsi="Times New Roman;Times;serif"/>
          <w:sz w:val="20"/>
        </w:rPr>
        <w:t>(v)Any issuance or distribution to be made pursuant to the foregoing provisions of this Paragraph 7(a) shall be made on the designated issuance or distribution date or as soon as administratively practicable thereafter. In no event, however, shall such issuance or distribution be made later than the fifteenth (15th) day of the third (3rd) calendar month following that date.</w:t>
      </w:r>
    </w:p>
    <w:p>
      <w:pPr>
        <w:pStyle w:val="TextBody"/>
        <w:bidi w:val="0"/>
        <w:spacing w:lineRule="auto" w:line="285" w:before="0" w:after="240"/>
        <w:ind w:left="720" w:right="720" w:firstLine="2160"/>
        <w:jc w:val="both"/>
        <w:rPr>
          <w:rFonts w:ascii="Times New Roman;Times;serif" w:hAnsi="Times New Roman;Times;serif"/>
          <w:sz w:val="20"/>
        </w:rPr>
      </w:pPr>
      <w:r>
        <w:rPr>
          <w:rFonts w:ascii="Times New Roman;Times;serif" w:hAnsi="Times New Roman;Times;serif"/>
          <w:sz w:val="20"/>
        </w:rPr>
        <w:t>(vi)Each issuance or distribution to be made pursuant to this Paragraph 7(a) shall be subject to the Corporation’s collection of all applicable Withholding Taxes, in accordance with the provisions of Paragraphs 7(b) and 7(c).</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720" w:right="720" w:firstLine="2160"/>
        <w:jc w:val="both"/>
        <w:rPr>
          <w:rFonts w:ascii="Times New Roman;Times;serif" w:hAnsi="Times New Roman;Times;serif"/>
          <w:sz w:val="20"/>
        </w:rPr>
      </w:pPr>
      <w:r>
        <w:rPr>
          <w:rFonts w:ascii="Times New Roman;Times;serif" w:hAnsi="Times New Roman;Times;serif"/>
          <w:sz w:val="20"/>
        </w:rPr>
        <w:t>(vii)Any Shares to be issued to Participant in accordance with the foregoing provisions of this Agreement shall be in the form of a book entry evidencing ownership of those Shares. Actual certificates for any vested Shares evidenced by book entry ownership shall be promptly delivered upon the request of Participant or any other person having an interest at the time in those Shares.</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(c)The following provisions shall govern the US Withholding Taxes on the Shares (or any replacement or substitute securities, property or other amounts under Paragraphs 5 or 6 above) which vest in accordance with the provisions of this Agreement:</w:t>
      </w:r>
    </w:p>
    <w:p>
      <w:pPr>
        <w:pStyle w:val="TextBody"/>
        <w:bidi w:val="0"/>
        <w:spacing w:lineRule="auto" w:line="285" w:before="0" w:after="240"/>
        <w:ind w:left="720" w:right="720" w:firstLine="2160"/>
        <w:jc w:val="both"/>
        <w:rPr>
          <w:rFonts w:ascii="Times New Roman;Times;serif" w:hAnsi="Times New Roman;Times;serif"/>
          <w:sz w:val="20"/>
        </w:rPr>
      </w:pPr>
      <w:r>
        <w:rPr>
          <w:rFonts w:ascii="Times New Roman;Times;serif" w:hAnsi="Times New Roman;Times;serif"/>
          <w:sz w:val="20"/>
        </w:rPr>
        <w:t>(i)The Corporation may, in its sole discretion and subject to the following sentence, establish a procedure to permit the satisfaction of the Withholding Taxes by the Participant in the form of cash and shall inform Participant of any such procedure (the “Alternate Arrangement”).  In the event an Alternate Arrangement is approved, Participant shall (i) make satisfactory arrangements with the Corporation’s Human Resources Department, on or before the expiration of the notification period designated by the Corporation preceding each applicable issuance date of the Shares, to pay the applicable Withholding Taxes through the delivery of cash or a cash equivalent to the Corporation in the amount of such Withholding Taxes and (ii) deliver such payment to the Corporation not later than that issuance date.  Otherwise the Corporation shall collect the Withholding Taxes applicable to the Share issuance through the automatic share withholding method set forth in Section 7(c)(ii).</w:t>
      </w:r>
    </w:p>
    <w:p>
      <w:pPr>
        <w:pStyle w:val="TextBody"/>
        <w:bidi w:val="0"/>
        <w:spacing w:lineRule="auto" w:line="285" w:before="0" w:after="240"/>
        <w:ind w:left="720" w:right="720" w:firstLine="2160"/>
        <w:jc w:val="both"/>
        <w:rPr>
          <w:rFonts w:ascii="Aptos" w:hAnsi="Aptos"/>
          <w:sz w:val="20"/>
        </w:rPr>
      </w:pPr>
      <w:r>
        <w:rPr>
          <w:rFonts w:ascii="Times New Roman;Times;serif" w:hAnsi="Times New Roman;Times;serif"/>
          <w:sz w:val="20"/>
        </w:rPr>
        <w:t>(ii)</w:t>
      </w:r>
      <w:r>
        <w:rPr>
          <w:rFonts w:ascii="Times New Roman;Times;serif" w:hAnsi="Times New Roman;Times;serif"/>
          <w:b/>
          <w:sz w:val="20"/>
        </w:rPr>
        <w:t>Automatic Share Withholding</w:t>
      </w:r>
      <w:r>
        <w:rPr>
          <w:rFonts w:ascii="Times New Roman;Times;serif" w:hAnsi="Times New Roman;Times;serif"/>
          <w:sz w:val="20"/>
        </w:rPr>
        <w:t>. On each applicable issuance date, the Corporation shall withhold, from the vested Shares otherwise issuable to Participant at that time, a portion of those Shares with a Fair Market Value (measured as of the issuance date) equal to the applicable Withholding Taxes as determined by the Corporation;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number of  Shares which the Corporation shall be required to so withhold shall not exceed in Fair Market Value the amount necessary to satisfy the Corporation’s required tax withholding obligations using the minimum statutory withholding rates, except as provided in Section 7(c)(iii) below (the “Applicable Withholding Rate”).</w:t>
      </w:r>
    </w:p>
    <w:p>
      <w:pPr>
        <w:pStyle w:val="TextBody"/>
        <w:bidi w:val="0"/>
        <w:spacing w:lineRule="auto" w:line="285" w:before="0" w:after="240"/>
        <w:ind w:left="720" w:right="720" w:firstLine="2160"/>
        <w:jc w:val="both"/>
        <w:rPr>
          <w:rFonts w:ascii="Aptos" w:hAnsi="Aptos"/>
          <w:sz w:val="20"/>
        </w:rPr>
      </w:pPr>
      <w:r>
        <w:rPr>
          <w:rFonts w:ascii="Times New Roman;Times;serif" w:hAnsi="Times New Roman;Times;serif"/>
          <w:sz w:val="20"/>
        </w:rPr>
        <w:t>(iii)</w:t>
      </w:r>
      <w:r>
        <w:rPr>
          <w:rFonts w:ascii="Times New Roman;Times;serif" w:hAnsi="Times New Roman;Times;serif"/>
          <w:b/>
          <w:sz w:val="20"/>
        </w:rPr>
        <w:t>Amount of Withholding</w:t>
      </w:r>
      <w:r>
        <w:rPr>
          <w:rFonts w:ascii="Times New Roman;Times;serif" w:hAnsi="Times New Roman;Times;serif"/>
          <w:sz w:val="20"/>
        </w:rPr>
        <w:t xml:space="preserve">.  The amount which the 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However, Participant may elect an alternate Applicable Withholding Rate equal to the maximum statutory tax rate for the applicable withholding tax in Participant’s applicable jurisdictions (the “Alternate Withholding Rate”).  To </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720" w:right="720" w:hanging="0"/>
        <w:jc w:val="both"/>
        <w:rPr>
          <w:rFonts w:ascii="Times New Roman;Times;serif" w:hAnsi="Times New Roman;Times;serif"/>
          <w:sz w:val="20"/>
        </w:rPr>
      </w:pPr>
      <w:r>
        <w:rPr>
          <w:rFonts w:ascii="Times New Roman;Times;serif" w:hAnsi="Times New Roman;Times;serif"/>
          <w:sz w:val="20"/>
        </w:rPr>
        <w:t>request an Alternate Withholding Rate, the Participant must complete and return to the Corporation the appropriate Corporation’s Form of Alternate Withholding Rate (the “Alternate Rate Form”) within the required timeframe provided for by the Corporation.  The Alternate Rate Form can be obtained from the Corporation’s Human Resources Department.  Any election of an Alternate Withholding Rate under an Alternate Rate Form will become the default Applicable Withholding Rate with respect to all of Participant’s outstanding equity awards (including options exercised during the applicable period) until a new Alternate Rate Form is filed with the Corporation in accordance with the administrative procedures provided for by the Corporation.  An Alternate Withholding Rate is subject to the Corporation’s approval and can be approved or denied in its sole discretion. Notwithstanding Sections 7(c)(ii) and 7(c)(iii), in the event Participant is determined to be subject to Section 16 of the 1934 Act at the time of settlement, the Alternate Withholding Rate must be approved by the Corporation’s Compensation Committee.</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(d)Notwithstanding the foregoing provisions of this Paragraph 7,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7(d) shall be applicable only to the extent necessary to comply with the applicable tax withholding requirements of Section 3121(v) of the Code.</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(e)Except as otherwise provided in Paragraph 5 or this Paragraph 7,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8.</w:t>
      </w:r>
      <w:r>
        <w:rPr>
          <w:rFonts w:ascii="Times New Roman;Times;serif" w:hAnsi="Times New Roman;Times;serif"/>
          <w:b/>
          <w:sz w:val="20"/>
        </w:rPr>
        <w:t>Section 409A.</w:t>
      </w:r>
      <w:r>
        <w:rPr>
          <w:rFonts w:ascii="Aptos" w:hAnsi="Aptos"/>
          <w:sz w:val="20"/>
        </w:rPr>
        <w:t xml:space="preserve">  </w:t>
      </w:r>
      <w:r>
        <w:rPr>
          <w:rFonts w:ascii="Times New Roman;Times;serif" w:hAnsi="Times New Roman;Times;serif"/>
          <w:sz w:val="20"/>
        </w:rPr>
        <w:t>Notwithstanding any provision to the contrary in this Agreement, to the extent this Award may be deemed to create a deferred compensation arrangement under Section 409A, then the following limitation and provisions shall apply:</w:t>
      </w:r>
    </w:p>
    <w:p>
      <w:pPr>
        <w:pStyle w:val="TextBody"/>
        <w:bidi w:val="0"/>
        <w:spacing w:lineRule="auto" w:line="285" w:before="0" w:after="240"/>
        <w:ind w:left="0" w:right="0" w:firstLine="2160"/>
        <w:jc w:val="both"/>
        <w:rPr>
          <w:rFonts w:ascii="Aptos" w:hAnsi="Aptos"/>
          <w:sz w:val="20"/>
        </w:rPr>
      </w:pPr>
      <w:r>
        <w:rPr>
          <w:rFonts w:ascii="Times New Roman;Times;serif" w:hAnsi="Times New Roman;Times;serif"/>
          <w:sz w:val="20"/>
        </w:rPr>
        <w:t xml:space="preserve">(a)No Shares or other amounts which become issuable or distributable under this Agreement upon Participant’s Separation from Service shall actually be issued or distributed to Participant prior to the </w:t>
      </w:r>
      <w:r>
        <w:rPr>
          <w:rFonts w:ascii="Times New Roman;Times;serif" w:hAnsi="Times New Roman;Times;serif"/>
          <w:b/>
          <w:i/>
          <w:sz w:val="20"/>
        </w:rPr>
        <w:t>earlier</w:t>
      </w:r>
      <w:r>
        <w:rPr>
          <w:rFonts w:ascii="Aptos" w:hAnsi="Aptos"/>
          <w:sz w:val="20"/>
        </w:rPr>
        <w:t xml:space="preserve"> </w:t>
      </w:r>
      <w:r>
        <w:rPr>
          <w:rFonts w:ascii="Times New Roman;Times;serif" w:hAnsi="Times New Roman;Times;serif"/>
          <w:sz w:val="20"/>
        </w:rPr>
        <w:t xml:space="preserve">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Section 409A, as determined by the Plan Administrator in accordance with consistent and uniform standards applied to all other </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Section 409A arrangements of the Corporation subject to Section 409A, and such delayed commencement is otherwise required in order to avoid a prohibited distribution under Section 409A(a)(2) of the Code.  The deferred Shares or other distributable amount shall be issued or distributed in a lump sum on or within sixty (60) days after the first (1st) day of the seventh (7th) month following the date of Participant’s Separation from Service or, if earlier, the first day of the month immediately following the date the Corporation receives proof of Participant’s death.</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(b)Participant’s right to receive each installment of Shares or other installment distribution pursuant to the terms of this Agreement shall, for purposes of Section 409A, be treated as a right to receive a series of separate payments.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9.</w:t>
      </w:r>
      <w:r>
        <w:rPr>
          <w:rFonts w:ascii="Times New Roman;Times;serif" w:hAnsi="Times New Roman;Times;serif"/>
          <w:b/>
          <w:sz w:val="20"/>
        </w:rPr>
        <w:t>Compliance with Laws and Regulations</w:t>
      </w:r>
      <w:r>
        <w:rPr>
          <w:rFonts w:ascii="Times New Roman;Times;serif" w:hAnsi="Times New Roman;Times;serif"/>
          <w:sz w:val="20"/>
        </w:rPr>
        <w:t>.  The issuance of shares of 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10.</w:t>
      </w:r>
      <w:r>
        <w:rPr>
          <w:rFonts w:ascii="Times New Roman;Times;serif" w:hAnsi="Times New Roman;Times;serif"/>
          <w:b/>
          <w:sz w:val="20"/>
        </w:rPr>
        <w:t>Change in Control Benefits Agreement</w:t>
      </w:r>
      <w:r>
        <w:rPr>
          <w:rFonts w:ascii="Times New Roman;Times;serif" w:hAnsi="Times New Roman;Times;serif"/>
          <w:sz w:val="20"/>
        </w:rPr>
        <w:t xml:space="preserve">.  Notwithstanding anything to the 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i/>
          <w:sz w:val="20"/>
        </w:rPr>
        <w:t>,</w:t>
      </w:r>
      <w:r>
        <w:rPr>
          <w:rFonts w:ascii="Aptos" w:hAnsi="Aptos"/>
          <w:sz w:val="20"/>
        </w:rPr>
        <w:t xml:space="preserve"> </w:t>
      </w:r>
      <w:r>
        <w:rPr>
          <w:rFonts w:ascii="Times New Roman;Times;serif" w:hAnsi="Times New Roman;Times;serif"/>
          <w:sz w:val="20"/>
        </w:rPr>
        <w:t>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11.</w:t>
      </w:r>
      <w:r>
        <w:rPr>
          <w:rFonts w:ascii="Times New Roman;Times;serif" w:hAnsi="Times New Roman;Times;serif"/>
          <w:b/>
          <w:sz w:val="20"/>
        </w:rPr>
        <w:t>Notices</w:t>
      </w:r>
      <w:r>
        <w:rPr>
          <w:rFonts w:ascii="Times New Roman;Times;serif" w:hAnsi="Times New Roman;Times;serif"/>
          <w:sz w:val="20"/>
        </w:rPr>
        <w:t>.  Any notice required to be given or delivered to the Corporation under the terms of this Agreement shall be in writing and addressed to the Corporation at its principal corporate offices.  Any notice required to be given or delivered to Participant shall be in writing and addressed to Participant at the address on file with the Corporation’s Human Resources Department.  All notices shall be deemed effective upon personal delivery or upon deposit in the U.S. mail, postage prepaid and properly addressed to the party to be notified.</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12.</w:t>
      </w:r>
      <w:r>
        <w:rPr>
          <w:rFonts w:ascii="Times New Roman;Times;serif" w:hAnsi="Times New Roman;Times;serif"/>
          <w:b/>
          <w:sz w:val="20"/>
        </w:rPr>
        <w:t>Successors and Assigns</w:t>
      </w:r>
      <w:r>
        <w:rPr>
          <w:rFonts w:ascii="Times New Roman;Times;serif" w:hAnsi="Times New Roman;Times;serif"/>
          <w:sz w:val="20"/>
        </w:rPr>
        <w:t>.  Except to the extent otherwise provided in this 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13.</w:t>
      </w:r>
      <w:r>
        <w:rPr>
          <w:rFonts w:ascii="Times New Roman;Times;serif" w:hAnsi="Times New Roman;Times;serif"/>
          <w:b/>
          <w:sz w:val="20"/>
        </w:rPr>
        <w:t>Construction</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(a)This Agreement and the Award evidenced hereby are made and granted pursuant to the Plan and are in all respects limited by and subject to the terms of the Plan </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and any applicable Change in Control Benefits Agreement.  All decisions of the Plan Administrator with respect to any question or issue arising under the Plan or this Agreement shall be conclusive and binding on all persons having an interest in the Award.</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(b)To the extent there is any ambiguity as to whether any provision of this Agreement would otherwise contravene one or more applicable requirements or limitations of Section 409A and the Treasury Regulations thereunder, such provision shall be interpreted and applied in a manner that complies with the applicable requirements of Section 409A and the Treasury Regulations thereunder.</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(c)This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14.</w:t>
      </w:r>
      <w:r>
        <w:rPr>
          <w:rFonts w:ascii="Times New Roman;Times;serif" w:hAnsi="Times New Roman;Times;serif"/>
          <w:b/>
          <w:sz w:val="20"/>
        </w:rPr>
        <w:t>Governing Law</w:t>
      </w:r>
      <w:r>
        <w:rPr>
          <w:rFonts w:ascii="Times New Roman;Times;serif" w:hAnsi="Times New Roman;Times;serif"/>
          <w:sz w:val="20"/>
        </w:rPr>
        <w:t>.  The interpretation, performance and enforcement of this Agreement shall be governed by the laws of the State of Hawaii without regard to that State’s conflict-of-laws rules.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15.</w:t>
      </w:r>
      <w:r>
        <w:rPr>
          <w:rFonts w:ascii="Times New Roman;Times;serif" w:hAnsi="Times New Roman;Times;serif"/>
          <w:b/>
          <w:sz w:val="20"/>
        </w:rPr>
        <w:t>Coverage under Recoupment Policy</w:t>
      </w:r>
      <w:r>
        <w:rPr>
          <w:rFonts w:ascii="Times New Roman;Times;serif" w:hAnsi="Times New Roman;Times;serif"/>
          <w:sz w:val="20"/>
        </w:rPr>
        <w:t>.  If Participant is on the Award Date, or at any time thereafter becomes an executive officer of the Corporation subject to Section 16 of the 1934 Act, then Participant shall be subject to the Matson, Inc. Policy Regarding Recoupment of Certain Compensation, as amended from time to time (the “Recoupment Policy”), the terms of which are hereby incorporated herein by reference.  A copy of the Recoupment Policy is available upon request made to the Corporate Secretary.</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16.</w:t>
      </w:r>
      <w:r>
        <w:rPr>
          <w:rFonts w:ascii="Times New Roman;Times;serif" w:hAnsi="Times New Roman;Times;serif"/>
          <w:b/>
          <w:sz w:val="20"/>
        </w:rPr>
        <w:t>Data Privacy</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(b)Participant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17.</w:t>
      </w:r>
      <w:r>
        <w:rPr>
          <w:rFonts w:ascii="Times New Roman;Times;serif" w:hAnsi="Times New Roman;Times;serif"/>
          <w:b/>
          <w:sz w:val="20"/>
        </w:rPr>
        <w:t>Amendment</w:t>
      </w:r>
      <w:r>
        <w:rPr>
          <w:rFonts w:ascii="Times New Roman;Times;serif" w:hAnsi="Times New Roman;Times;serif"/>
          <w:sz w:val="20"/>
        </w:rPr>
        <w:t>.  This Agreement may not be altered, modified, or amended except by written instrument signed by the parties hereto; provided that the Corporation may alter, modify or amend this Agreement unilaterally if such change is not materially adverse to Participant or to cause this Agreement to comply with applicable law.</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18.</w:t>
      </w:r>
      <w:r>
        <w:rPr>
          <w:rFonts w:ascii="Times New Roman;Times;serif" w:hAnsi="Times New Roman;Times;serif"/>
          <w:b/>
          <w:sz w:val="20"/>
        </w:rPr>
        <w:t>Other Agreements Superseded</w:t>
      </w:r>
      <w:r>
        <w:rPr>
          <w:rFonts w:ascii="Times New Roman;Times;serif" w:hAnsi="Times New Roman;Times;serif"/>
          <w:sz w:val="20"/>
        </w:rPr>
        <w:t>.  The Award Notice, this Agreement, and the Plan constitute the entire understanding between Participant and the Corporation regarding the Award.  Any prior agreements, commitments or negotiations concerning the Award are superseded.</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19.</w:t>
      </w:r>
      <w:r>
        <w:rPr>
          <w:rFonts w:ascii="Times New Roman;Times;serif" w:hAnsi="Times New Roman;Times;serif"/>
          <w:b/>
          <w:sz w:val="20"/>
        </w:rPr>
        <w:t>Governing Plan Document</w:t>
      </w:r>
      <w:r>
        <w:rPr>
          <w:rFonts w:ascii="Times New Roman;Times;serif" w:hAnsi="Times New Roman;Times;serif"/>
          <w:sz w:val="20"/>
        </w:rPr>
        <w:t>.  The Award is subject to all the provisions of the Plan, the provisions of which are hereby made a part of the Award, and is further subject to all interpretations, amendments, rules and regulations, which may from time to time be promulgated and adopted pursuant to the Plan.</w:t>
      </w:r>
    </w:p>
    <w:p>
      <w:pPr>
        <w:pStyle w:val="TextBody"/>
        <w:bidi w:val="0"/>
        <w:spacing w:lineRule="auto" w:line="331" w:before="0" w:after="160"/>
        <w:ind w:left="0" w:right="0" w:firstLine="1440"/>
        <w:jc w:val="both"/>
        <w:rPr/>
      </w:pPr>
      <w:r>
        <w:rPr/>
        <w:t>​</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EXHIBIT A-10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APPENDIX A</w:t>
      </w:r>
    </w:p>
    <w:p>
      <w:pPr>
        <w:pStyle w:val="TextBody"/>
        <w:bidi w:val="0"/>
        <w:spacing w:lineRule="auto" w:line="331" w:before="0" w:after="160"/>
        <w:ind w:left="0" w:right="0" w:hanging="0"/>
        <w:jc w:val="center"/>
        <w:rPr/>
      </w:pPr>
      <w:r>
        <w:rPr/>
        <w:t>​</w:t>
      </w:r>
    </w:p>
    <w:p>
      <w:pPr>
        <w:pStyle w:val="TextBody"/>
        <w:bidi w:val="0"/>
        <w:spacing w:lineRule="auto" w:line="285" w:before="0" w:after="480"/>
        <w:ind w:left="0" w:right="0" w:hanging="0"/>
        <w:jc w:val="center"/>
        <w:rPr>
          <w:rFonts w:ascii="Times New Roman;Times;serif" w:hAnsi="Times New Roman;Times;serif"/>
          <w:b/>
          <w:caps/>
          <w:sz w:val="20"/>
        </w:rPr>
      </w:pPr>
      <w:r>
        <w:rPr>
          <w:rFonts w:ascii="Times New Roman;Times;serif" w:hAnsi="Times New Roman;Times;serif"/>
          <w:b/>
          <w:caps/>
          <w:sz w:val="20"/>
        </w:rPr>
        <w:t>DEFINITIONS</w:t>
      </w:r>
    </w:p>
    <w:p>
      <w:pPr>
        <w:pStyle w:val="TextBody"/>
        <w:bidi w:val="0"/>
        <w:spacing w:lineRule="auto" w:line="285" w:before="0" w:after="240"/>
        <w:ind w:left="0" w:right="0" w:firstLine="1440"/>
        <w:jc w:val="both"/>
        <w:rPr>
          <w:rFonts w:ascii="Times New Roman;Times;serif" w:hAnsi="Times New Roman;Times;serif"/>
          <w:sz w:val="20"/>
        </w:rPr>
      </w:pPr>
      <w:r>
        <w:rPr>
          <w:rFonts w:ascii="Times New Roman;Times;serif" w:hAnsi="Times New Roman;Times;serif"/>
          <w:sz w:val="20"/>
        </w:rPr>
        <w:t>The following definitions shall be in effect under the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Agreement</w:t>
      </w:r>
      <w:r>
        <w:rPr>
          <w:rFonts w:ascii="Aptos" w:hAnsi="Aptos"/>
          <w:sz w:val="20"/>
        </w:rPr>
        <w:t xml:space="preserve"> </w:t>
      </w:r>
      <w:r>
        <w:rPr>
          <w:rFonts w:ascii="Times New Roman;Times;serif" w:hAnsi="Times New Roman;Times;serif"/>
          <w:sz w:val="20"/>
        </w:rPr>
        <w:t>shall mean this Restricted Stock Unit Award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Award</w:t>
      </w:r>
      <w:r>
        <w:rPr>
          <w:rFonts w:ascii="Aptos" w:hAnsi="Aptos"/>
          <w:sz w:val="20"/>
        </w:rPr>
        <w:t xml:space="preserve"> </w:t>
      </w:r>
      <w:r>
        <w:rPr>
          <w:rFonts w:ascii="Times New Roman;Times;serif" w:hAnsi="Times New Roman;Times;serif"/>
          <w:sz w:val="20"/>
        </w:rPr>
        <w:t>shall mean the award of restricted stock units made to Participant pursuant to the terms of this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Award Date</w:t>
      </w:r>
      <w:r>
        <w:rPr>
          <w:rFonts w:ascii="Aptos" w:hAnsi="Aptos"/>
          <w:sz w:val="20"/>
        </w:rPr>
        <w:t xml:space="preserve"> </w:t>
      </w:r>
      <w:r>
        <w:rPr>
          <w:rFonts w:ascii="Times New Roman;Times;serif" w:hAnsi="Times New Roman;Times;serif"/>
          <w:sz w:val="20"/>
        </w:rPr>
        <w:t>shall mean the date the restricted stock units are awarded to Participant pursuant to the Agreement and shall be the date specified in the Award Notice.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Award Notice</w:t>
      </w:r>
      <w:r>
        <w:rPr>
          <w:rFonts w:ascii="Aptos" w:hAnsi="Aptos"/>
          <w:sz w:val="20"/>
        </w:rPr>
        <w:t xml:space="preserve"> </w:t>
      </w:r>
      <w:r>
        <w:rPr>
          <w:rFonts w:ascii="Times New Roman;Times;serif" w:hAnsi="Times New Roman;Times;serif"/>
          <w:sz w:val="20"/>
        </w:rPr>
        <w:t>shall mean the Notice of Award of Time-Based Restricted Stock Units delivered to Participant in which there is set forth the basic terms of the restricted stock units subject to this Agreement, including (without limitation) the applicable vesting schedule for those RSUs.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Cause</w:t>
      </w:r>
      <w:r>
        <w:rPr>
          <w:rFonts w:ascii="Aptos" w:hAnsi="Aptos"/>
          <w:sz w:val="20"/>
        </w:rPr>
        <w:t xml:space="preserve"> </w:t>
      </w:r>
      <w:r>
        <w:rPr>
          <w:rFonts w:ascii="Times New Roman;Times;serif" w:hAnsi="Times New Roman;Times;serif"/>
          <w:sz w:val="20"/>
        </w:rPr>
        <w:t xml:space="preserve">shall have the meaning set forth in the Plan document;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  The foregoing 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and this Agreement, to constitute grounds for termination for Cause.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Change in Control</w:t>
      </w:r>
      <w:r>
        <w:rPr>
          <w:rFonts w:ascii="Aptos" w:hAnsi="Aptos"/>
          <w:sz w:val="20"/>
        </w:rPr>
        <w:t xml:space="preserve"> </w:t>
      </w:r>
      <w:r>
        <w:rPr>
          <w:rFonts w:ascii="Times New Roman;Times;serif" w:hAnsi="Times New Roman;Times;serif"/>
          <w:sz w:val="20"/>
        </w:rPr>
        <w:t xml:space="preserve">shall have the meaning set forth in the Plan;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Participant is a party to a Change in Control Benefits Agreement applicable to the Award, the term Change in Control shall have the meaning ascribed to that term in such Change in Control Benefits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Change in Control Benefits Agreement</w:t>
      </w:r>
      <w:r>
        <w:rPr>
          <w:rFonts w:ascii="Aptos" w:hAnsi="Aptos"/>
          <w:sz w:val="20"/>
        </w:rPr>
        <w:t xml:space="preserve"> </w:t>
      </w:r>
      <w:r>
        <w:rPr>
          <w:rFonts w:ascii="Times New Roman;Times;serif" w:hAnsi="Times New Roman;Times;serif"/>
          <w:sz w:val="20"/>
        </w:rPr>
        <w:t>shall mean any separate agreement 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Early Retirement</w:t>
      </w:r>
      <w:r>
        <w:rPr>
          <w:rFonts w:ascii="Aptos" w:hAnsi="Aptos"/>
          <w:sz w:val="20"/>
        </w:rPr>
        <w:t xml:space="preserve"> </w:t>
      </w:r>
      <w:r>
        <w:rPr>
          <w:rFonts w:ascii="Times New Roman;Times;serif" w:hAnsi="Times New Roman;Times;serif"/>
          <w:sz w:val="20"/>
        </w:rPr>
        <w:t>shall mean Participant’s retirement from Service, with the prior approval of the Corporation (or the Parent or Subsidiary employing Participant), on or after the attainment of age fifty-five (55) and the completion of at least five (5) years of Service.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I.</w:t>
      </w:r>
      <w:r>
        <w:rPr>
          <w:rFonts w:ascii="Times New Roman;Times;serif" w:hAnsi="Times New Roman;Times;serif"/>
          <w:b/>
          <w:sz w:val="20"/>
        </w:rPr>
        <w:t>Good Reason</w:t>
      </w:r>
      <w:r>
        <w:rPr>
          <w:rFonts w:ascii="Aptos" w:hAnsi="Aptos"/>
          <w:sz w:val="20"/>
        </w:rPr>
        <w:t xml:space="preserve"> </w:t>
      </w:r>
      <w:r>
        <w:rPr>
          <w:rFonts w:ascii="Times New Roman;Times;serif" w:hAnsi="Times New Roman;Times;serif"/>
          <w:sz w:val="20"/>
        </w:rPr>
        <w:t xml:space="preserve">shall have the meaning set forth in the Plan; </w:t>
      </w:r>
      <w:r>
        <w:rPr>
          <w:rFonts w:ascii="Times New Roman;Times;serif" w:hAnsi="Times New Roman;Times;serif"/>
          <w:sz w:val="20"/>
          <w:u w:val="single"/>
        </w:rPr>
        <w:t>provided</w:t>
      </w:r>
      <w:r>
        <w:rPr>
          <w:rFonts w:ascii="Aptos" w:hAnsi="Aptos"/>
          <w:sz w:val="20"/>
        </w:rPr>
        <w:t xml:space="preserve"> </w:t>
      </w:r>
      <w:r>
        <w:rPr>
          <w:rFonts w:ascii="Times New Roman;Times;serif" w:hAnsi="Times New Roman;Times;serif"/>
          <w:sz w:val="20"/>
          <w:u w:val="single"/>
        </w:rPr>
        <w:t>however</w:t>
      </w:r>
      <w:r>
        <w:rPr>
          <w:rFonts w:ascii="Times New Roman;Times;serif" w:hAnsi="Times New Roman;Times;serif"/>
          <w:sz w:val="20"/>
        </w:rPr>
        <w:t>, in the event Participant is at the time of his or her cessation of Employee status a party</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APPENDIX A-1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to a Change in Control Benefits Agreement applicable to the Award evidenced by this Agreement, the term Good Reason shall have the meaning ascribed to that term in such Change in Control Benefits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J.</w:t>
      </w:r>
      <w:r>
        <w:rPr>
          <w:rFonts w:ascii="Times New Roman;Times;serif" w:hAnsi="Times New Roman;Times;serif"/>
          <w:b/>
          <w:sz w:val="20"/>
        </w:rPr>
        <w:t>Normal Retirement</w:t>
      </w:r>
      <w:r>
        <w:rPr>
          <w:rFonts w:ascii="Aptos" w:hAnsi="Aptos"/>
          <w:sz w:val="20"/>
        </w:rPr>
        <w:t xml:space="preserve"> </w:t>
      </w:r>
      <w:r>
        <w:rPr>
          <w:rFonts w:ascii="Times New Roman;Times;serif" w:hAnsi="Times New Roman;Times;serif"/>
          <w:sz w:val="20"/>
        </w:rPr>
        <w:t>shall mean the cessation of Service by reason of retirement at or after the attainment of age sixty-five (65).</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K.</w:t>
      </w:r>
      <w:r>
        <w:rPr>
          <w:rFonts w:ascii="Times New Roman;Times;serif" w:hAnsi="Times New Roman;Times;serif"/>
          <w:b/>
          <w:sz w:val="20"/>
        </w:rPr>
        <w:t>Participant</w:t>
      </w:r>
      <w:r>
        <w:rPr>
          <w:rFonts w:ascii="Aptos" w:hAnsi="Aptos"/>
          <w:sz w:val="20"/>
        </w:rPr>
        <w:t xml:space="preserve"> </w:t>
      </w:r>
      <w:r>
        <w:rPr>
          <w:rFonts w:ascii="Times New Roman;Times;serif" w:hAnsi="Times New Roman;Times;serif"/>
          <w:sz w:val="20"/>
        </w:rPr>
        <w:t>shall mean the person to whom the Award is made pursuant to the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L.</w:t>
      </w:r>
      <w:r>
        <w:rPr>
          <w:rFonts w:ascii="Times New Roman;Times;serif" w:hAnsi="Times New Roman;Times;serif"/>
          <w:b/>
          <w:sz w:val="20"/>
        </w:rPr>
        <w:t>Plan</w:t>
      </w:r>
      <w:r>
        <w:rPr>
          <w:rFonts w:ascii="Aptos" w:hAnsi="Aptos"/>
          <w:sz w:val="20"/>
        </w:rPr>
        <w:t xml:space="preserve"> </w:t>
      </w:r>
      <w:r>
        <w:rPr>
          <w:rFonts w:ascii="Times New Roman;Times;serif" w:hAnsi="Times New Roman;Times;serif"/>
          <w:sz w:val="20"/>
        </w:rPr>
        <w:t>shall mean the Corporation’s 2025 Incentive Compensation Plan, as amended from time to time.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M.</w:t>
      </w:r>
      <w:r>
        <w:rPr>
          <w:rFonts w:ascii="Times New Roman;Times;serif" w:hAnsi="Times New Roman;Times;serif"/>
          <w:b/>
          <w:sz w:val="20"/>
        </w:rPr>
        <w:t>Qualifying Change in Control</w:t>
      </w:r>
      <w:r>
        <w:rPr>
          <w:rFonts w:ascii="Aptos" w:hAnsi="Aptos"/>
          <w:sz w:val="20"/>
        </w:rPr>
        <w:t xml:space="preserve"> </w:t>
      </w:r>
      <w:r>
        <w:rPr>
          <w:rFonts w:ascii="Times New Roman;Times;serif" w:hAnsi="Times New Roman;Times;serif"/>
          <w:sz w:val="20"/>
        </w:rPr>
        <w:t>shall mean the date on which there occurs a Change in Control that also qualifies 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N.</w:t>
      </w:r>
      <w:r>
        <w:rPr>
          <w:rFonts w:ascii="Times New Roman;Times;serif" w:hAnsi="Times New Roman;Times;serif"/>
          <w:b/>
          <w:sz w:val="20"/>
        </w:rPr>
        <w:t>Separation from Service</w:t>
      </w:r>
      <w:r>
        <w:rPr>
          <w:rFonts w:ascii="Aptos" w:hAnsi="Aptos"/>
          <w:sz w:val="20"/>
        </w:rPr>
        <w:t xml:space="preserve"> </w:t>
      </w:r>
      <w:r>
        <w:rPr>
          <w:rFonts w:ascii="Times New Roman;Times;serif" w:hAnsi="Times New Roman;Times;serif"/>
          <w:sz w:val="20"/>
        </w:rPr>
        <w:t>shall mean the Participant’s cessation of Employee status by 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O.</w:t>
      </w:r>
      <w:r>
        <w:rPr>
          <w:rFonts w:ascii="Times New Roman;Times;serif" w:hAnsi="Times New Roman;Times;serif"/>
          <w:b/>
          <w:sz w:val="20"/>
        </w:rPr>
        <w:t>Service</w:t>
      </w:r>
      <w:r>
        <w:rPr>
          <w:rFonts w:ascii="Aptos" w:hAnsi="Aptos"/>
          <w:sz w:val="20"/>
        </w:rPr>
        <w:t xml:space="preserve"> </w:t>
      </w:r>
      <w:r>
        <w:rPr>
          <w:rFonts w:ascii="Times New Roman;Times;serif" w:hAnsi="Times New Roman;Times;serif"/>
          <w:sz w:val="20"/>
        </w:rPr>
        <w:t>shall mean Participant’s performance of services for the Corporation (or any Parent or Subsidiary) in the capacity of an Employee, a non-employee member</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APPENDIX A-2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of the board of directors or a consultant or independent advisor.  In addition, the following provisions shall govern the determination of Participant’s period of Service:</w:t>
      </w:r>
    </w:p>
    <w:p>
      <w:pPr>
        <w:pStyle w:val="TextBody"/>
        <w:bidi w:val="0"/>
        <w:spacing w:lineRule="auto" w:line="285" w:before="0" w:after="0"/>
        <w:ind w:left="720" w:right="720" w:hanging="0"/>
        <w:jc w:val="left"/>
        <w:rPr>
          <w:rFonts w:ascii="Aptos" w:hAnsi="Aptos"/>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pStyle w:val="TextBody"/>
        <w:bidi w:val="0"/>
        <w:spacing w:lineRule="auto" w:line="331" w:before="0" w:after="160"/>
        <w:ind w:left="720" w:right="720" w:firstLine="936"/>
        <w:jc w:val="both"/>
        <w:rPr/>
      </w:pPr>
      <w:r>
        <w:rPr/>
        <w:t>​</w:t>
      </w:r>
    </w:p>
    <w:p>
      <w:pPr>
        <w:pStyle w:val="TextBody"/>
        <w:bidi w:val="0"/>
        <w:spacing w:lineRule="auto" w:line="285" w:before="0" w:after="0"/>
        <w:ind w:left="720" w:right="720" w:hanging="0"/>
        <w:jc w:val="left"/>
        <w:rPr>
          <w:rFonts w:ascii="Aptos" w:hAnsi="Aptos"/>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pStyle w:val="TextBody"/>
        <w:bidi w:val="0"/>
        <w:spacing w:lineRule="auto" w:line="331" w:before="0" w:after="160"/>
        <w:ind w:left="720" w:right="720" w:firstLine="936"/>
        <w:jc w:val="both"/>
        <w:rPr/>
      </w:pPr>
      <w:r>
        <w:rPr/>
        <w:t>​</w:t>
      </w:r>
    </w:p>
    <w:p>
      <w:pPr>
        <w:pStyle w:val="TextBody"/>
        <w:bidi w:val="0"/>
        <w:spacing w:lineRule="auto" w:line="285" w:before="0" w:after="0"/>
        <w:ind w:left="720" w:right="720" w:hanging="0"/>
        <w:jc w:val="left"/>
        <w:rPr>
          <w:rFonts w:ascii="Aptos" w:hAnsi="Aptos"/>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pStyle w:val="TextBody"/>
        <w:bidi w:val="0"/>
        <w:spacing w:lineRule="auto" w:line="331" w:before="0" w:after="160"/>
        <w:ind w:left="720" w:right="0" w:hanging="0"/>
        <w:jc w:val="both"/>
        <w:rPr/>
      </w:pPr>
      <w:r>
        <w:rPr/>
        <w:t>​</w:t>
      </w:r>
    </w:p>
    <w:p>
      <w:pPr>
        <w:pStyle w:val="TextBody"/>
        <w:bidi w:val="0"/>
        <w:spacing w:lineRule="auto" w:line="285" w:before="0" w:after="0"/>
        <w:ind w:left="720" w:right="720" w:firstLine="1440"/>
        <w:jc w:val="both"/>
        <w:rPr>
          <w:rFonts w:ascii="Times New Roman;Times;serif" w:hAnsi="Times New Roman;Times;serif"/>
          <w:sz w:val="20"/>
        </w:rPr>
      </w:pPr>
      <w:r>
        <w:rPr>
          <w:rFonts w:ascii="Times New Roman;Times;serif" w:hAnsi="Times New Roman;Times;serif"/>
          <w:sz w:val="20"/>
        </w:rPr>
        <w:t>a.Should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pStyle w:val="TextBody"/>
        <w:bidi w:val="0"/>
        <w:spacing w:lineRule="auto" w:line="331" w:before="0" w:after="160"/>
        <w:ind w:left="720" w:right="720" w:firstLine="1440"/>
        <w:jc w:val="both"/>
        <w:rPr/>
      </w:pPr>
      <w:r>
        <w:rPr/>
        <w:t>​</w:t>
      </w:r>
    </w:p>
    <w:p>
      <w:pPr>
        <w:pStyle w:val="TextBody"/>
        <w:bidi w:val="0"/>
        <w:spacing w:lineRule="auto" w:line="285" w:before="0" w:after="0"/>
        <w:ind w:left="720" w:right="720" w:firstLine="1440"/>
        <w:jc w:val="both"/>
        <w:rPr>
          <w:rFonts w:ascii="Times New Roman;Times;serif" w:hAnsi="Times New Roman;Times;serif"/>
          <w:sz w:val="20"/>
        </w:rPr>
      </w:pPr>
      <w:r>
        <w:rPr>
          <w:rFonts w:ascii="Times New Roman;Times;serif" w:hAnsi="Times New Roman;Times;serif"/>
          <w:sz w:val="20"/>
        </w:rPr>
        <w:t>b.Should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pStyle w:val="TextBody"/>
        <w:bidi w:val="0"/>
        <w:spacing w:lineRule="auto" w:line="331" w:before="0" w:after="160"/>
        <w:ind w:left="720" w:right="720" w:firstLine="1440"/>
        <w:jc w:val="both"/>
        <w:rPr/>
      </w:pPr>
      <w:r>
        <w:rPr/>
        <w:t>​</w:t>
      </w:r>
    </w:p>
    <w:p>
      <w:pPr>
        <w:pStyle w:val="TextBody"/>
        <w:bidi w:val="0"/>
        <w:spacing w:lineRule="auto" w:line="285" w:before="0" w:after="0"/>
        <w:ind w:left="720" w:right="720" w:firstLine="1440"/>
        <w:jc w:val="both"/>
        <w:rPr>
          <w:rFonts w:ascii="Times New Roman;Times;serif" w:hAnsi="Times New Roman;Times;serif"/>
          <w:sz w:val="20"/>
        </w:rPr>
      </w:pPr>
      <w:r>
        <w:rPr>
          <w:rFonts w:ascii="Times New Roman;Times;serif" w:hAnsi="Times New Roman;Times;serif"/>
          <w:sz w:val="20"/>
        </w:rPr>
        <w:t>c.Except to the extent otherwise required by law or expressly authorized by the Plan Administrator or by the Corporation’s written policy on leaves of absence no Service credit shall be given for vesting purposes for any period Participant is on a leave of absence.</w:t>
      </w:r>
    </w:p>
    <w:p>
      <w:pPr>
        <w:pStyle w:val="TextBody"/>
        <w:bidi w:val="0"/>
        <w:spacing w:lineRule="auto" w:line="331" w:before="0" w:after="160"/>
        <w:ind w:left="720" w:right="0" w:hanging="0"/>
        <w:jc w:val="both"/>
        <w:rPr/>
      </w:pPr>
      <w:r>
        <w:rPr/>
        <w:t>​</w:t>
      </w:r>
    </w:p>
    <w:p>
      <w:pPr>
        <w:pStyle w:val="TextBody"/>
        <w:bidi w:val="0"/>
        <w:spacing w:lineRule="auto" w:line="285" w:before="0" w:after="0"/>
        <w:ind w:left="720" w:right="720" w:hanging="0"/>
        <w:jc w:val="left"/>
        <w:rPr>
          <w:rFonts w:ascii="Aptos" w:hAnsi="Aptos"/>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Notwithstanding anything to the contrary in the foregoing provisions of this Service definition, the Participant shall in all events be deemed</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APPENDIX A-3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720" w:right="720" w:hanging="0"/>
        <w:jc w:val="both"/>
        <w:rPr>
          <w:rFonts w:ascii="Times New Roman;Times;serif" w:hAnsi="Times New Roman;Times;serif"/>
          <w:sz w:val="20"/>
        </w:rPr>
      </w:pPr>
      <w:r>
        <w:rPr>
          <w:rFonts w:ascii="Times New Roman;Times;serif" w:hAnsi="Times New Roman;Times;serif"/>
          <w:sz w:val="20"/>
        </w:rPr>
        <w:t>to cease Service for all purposes of this Award immediately upon Participant’s incurrence of a Separation from Service.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APPENDIX A-4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92" w:name="matx-20250630xex10d12.htm"/>
      <w:bookmarkStart w:id="1493" w:name="ksmatx20250630xex10d12"/>
      <w:bookmarkEnd w:id="1492"/>
      <w:bookmarkEnd w:id="1493"/>
      <w:r>
        <w:rPr>
          <w:rFonts w:ascii="Times New Roman;Times;serif" w:hAnsi="Times New Roman;Times;serif"/>
          <w:b/>
          <w:sz w:val="20"/>
        </w:rPr>
        <w:t>Exhibit 10.12</w:t>
      </w:r>
      <w:r>
        <w:br w:type="page"/>
      </w:r>
    </w:p>
    <w:p>
      <w:pPr>
        <w:pStyle w:val="TextBody"/>
        <w:bidi w:val="0"/>
        <w:spacing w:lineRule="auto" w:line="331" w:before="0" w:after="160"/>
        <w:ind w:left="0" w:right="0" w:hanging="0"/>
        <w:jc w:val="right"/>
        <w:rPr/>
      </w:pPr>
      <w:r>
        <w:rPr/>
        <w:t>​</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MATSON, INC.</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RESTRICTED STOCK UNIT AWARD AGREEMENT</w:t>
      </w:r>
    </w:p>
    <w:p>
      <w:pPr>
        <w:pStyle w:val="TextBody"/>
        <w:bidi w:val="0"/>
        <w:spacing w:lineRule="auto" w:line="285" w:before="0" w:after="240"/>
        <w:ind w:left="0" w:right="0" w:hanging="0"/>
        <w:jc w:val="center"/>
        <w:rPr>
          <w:rFonts w:ascii="Times New Roman;Times;serif" w:hAnsi="Times New Roman;Times;serif"/>
          <w:b/>
          <w:i/>
          <w:sz w:val="20"/>
        </w:rPr>
      </w:pPr>
      <w:r>
        <w:rPr>
          <w:rFonts w:ascii="Times New Roman;Times;serif" w:hAnsi="Times New Roman;Times;serif"/>
          <w:b/>
          <w:i/>
          <w:sz w:val="20"/>
        </w:rPr>
        <w:t>NON-EMPLOYEE BOARD MEMBER—DEFERRAL ELECTION</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RECITALS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Matson, Inc., a Hawaii corporation (along with any subsequent corporate successor to all or substantially all of the assets or voting stock of Matson, Inc., which has by appropriate action assumed the Plan, the “Corporation”), has implemented an automatic award program under the Plan pursuant to which eligible non-employee members of the Board will automatically receive special awards of restricted stock units at periodic intervals over their period of Board service in order to provide such individuals with a meaningful incentive to continue to serve as members of the Board.</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Participant is an eligible non-employee Board member, and this Agreement is executed pursuant to, and is intended to carry out the purposes of, the Plan in connection with the automatic award of restricted stock units under the Plan.</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All capitalized terms in this Agreement shall have the meaning assigned to them in the attached </w:t>
      </w:r>
      <w:r>
        <w:rPr>
          <w:rFonts w:ascii="Times New Roman;Times;serif" w:hAnsi="Times New Roman;Times;serif"/>
          <w:sz w:val="20"/>
          <w:u w:val="single"/>
        </w:rPr>
        <w:t>Appendix A</w:t>
      </w:r>
      <w:r>
        <w:rPr>
          <w:rFonts w:ascii="Times New Roman;Times;serif" w:hAnsi="Times New Roman;Times;serif"/>
          <w:sz w:val="20"/>
        </w:rPr>
        <w:t>, or if not defined in that appendix, as defined in the Plan.</w:t>
      </w:r>
    </w:p>
    <w:p>
      <w:pPr>
        <w:pStyle w:val="TextBody"/>
        <w:bidi w:val="0"/>
        <w:spacing w:lineRule="auto" w:line="285" w:before="0" w:after="240"/>
        <w:ind w:left="0" w:right="0" w:hanging="0"/>
        <w:jc w:val="both"/>
        <w:rPr>
          <w:rFonts w:ascii="Aptos" w:hAnsi="Aptos"/>
          <w:sz w:val="20"/>
        </w:rPr>
      </w:pPr>
      <w:r>
        <w:rPr>
          <w:rFonts w:ascii="Times New Roman;Times;serif" w:hAnsi="Times New Roman;Times;serif"/>
          <w:b/>
          <w:sz w:val="20"/>
        </w:rPr>
        <w:t>NOW, THEREFORE</w:t>
      </w:r>
      <w:r>
        <w:rPr>
          <w:rFonts w:ascii="Times New Roman;Times;serif" w:hAnsi="Times New Roman;Times;serif"/>
          <w:sz w:val="20"/>
        </w:rPr>
        <w:t>, it is hereby agreed as follows: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1.</w:t>
      </w:r>
      <w:r>
        <w:rPr>
          <w:rFonts w:ascii="Times New Roman;Times;serif" w:hAnsi="Times New Roman;Times;serif"/>
          <w:b/>
          <w:sz w:val="20"/>
        </w:rPr>
        <w:t>Grant of Restricted Stock Units</w:t>
      </w:r>
      <w:r>
        <w:rPr>
          <w:rFonts w:ascii="Times New Roman;Times;serif" w:hAnsi="Times New Roman;Times;serif"/>
          <w:sz w:val="20"/>
        </w:rPr>
        <w:t>.  The Corporation hereby awards to Participant, as of the Award Date, an award (the “Award”) of restricted stock units under the Plan.  Each restricted stock unit represents the right to receive one share of Common Stock on the applicable issuance date following the vesting of that unit.  The number of shares of Common Stock subject to the awarded restricted stock units (the “RSUs”), the applicable vesting schedule for the RSUs and the underlying shares of Common Stock, the dates on which those vested shares shall be issued to Participant and the remaining terms and conditions governing the Award shall be as set forth in this Agreement.</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AWARD SUMMARY</w:t>
      </w:r>
    </w:p>
    <w:p>
      <w:pPr>
        <w:pStyle w:val="TextBody"/>
        <w:bidi w:val="0"/>
        <w:spacing w:lineRule="auto" w:line="331"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169"/>
        <w:gridCol w:w="8036"/>
      </w:tblGrid>
      <w:tr>
        <w:trPr/>
        <w:tc>
          <w:tcPr>
            <w:tcW w:w="2169" w:type="dxa"/>
            <w:tcBorders/>
            <w:vAlign w:val="center"/>
          </w:tcPr>
          <w:p>
            <w:pPr>
              <w:pStyle w:val="TableContents"/>
              <w:bidi w:val="0"/>
              <w:spacing w:lineRule="auto" w:line="285"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Participant</w:t>
            </w:r>
          </w:p>
        </w:tc>
        <w:tc>
          <w:tcPr>
            <w:tcW w:w="803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___________</w:t>
            </w:r>
          </w:p>
        </w:tc>
      </w:tr>
      <w:tr>
        <w:trPr/>
        <w:tc>
          <w:tcPr>
            <w:tcW w:w="2169" w:type="dxa"/>
            <w:tcBorders/>
            <w:vAlign w:val="center"/>
          </w:tcPr>
          <w:p>
            <w:pPr>
              <w:pStyle w:val="TableContents"/>
              <w:bidi w:val="0"/>
              <w:spacing w:lineRule="auto" w:line="331" w:before="0" w:after="160"/>
              <w:ind w:left="0" w:right="0" w:hanging="0"/>
              <w:jc w:val="both"/>
              <w:rPr/>
            </w:pPr>
            <w:r>
              <w:rPr/>
              <w:t>​</w:t>
            </w:r>
          </w:p>
        </w:tc>
        <w:tc>
          <w:tcPr>
            <w:tcW w:w="8036" w:type="dxa"/>
            <w:tcBorders/>
            <w:vAlign w:val="center"/>
          </w:tcPr>
          <w:p>
            <w:pPr>
              <w:pStyle w:val="TableContents"/>
              <w:bidi w:val="0"/>
              <w:spacing w:lineRule="auto" w:line="331" w:before="0" w:after="160"/>
              <w:ind w:left="0" w:right="0" w:hanging="0"/>
              <w:jc w:val="both"/>
              <w:rPr/>
            </w:pPr>
            <w:r>
              <w:rPr/>
              <w:t>​</w:t>
            </w:r>
          </w:p>
        </w:tc>
      </w:tr>
      <w:tr>
        <w:trPr/>
        <w:tc>
          <w:tcPr>
            <w:tcW w:w="2169" w:type="dxa"/>
            <w:tcBorders/>
            <w:vAlign w:val="center"/>
          </w:tcPr>
          <w:p>
            <w:pPr>
              <w:pStyle w:val="TableContents"/>
              <w:bidi w:val="0"/>
              <w:spacing w:lineRule="auto" w:line="285" w:before="0" w:after="0"/>
              <w:ind w:left="0" w:right="0" w:hanging="0"/>
              <w:jc w:val="both"/>
              <w:rPr>
                <w:rFonts w:ascii="Aptos" w:hAnsi="Aptos"/>
                <w:sz w:val="20"/>
              </w:rPr>
            </w:pPr>
            <w:r>
              <w:rPr>
                <w:rFonts w:ascii="Times New Roman;Times;serif" w:hAnsi="Times New Roman;Times;serif"/>
                <w:sz w:val="20"/>
                <w:u w:val="single"/>
              </w:rPr>
              <w:t>Award Date</w:t>
            </w:r>
            <w:r>
              <w:rPr>
                <w:rFonts w:ascii="Times New Roman;Times;serif" w:hAnsi="Times New Roman;Times;serif"/>
                <w:sz w:val="20"/>
              </w:rPr>
              <w:t>:</w:t>
            </w:r>
          </w:p>
        </w:tc>
        <w:tc>
          <w:tcPr>
            <w:tcW w:w="803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___________</w:t>
            </w:r>
          </w:p>
        </w:tc>
      </w:tr>
      <w:tr>
        <w:trPr/>
        <w:tc>
          <w:tcPr>
            <w:tcW w:w="2169" w:type="dxa"/>
            <w:tcBorders/>
            <w:vAlign w:val="center"/>
          </w:tcPr>
          <w:p>
            <w:pPr>
              <w:pStyle w:val="TableContents"/>
              <w:bidi w:val="0"/>
              <w:spacing w:lineRule="auto" w:line="331" w:before="0" w:after="160"/>
              <w:ind w:left="0" w:right="0" w:hanging="0"/>
              <w:jc w:val="both"/>
              <w:rPr/>
            </w:pPr>
            <w:r>
              <w:rPr/>
              <w:t>​</w:t>
            </w:r>
          </w:p>
        </w:tc>
        <w:tc>
          <w:tcPr>
            <w:tcW w:w="8036" w:type="dxa"/>
            <w:tcBorders/>
            <w:vAlign w:val="center"/>
          </w:tcPr>
          <w:p>
            <w:pPr>
              <w:pStyle w:val="TableContents"/>
              <w:bidi w:val="0"/>
              <w:spacing w:lineRule="auto" w:line="331" w:before="0" w:after="160"/>
              <w:ind w:left="0" w:right="0" w:hanging="0"/>
              <w:jc w:val="both"/>
              <w:rPr/>
            </w:pPr>
            <w:r>
              <w:rPr/>
              <w:t>​</w:t>
            </w:r>
          </w:p>
        </w:tc>
      </w:tr>
      <w:tr>
        <w:trPr/>
        <w:tc>
          <w:tcPr>
            <w:tcW w:w="2169" w:type="dxa"/>
            <w:tcBorders/>
            <w:vAlign w:val="center"/>
          </w:tcPr>
          <w:p>
            <w:pPr>
              <w:pStyle w:val="TableContents"/>
              <w:bidi w:val="0"/>
              <w:spacing w:lineRule="auto" w:line="285" w:before="0" w:after="0"/>
              <w:ind w:left="0" w:right="0" w:hanging="0"/>
              <w:jc w:val="left"/>
              <w:rPr>
                <w:rFonts w:ascii="Aptos" w:hAnsi="Aptos"/>
                <w:sz w:val="20"/>
              </w:rPr>
            </w:pPr>
            <w:r>
              <w:rPr>
                <w:rFonts w:ascii="Times New Roman;Times;serif" w:hAnsi="Times New Roman;Times;serif"/>
                <w:sz w:val="20"/>
                <w:u w:val="single"/>
              </w:rPr>
              <w:t>Number of Shares Subject to Restricted Stock Unit Award</w:t>
            </w:r>
            <w:r>
              <w:rPr>
                <w:rFonts w:ascii="Times New Roman;Times;serif" w:hAnsi="Times New Roman;Times;serif"/>
                <w:sz w:val="20"/>
              </w:rPr>
              <w:t>:</w:t>
            </w:r>
          </w:p>
        </w:tc>
        <w:tc>
          <w:tcPr>
            <w:tcW w:w="803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_____ shares of Common Stock (the “Shares”)</w:t>
            </w:r>
          </w:p>
        </w:tc>
      </w:tr>
      <w:tr>
        <w:trPr/>
        <w:tc>
          <w:tcPr>
            <w:tcW w:w="2169" w:type="dxa"/>
            <w:tcBorders/>
            <w:vAlign w:val="center"/>
          </w:tcPr>
          <w:p>
            <w:pPr>
              <w:pStyle w:val="TableContents"/>
              <w:bidi w:val="0"/>
              <w:spacing w:lineRule="auto" w:line="331" w:before="0" w:after="160"/>
              <w:ind w:left="0" w:right="0" w:hanging="0"/>
              <w:jc w:val="left"/>
              <w:rPr/>
            </w:pPr>
            <w:r>
              <w:rPr/>
              <w:t>​</w:t>
            </w:r>
          </w:p>
        </w:tc>
        <w:tc>
          <w:tcPr>
            <w:tcW w:w="8036" w:type="dxa"/>
            <w:tcBorders/>
            <w:vAlign w:val="center"/>
          </w:tcPr>
          <w:p>
            <w:pPr>
              <w:pStyle w:val="TableContents"/>
              <w:bidi w:val="0"/>
              <w:spacing w:lineRule="auto" w:line="331" w:before="0" w:after="160"/>
              <w:ind w:left="0" w:right="0" w:hanging="0"/>
              <w:jc w:val="both"/>
              <w:rPr/>
            </w:pPr>
            <w:r>
              <w:rPr/>
              <w:t>​</w:t>
            </w:r>
          </w:p>
        </w:tc>
      </w:tr>
      <w:tr>
        <w:trPr/>
        <w:tc>
          <w:tcPr>
            <w:tcW w:w="2169" w:type="dxa"/>
            <w:tcBorders/>
            <w:vAlign w:val="center"/>
          </w:tcPr>
          <w:p>
            <w:pPr>
              <w:pStyle w:val="TableContents"/>
              <w:bidi w:val="0"/>
              <w:spacing w:lineRule="auto" w:line="285" w:before="0" w:after="0"/>
              <w:ind w:left="0" w:right="0" w:hanging="0"/>
              <w:jc w:val="both"/>
              <w:rPr>
                <w:rFonts w:ascii="Aptos" w:hAnsi="Aptos"/>
                <w:sz w:val="20"/>
              </w:rPr>
            </w:pPr>
            <w:r>
              <w:rPr>
                <w:rFonts w:ascii="Times New Roman;Times;serif" w:hAnsi="Times New Roman;Times;serif"/>
                <w:sz w:val="20"/>
                <w:u w:val="single"/>
              </w:rPr>
              <w:t>Vesting Schedule</w:t>
            </w:r>
            <w:r>
              <w:rPr>
                <w:rFonts w:ascii="Times New Roman;Times;serif" w:hAnsi="Times New Roman;Times;serif"/>
                <w:sz w:val="20"/>
              </w:rPr>
              <w:t>:</w:t>
            </w:r>
          </w:p>
        </w:tc>
        <w:tc>
          <w:tcPr>
            <w:tcW w:w="803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The RSUs shall vest in full on the earlier of (a) the first anniversary of Participant’s completion of continuous Board service measured from the Award Date or (b) the first annual general meeting of the Corporation’s shareholders held after the Award Date.  The RSUs may vest in whole or in </w:t>
            </w:r>
          </w:p>
        </w:tc>
      </w:tr>
    </w:tbl>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170"/>
        <w:gridCol w:w="9035"/>
      </w:tblGrid>
      <w:tr>
        <w:trPr/>
        <w:tc>
          <w:tcPr>
            <w:tcW w:w="1170" w:type="dxa"/>
            <w:tcBorders/>
            <w:vAlign w:val="center"/>
          </w:tcPr>
          <w:p>
            <w:pPr>
              <w:pStyle w:val="TableContents"/>
              <w:bidi w:val="0"/>
              <w:spacing w:lineRule="auto" w:line="331" w:before="0" w:after="160"/>
              <w:ind w:left="0" w:right="0" w:hanging="0"/>
              <w:jc w:val="both"/>
              <w:rPr/>
            </w:pPr>
            <w:r>
              <w:rPr/>
              <w:t>​</w:t>
            </w:r>
          </w:p>
        </w:tc>
        <w:tc>
          <w:tcPr>
            <w:tcW w:w="9035"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part on an accelerated basis in accordance with the provisions of Paragraphs 3 and 5 of this Agreement.  In no event shall any RSUs vest after the date of Participant’s termination of Board service.</w:t>
            </w:r>
          </w:p>
        </w:tc>
      </w:tr>
      <w:tr>
        <w:trPr/>
        <w:tc>
          <w:tcPr>
            <w:tcW w:w="1170" w:type="dxa"/>
            <w:tcBorders/>
            <w:vAlign w:val="center"/>
          </w:tcPr>
          <w:p>
            <w:pPr>
              <w:pStyle w:val="TableContents"/>
              <w:bidi w:val="0"/>
              <w:spacing w:lineRule="auto" w:line="331" w:before="0" w:after="160"/>
              <w:ind w:left="0" w:right="0" w:hanging="0"/>
              <w:jc w:val="both"/>
              <w:rPr/>
            </w:pPr>
            <w:r>
              <w:rPr/>
              <w:t>​</w:t>
            </w:r>
          </w:p>
        </w:tc>
        <w:tc>
          <w:tcPr>
            <w:tcW w:w="9035" w:type="dxa"/>
            <w:tcBorders/>
            <w:vAlign w:val="center"/>
          </w:tcPr>
          <w:p>
            <w:pPr>
              <w:pStyle w:val="TableContents"/>
              <w:bidi w:val="0"/>
              <w:spacing w:lineRule="auto" w:line="331" w:before="0" w:after="160"/>
              <w:ind w:left="0" w:right="0" w:hanging="0"/>
              <w:jc w:val="both"/>
              <w:rPr/>
            </w:pPr>
            <w:r>
              <w:rPr/>
              <w:t>​</w:t>
            </w:r>
          </w:p>
        </w:tc>
      </w:tr>
      <w:tr>
        <w:trPr/>
        <w:tc>
          <w:tcPr>
            <w:tcW w:w="1170" w:type="dxa"/>
            <w:tcBorders/>
            <w:vAlign w:val="center"/>
          </w:tcPr>
          <w:p>
            <w:pPr>
              <w:pStyle w:val="TableContents"/>
              <w:bidi w:val="0"/>
              <w:spacing w:lineRule="auto" w:line="285"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Issuance Schedule</w:t>
            </w:r>
          </w:p>
        </w:tc>
        <w:tc>
          <w:tcPr>
            <w:tcW w:w="9035"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RSUs in which the Participant vests pursuant to the foregoing Vesting Schedule or the vesting acceleration provisions of Paragraph 3 or Paragraph 5 of this Agreement shall be settled in Shares in accordance with the Participant’s Deferral Election.</w:t>
            </w:r>
          </w:p>
        </w:tc>
      </w:tr>
    </w:tbl>
    <w:p>
      <w:pPr>
        <w:pStyle w:val="TextBody"/>
        <w:bidi w:val="0"/>
        <w:spacing w:lineRule="auto" w:line="331" w:before="0" w:after="160"/>
        <w:ind w:left="0" w:right="0" w:hanging="0"/>
        <w:jc w:val="both"/>
        <w:rPr/>
      </w:pPr>
      <w:r>
        <w:rPr/>
        <w: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2.</w:t>
      </w:r>
      <w:r>
        <w:rPr>
          <w:rFonts w:ascii="Times New Roman;Times;serif" w:hAnsi="Times New Roman;Times;serif"/>
          <w:b/>
          <w:sz w:val="20"/>
        </w:rPr>
        <w:t>Limited Transferability</w:t>
      </w:r>
      <w:r>
        <w:rPr>
          <w:rFonts w:ascii="Times New Roman;Times;serif" w:hAnsi="Times New Roman;Times;serif"/>
          <w:sz w:val="20"/>
        </w:rPr>
        <w:t>.  Prior to the actual issuance of the Shares hereunder, Participant may not transfer any interest in the RSUs or the underlying Shares or pledge or otherwise hedge the sale of those RSUs or Shares, including (without limitation) any short sale or any acquisition or disposition of any put or call option or other instrument tied to the value of those RSUs Shares.  However, any Shares underlying RSUs which vest hereunder but otherwise remain unissued at the time of Participant’s death may be transferred pursuant to the provisions of Participant’s will or the laws of inheritance or to Participant’s designated beneficiary or beneficiaries of this Award, and in such event, the Shares shall be issued to the applicable transferee(s) in accordance with the distribution date or event and method of distribution specified by Participant in his or her Deferral Election.  Participant may also direct the Corporation to issue the stock certificates for any Shares which in fact become issuable hereunder to Participant during his or her lifetime to one or more designated Family Members or a trust established for Participant and/or his or her Family Members.  Any such issuance shall be effected in accordance with the distribution date or event and method of distribution specified by Participant in his or her Deferral Election.  Participant may make such a beneficiary designation or certificate directive at any time by filing the appropriate form with the Plan Administrator or its designee.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3.</w:t>
      </w:r>
      <w:r>
        <w:rPr>
          <w:rFonts w:ascii="Times New Roman;Times;serif" w:hAnsi="Times New Roman;Times;serif"/>
          <w:b/>
          <w:sz w:val="20"/>
        </w:rPr>
        <w:t>Cessation of Service</w:t>
      </w:r>
      <w:r>
        <w:rPr>
          <w:rFonts w:ascii="Times New Roman;Times;serif" w:hAnsi="Times New Roman;Times;serif"/>
          <w:sz w:val="20"/>
        </w:rPr>
        <w:t>.  The RSUs shall, to the extent not previously vested, immediately vest in full upon Participant’s cessation of Board service by reason of death, Permanent Disability or Retirement.  Upon the resignation from Board service for any other reason by Participant, except in connection with the removal or threatened removal of Participant from the Board in accordance with the Corporation’s Bylaws or the Hawaii Business Corporation Act, the RSUs shall vest on a prorated basis measured by the number of complete months of service as a member of the Board following the Award Date divided by 12 upon Board approval.  Should Participant cease Board service for any other reason prior to vesting in one or more RSUs, then any unvested RSUs will be immediately cancelled.  Participant shall thereupon cease to have any right or entitlement to receive any Shares under those cancelled RSUs.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4.</w:t>
      </w:r>
      <w:r>
        <w:rPr>
          <w:rFonts w:ascii="Times New Roman;Times;serif" w:hAnsi="Times New Roman;Times;serif"/>
          <w:b/>
          <w:sz w:val="20"/>
        </w:rPr>
        <w:t>Shareholder Rights and Dividend Equivalents</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(a)Participant shall not have any shareholder rights, including voting, dividend or liquidation rights, with respect to the Shares subject to the Award until Participant becomes the record holder of those Shares following their actual issuance.</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(b)Notwithstanding the foregoing, should any dividend or other distribution payable other than in shares of Common Stock be declared and paid on the outstanding Common Stock while one or more Shares remain subject to this Award (i.e., those Shares are not otherwise issued and outstanding for purposes of entitlement to the dividend or distribution), then</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a special book account shall be established for Participant and credited with a phantom dividend equivalent to the actual dividend or distribution which would have been paid on those Shares had they been issued and outstanding and entitled to that dividend or distribution.  As the RSUs vest hereunder, the phantom dividend equivalents credited to those Shares underlying such RSUs in the book account shall concurrently vest, and those vested dividend equivalents shall be distributed to Participant (in cash or such other form as the Plan Administrator may deem appropriate in its sole discretion) at that time or at such later time as may be specified in the Participant’s Deferral Election for this Award.  Should Participant elect on his or her Deferral Election to defer the Shares but not the phantom dividend equivalents pertaining to those Shares, then any dividend equivalents credited from time to time on those Shares after the date RSUs to which those Shares relate vest shall be paid to Participant within thirty (30) days after the date of the actual dividend or distribution to which those particular dividend equivalents relate.  Should the Deferral Election provide for an installment distribution of the Shares and the deferral of the phantom dividend equivalents with respect to those Shares, then any additional amounts that are, during the installment distribution period, credited to the Participant’s special book account hereunder pursuant to the phantom dividend equivalents attributable to the undistributed portion of the Shares shall also be deferred and shall not be paid until the deferred Shares to which those additional amounts pertain are issued in satisfaction of the elected installment distribution.  In no event shall such phantom dividend equivalents vest or become distributable unless the RSUs to which they relate vest in accordance with the terms of this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5.</w:t>
      </w:r>
      <w:r>
        <w:rPr>
          <w:rFonts w:ascii="Times New Roman;Times;serif" w:hAnsi="Times New Roman;Times;serif"/>
          <w:b/>
          <w:sz w:val="20"/>
        </w:rPr>
        <w:t>Change in Control</w:t>
      </w:r>
      <w:r>
        <w:rPr>
          <w:rFonts w:ascii="Times New Roman;Times;serif" w:hAnsi="Times New Roman;Times;serif"/>
          <w:sz w:val="20"/>
        </w:rPr>
        <w:t>.  The RSUs shall immediately vest in full upon Participant’s continuation in Board service until the effective date of any Change in Control transaction, and the Shares underlying those vested RSUs shall be issued in accordance with Participant’s Deferral Election.  Alternatively, the Participant’s right to the Shares may, pursuant to the terms of the Change in Control transaction, be converted into the right to receive the same consideration per share of Common Stock payable to the other shareholders of the Corporation in consummation of the Change in Control.  In such event, the consideration for the Shares shall be distributed to Participant in accordance with the distribution provisions of his or her Deferral Election.</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6.</w:t>
      </w:r>
      <w:r>
        <w:rPr>
          <w:rFonts w:ascii="Times New Roman;Times;serif" w:hAnsi="Times New Roman;Times;serif"/>
          <w:b/>
          <w:sz w:val="20"/>
        </w:rPr>
        <w:t>Adjustment in Shares</w:t>
      </w:r>
      <w:r>
        <w:rPr>
          <w:rFonts w:ascii="Times New Roman;Times;serif" w:hAnsi="Times New Roman;Times;serif"/>
          <w:sz w:val="20"/>
        </w:rPr>
        <w:t>.  Should any change be made to the Common Stock by reason of any stock split, stock dividend, recapitalization, combination of shares, exchange of shares, spin-off transaction or other change affecting the outstanding Common Stock as a class without the Corporation’s receipt of consideration, or should the value of the outstanding shares of Common Stock be substantially reduced as a result of a spin-off transaction or an extraordinary dividend or distribution, or should there occur any merger, consolidation or other reorganization, then equitable adjustments shall be made by the Plan Administrator to the total number and/or class of securities issuable pursuant to this Award in order to reflect such change and thereby prevent a dilution or enlargement of benefits hereunder.  In making such equitable adjustments, the Plan Administrator shall take into account any amounts to be credited to Participant’s book account under Paragraph 4(b) in connection with the transaction, and the determination of the Plan Administrator shall be final, binding and conclusive.</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7.</w:t>
      </w:r>
      <w:r>
        <w:rPr>
          <w:rFonts w:ascii="Times New Roman;Times;serif" w:hAnsi="Times New Roman;Times;serif"/>
          <w:b/>
          <w:sz w:val="20"/>
        </w:rPr>
        <w:t>Issuance of Shares of Common Stock</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(a)Except as otherwise provided in Paragraph 5, on each applicable issuance date or dates designated in the Deferral Election for the Shares underlying the RSUs which vest in accordance with the terms of this Agreement, the Corporation shall issue to or on behalf of Participant a certificate (which may be in electronic form) for the vested shares of Common Stock to be issued on that date and shall concurrently distribute to Participant any deferred phantom dividend equivalents accumulated with respect to those particular vested Shares.</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(b)Except as otherwise provided in Paragraph 5, the settlement of all RSUs units which vest under this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8.</w:t>
      </w:r>
      <w:r>
        <w:rPr>
          <w:rFonts w:ascii="Times New Roman;Times;serif" w:hAnsi="Times New Roman;Times;serif"/>
          <w:b/>
          <w:sz w:val="20"/>
        </w:rPr>
        <w:t>Compliance with Laws and Regulations</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(a)The issuance of shares of 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(b)The inability of the Corporation to obtain approval from any regulatory body having authority deemed by the Corporation to be necessary to the lawful issuance of any Common Stock hereby shall relieve the Corporation of any liability with respect to the non-issuance of the Common Stock as to which such approval shall not have been obtained.  The Corporation, however, shall use its best efforts to obtain all such approvals.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9.</w:t>
      </w:r>
      <w:r>
        <w:rPr>
          <w:rFonts w:ascii="Times New Roman;Times;serif" w:hAnsi="Times New Roman;Times;serif"/>
          <w:b/>
          <w:sz w:val="20"/>
        </w:rPr>
        <w:t>Successors and Assigns</w:t>
      </w:r>
      <w:r>
        <w:rPr>
          <w:rFonts w:ascii="Times New Roman;Times;serif" w:hAnsi="Times New Roman;Times;serif"/>
          <w:sz w:val="20"/>
        </w:rPr>
        <w:t>.  Except to the extent otherwise provided in this 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10.</w:t>
      </w:r>
      <w:r>
        <w:rPr>
          <w:rFonts w:ascii="Times New Roman;Times;serif" w:hAnsi="Times New Roman;Times;serif"/>
          <w:b/>
          <w:sz w:val="20"/>
        </w:rPr>
        <w:t>Notices</w:t>
      </w:r>
      <w:r>
        <w:rPr>
          <w:rFonts w:ascii="Times New Roman;Times;serif" w:hAnsi="Times New Roman;Times;serif"/>
          <w:sz w:val="20"/>
        </w:rPr>
        <w:t>.  Any notice required to be given or delivered to the Corporation under the terms of this Agreement shall be in writing and addressed to the Corporation at its principal corporate offices.  Any notice required to be given or delivered to Participant shall be in writing and addressed to Participant at the address on file with the Corporation.  All notices shall be deemed effective upon personal delivery or upon deposit in the U.S. mail, postage prepaid and properly addressed to the party to be notified.</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11.</w:t>
      </w:r>
      <w:r>
        <w:rPr>
          <w:rFonts w:ascii="Times New Roman;Times;serif" w:hAnsi="Times New Roman;Times;serif"/>
          <w:b/>
          <w:sz w:val="20"/>
        </w:rPr>
        <w:t>Construction</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(a)This Agreement and the Award evidenced hereby are made and granted pursuant to the Plan and are in all respects limited by and subject to the terms of the Plan.  All decisions of the Plan Administrator with respect to any question or issue arising under the Plan or this Agreement shall be conclusive and binding on all persons having an interest in the Award.</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(b)To the extent there is any ambiguity as to whether any provision of this Agreement would otherwise contravene one or more applicable requirements or limitations of Section 409A of the Code (“Section 409A”) and the Treasury Regulations thereunder, that provision shall be interpreted and applied in a manner that complies with the applicable requirements of Section 409A and the Treasury Regulations thereunder.</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(c)This Agreement shall not in any way affect the right of the Corporation to adjust, reclassify, reorganize or otherwise make changes in its capital or business structure or to merge, consolidate, dissolve, liquidate or sell or transfer all or any part of its business or assets.  In addition, this Agreement shall not in any way be construed or interpreted so as to affect adversely or otherwise impair the right of the Corporation or its shareholders to remove Participant from the Board at any time in accordance with the provisions of applicable law.</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12.</w:t>
      </w:r>
      <w:r>
        <w:rPr>
          <w:rFonts w:ascii="Times New Roman;Times;serif" w:hAnsi="Times New Roman;Times;serif"/>
          <w:b/>
          <w:sz w:val="20"/>
        </w:rPr>
        <w:t>Governing Law</w:t>
      </w:r>
      <w:r>
        <w:rPr>
          <w:rFonts w:ascii="Times New Roman;Times;serif" w:hAnsi="Times New Roman;Times;serif"/>
          <w:sz w:val="20"/>
        </w:rPr>
        <w:t>.  The interpretation, performance and enforcement of this Agreement shall be governed by the laws of the State of Hawaii without resort to that State’s conflict-of-laws rules.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13.</w:t>
      </w:r>
      <w:r>
        <w:rPr>
          <w:rFonts w:ascii="Times New Roman;Times;serif" w:hAnsi="Times New Roman;Times;serif"/>
          <w:b/>
          <w:sz w:val="20"/>
        </w:rPr>
        <w:t>Section 409A Compliance</w:t>
      </w:r>
      <w:r>
        <w:rPr>
          <w:rFonts w:ascii="Times New Roman;Times;serif" w:hAnsi="Times New Roman;Times;serif"/>
          <w:sz w:val="20"/>
        </w:rPr>
        <w:t>.  Notwithstanding any provision to the contrary in this Agreement, to the extent this Award may be deemed to create a deferred compensation arrangement under Section 409A, then Participant’s right to receive each installment of Shares or other installment distribution pursuant to the terms of this Agreement shall, for purposes of Section 409A, be treated as a right to receive a series of separate payments.</w:t>
      </w:r>
    </w:p>
    <w:p>
      <w:pPr>
        <w:pStyle w:val="TextBody"/>
        <w:bidi w:val="0"/>
        <w:spacing w:lineRule="auto" w:line="285" w:before="0" w:after="240"/>
        <w:ind w:left="0" w:right="0" w:firstLine="1440"/>
        <w:jc w:val="both"/>
        <w:rPr>
          <w:rFonts w:ascii="Aptos" w:hAnsi="Aptos"/>
          <w:sz w:val="20"/>
        </w:rPr>
      </w:pPr>
      <w:r>
        <w:rPr>
          <w:rFonts w:ascii="Times New Roman;Times;serif" w:hAnsi="Times New Roman;Times;serif"/>
          <w:b/>
          <w:sz w:val="20"/>
        </w:rPr>
        <w:t>IN WITNESS WHEREOF</w:t>
      </w:r>
      <w:r>
        <w:rPr>
          <w:rFonts w:ascii="Times New Roman;Times;serif" w:hAnsi="Times New Roman;Times;serif"/>
          <w:sz w:val="20"/>
        </w:rPr>
        <w:t>, the parties have executed this Agreement as of the Award Date first indicated above.</w:t>
      </w:r>
    </w:p>
    <w:tbl>
      <w:tblPr>
        <w:tblW w:w="1616" w:type="dxa"/>
        <w:jc w:val="left"/>
        <w:tblInd w:w="0" w:type="dxa"/>
        <w:tblLayout w:type="fixed"/>
        <w:tblCellMar>
          <w:top w:w="0" w:type="dxa"/>
          <w:left w:w="0" w:type="dxa"/>
          <w:bottom w:w="0" w:type="dxa"/>
          <w:right w:w="0" w:type="dxa"/>
        </w:tblCellMar>
      </w:tblPr>
      <w:tblGrid>
        <w:gridCol w:w="124"/>
        <w:gridCol w:w="1151"/>
        <w:gridCol w:w="140"/>
        <w:gridCol w:w="201"/>
      </w:tblGrid>
      <w:tr>
        <w:trPr/>
        <w:tc>
          <w:tcPr>
            <w:tcW w:w="124" w:type="dxa"/>
            <w:tcBorders/>
            <w:vAlign w:val="center"/>
          </w:tcPr>
          <w:p>
            <w:pPr>
              <w:pStyle w:val="TableContents"/>
              <w:bidi w:val="0"/>
              <w:spacing w:lineRule="auto" w:line="285" w:before="0" w:after="0"/>
              <w:ind w:left="0" w:right="0" w:hanging="0"/>
              <w:jc w:val="left"/>
              <w:rPr/>
            </w:pPr>
            <w:r>
              <w:rPr/>
              <w:t>​</w:t>
            </w:r>
          </w:p>
        </w:tc>
        <w:tc>
          <w:tcPr>
            <w:tcW w:w="1151"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lineRule="auto" w:line="285" w:before="0" w:after="0"/>
              <w:ind w:left="0" w:right="0" w:hanging="0"/>
              <w:jc w:val="left"/>
              <w:rPr/>
            </w:pPr>
            <w:r>
              <w:rPr/>
              <w:t>​</w:t>
            </w:r>
          </w:p>
        </w:tc>
        <w:tc>
          <w:tcPr>
            <w:tcW w:w="20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492" w:type="dxa"/>
            <w:gridSpan w:val="3"/>
            <w:tcBorders/>
            <w:vAlign w:val="center"/>
          </w:tcPr>
          <w:p>
            <w:pPr>
              <w:pStyle w:val="TableContents"/>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MATSON, INC.</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pPr>
            <w:r>
              <w:rPr/>
              <w:t>​</w:t>
            </w:r>
          </w:p>
        </w:tc>
        <w:tc>
          <w:tcPr>
            <w:tcW w:w="341" w:type="dxa"/>
            <w:gridSpan w:val="2"/>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pPr>
            <w:r>
              <w:rPr/>
              <w:t>​</w:t>
            </w:r>
          </w:p>
        </w:tc>
        <w:tc>
          <w:tcPr>
            <w:tcW w:w="341" w:type="dxa"/>
            <w:gridSpan w:val="2"/>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3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pPr>
            <w:r>
              <w:rPr/>
              <w:t>​</w:t>
            </w:r>
          </w:p>
        </w:tc>
        <w:tc>
          <w:tcPr>
            <w:tcW w:w="341" w:type="dxa"/>
            <w:gridSpan w:val="2"/>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pPr>
            <w:r>
              <w:rPr/>
              <w:t>​</w:t>
            </w:r>
          </w:p>
        </w:tc>
        <w:tc>
          <w:tcPr>
            <w:tcW w:w="341" w:type="dxa"/>
            <w:gridSpan w:val="2"/>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492" w:type="dxa"/>
            <w:gridSpan w:val="3"/>
            <w:tcBorders/>
            <w:vAlign w:val="center"/>
          </w:tcPr>
          <w:p>
            <w:pPr>
              <w:pStyle w:val="TableContents"/>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PARTICIPANT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pPr>
            <w:r>
              <w:rPr/>
              <w:t>​</w:t>
            </w:r>
          </w:p>
        </w:tc>
        <w:tc>
          <w:tcPr>
            <w:tcW w:w="341" w:type="dxa"/>
            <w:gridSpan w:val="2"/>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Signature:</w:t>
            </w:r>
          </w:p>
        </w:tc>
        <w:tc>
          <w:tcPr>
            <w:tcW w:w="3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pPr>
            <w:r>
              <w:rPr/>
              <w:t>​</w:t>
            </w:r>
          </w:p>
        </w:tc>
        <w:tc>
          <w:tcPr>
            <w:tcW w:w="341" w:type="dxa"/>
            <w:gridSpan w:val="2"/>
            <w:tcBorders/>
            <w:vAlign w:val="center"/>
          </w:tcPr>
          <w:p>
            <w:pPr>
              <w:pStyle w:val="TableContents"/>
              <w:bidi w:val="0"/>
              <w:spacing w:lineRule="auto" w:line="285" w:before="0" w:after="0"/>
              <w:ind w:left="0" w:right="0" w:hanging="0"/>
              <w:jc w:val="both"/>
              <w:rPr/>
            </w:pPr>
            <w:r>
              <w:rPr/>
              <w:t>​</w:t>
            </w:r>
          </w:p>
        </w:tc>
      </w:tr>
    </w:tbl>
    <w:p>
      <w:pPr>
        <w:pStyle w:val="TextBody"/>
        <w:bidi w:val="0"/>
        <w:spacing w:lineRule="auto" w:line="331" w:before="0" w:after="160"/>
        <w:ind w:left="0" w:right="0" w:hanging="0"/>
        <w:jc w:val="center"/>
        <w:rPr/>
      </w:pPr>
      <w:r>
        <w:rPr/>
        <w:t>​</w:t>
      </w:r>
    </w:p>
    <w:p>
      <w:pPr>
        <w:pStyle w:val="TextBody"/>
        <w:bidi w:val="0"/>
        <w:spacing w:lineRule="auto" w:line="331"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APPENDIX A</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DEFINITIONS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Agreement</w:t>
      </w:r>
      <w:r>
        <w:rPr>
          <w:rFonts w:ascii="Aptos" w:hAnsi="Aptos"/>
          <w:sz w:val="20"/>
        </w:rPr>
        <w:t xml:space="preserve"> </w:t>
      </w:r>
      <w:r>
        <w:rPr>
          <w:rFonts w:ascii="Times New Roman;Times;serif" w:hAnsi="Times New Roman;Times;serif"/>
          <w:sz w:val="20"/>
        </w:rPr>
        <w:t>shall mean this Restricted Stock Unit Award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Award</w:t>
      </w:r>
      <w:r>
        <w:rPr>
          <w:rFonts w:ascii="Aptos" w:hAnsi="Aptos"/>
          <w:sz w:val="20"/>
        </w:rPr>
        <w:t xml:space="preserve"> </w:t>
      </w:r>
      <w:r>
        <w:rPr>
          <w:rFonts w:ascii="Times New Roman;Times;serif" w:hAnsi="Times New Roman;Times;serif"/>
          <w:sz w:val="20"/>
        </w:rPr>
        <w:t>shall mean the award of restricted stock units made to Participant pursuant to the terms of this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Award Date</w:t>
      </w:r>
      <w:r>
        <w:rPr>
          <w:rFonts w:ascii="Aptos" w:hAnsi="Aptos"/>
          <w:sz w:val="20"/>
        </w:rPr>
        <w:t xml:space="preserve"> </w:t>
      </w:r>
      <w:r>
        <w:rPr>
          <w:rFonts w:ascii="Times New Roman;Times;serif" w:hAnsi="Times New Roman;Times;serif"/>
          <w:sz w:val="20"/>
        </w:rPr>
        <w:t>shall mean the date the restricted stock units are awarded to Participant pursuant to the Agreement and shall be the date indicated in Paragraph 1 of the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Deferral Election</w:t>
      </w:r>
      <w:r>
        <w:rPr>
          <w:rFonts w:ascii="Aptos" w:hAnsi="Aptos"/>
          <w:sz w:val="20"/>
        </w:rPr>
        <w:t xml:space="preserve"> </w:t>
      </w:r>
      <w:r>
        <w:rPr>
          <w:rFonts w:ascii="Times New Roman;Times;serif" w:hAnsi="Times New Roman;Times;serif"/>
          <w:sz w:val="20"/>
        </w:rPr>
        <w:t>shall mean the election made by Participant, prior to the start of the calendar year in which this Award is made, in which Participant has, in accordance with the applicable requirements of Code Section 409A and the Treasury Regulations thereunder, designated a deferred commencement date or event for the issuance of the Shares in which he or she vests under this Award and the method of issuance (lump sum or installment) for those vested and deferred Shares and any deferred phantom dividend equivalents pertaining to those Shares.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Participant</w:t>
      </w:r>
      <w:r>
        <w:rPr>
          <w:rFonts w:ascii="Aptos" w:hAnsi="Aptos"/>
          <w:sz w:val="20"/>
        </w:rPr>
        <w:t xml:space="preserve"> </w:t>
      </w:r>
      <w:r>
        <w:rPr>
          <w:rFonts w:ascii="Times New Roman;Times;serif" w:hAnsi="Times New Roman;Times;serif"/>
          <w:sz w:val="20"/>
        </w:rPr>
        <w:t>shall mean the non-employee Board member to whom the Award is made pursuant to the Automatic Grant Program.</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Permanent Disability</w:t>
      </w:r>
      <w:r>
        <w:rPr>
          <w:rFonts w:ascii="Aptos" w:hAnsi="Aptos"/>
          <w:sz w:val="20"/>
        </w:rPr>
        <w:t xml:space="preserve"> </w:t>
      </w:r>
      <w:r>
        <w:rPr>
          <w:rFonts w:ascii="Times New Roman;Times;serif" w:hAnsi="Times New Roman;Times;serif"/>
          <w:sz w:val="20"/>
        </w:rPr>
        <w:t>shall mean the inability of Participant to perform his or her usual duties as a Board member by reason of any medically determinable physical or mental impairment expected to result in death or to be of continuous duration of twelve (12) months or more.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Plan</w:t>
      </w:r>
      <w:r>
        <w:rPr>
          <w:rFonts w:ascii="Aptos" w:hAnsi="Aptos"/>
          <w:sz w:val="20"/>
        </w:rPr>
        <w:t xml:space="preserve"> </w:t>
      </w:r>
      <w:r>
        <w:rPr>
          <w:rFonts w:ascii="Times New Roman;Times;serif" w:hAnsi="Times New Roman;Times;serif"/>
          <w:sz w:val="20"/>
        </w:rPr>
        <w:t>shall mean the Corporation’s 2025 Incentive Compensation Plan, as amended from time to time.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H.</w:t>
      </w:r>
      <w:r>
        <w:rPr>
          <w:rFonts w:ascii="Times New Roman;Times;serif" w:hAnsi="Times New Roman;Times;serif"/>
          <w:b/>
          <w:sz w:val="20"/>
        </w:rPr>
        <w:t>Retirement</w:t>
      </w:r>
      <w:r>
        <w:rPr>
          <w:rFonts w:ascii="Aptos" w:hAnsi="Aptos"/>
          <w:sz w:val="20"/>
        </w:rPr>
        <w:t xml:space="preserve"> </w:t>
      </w:r>
      <w:r>
        <w:rPr>
          <w:rFonts w:ascii="Times New Roman;Times;serif" w:hAnsi="Times New Roman;Times;serif"/>
          <w:sz w:val="20"/>
        </w:rPr>
        <w:t>shall mean the cessation of Board service by reason of retirement at or after the attainment of age seventy-five (75).</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APPENDIX A-1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494" w:name="matx-20250630xex10d13.htm"/>
      <w:bookmarkStart w:id="1495" w:name="ksmatx20250630xex10d13"/>
      <w:bookmarkEnd w:id="1494"/>
      <w:bookmarkEnd w:id="1495"/>
      <w:r>
        <w:rPr/>
        <w:t>​</w:t>
      </w:r>
      <w:r>
        <w:br w:type="page"/>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10.13</w:t>
      </w:r>
    </w:p>
    <w:p>
      <w:pPr>
        <w:pStyle w:val="TextBody"/>
        <w:bidi w:val="0"/>
        <w:spacing w:lineRule="auto" w:line="331" w:before="0" w:after="160"/>
        <w:ind w:left="0" w:right="0" w:hanging="0"/>
        <w:jc w:val="right"/>
        <w:rPr/>
      </w:pPr>
      <w:r>
        <w:rPr/>
        <w:t>​</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MATSON, INC.</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RESTRICTED STOCK UNIT AWARD AGREEMENT</w:t>
      </w:r>
    </w:p>
    <w:p>
      <w:pPr>
        <w:pStyle w:val="TextBody"/>
        <w:bidi w:val="0"/>
        <w:spacing w:lineRule="auto" w:line="285" w:before="0" w:after="240"/>
        <w:ind w:left="0" w:right="0" w:hanging="0"/>
        <w:jc w:val="center"/>
        <w:rPr>
          <w:rFonts w:ascii="Times New Roman;Times;serif" w:hAnsi="Times New Roman;Times;serif"/>
          <w:b/>
          <w:i/>
          <w:sz w:val="20"/>
        </w:rPr>
      </w:pPr>
      <w:r>
        <w:rPr>
          <w:rFonts w:ascii="Times New Roman;Times;serif" w:hAnsi="Times New Roman;Times;serif"/>
          <w:b/>
          <w:i/>
          <w:sz w:val="20"/>
        </w:rPr>
        <w:t>NON-EMPLOYEE BOARD MEMBER—NO DEFERRAL</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RECITALS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Matson, Inc., a Hawaii corporation (along with any subsequent corporate successor to all or substantially all of the assets or voting stock of Matson, Inc., which has by appropriate action assumed the Plan, the “Corporation”), has implemented an automatic award program under the Plan pursuant to which eligible non-employee members of the Board will automatically receive special awards of restricted stock units at periodic intervals over their period of Board service in order to provide such individuals with a meaningful incentive to continue to serve as members of the Board.</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Participant is an eligible non-employee Board member, and this Agreement is executed pursuant to, and is intended to carry out the purposes of, the Plan in connection with the automatic award of restricted stock units under the Plan.</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All capitalized terms in this Agreement shall have the meaning assigned to them in the attached </w:t>
      </w:r>
      <w:r>
        <w:rPr>
          <w:rFonts w:ascii="Times New Roman;Times;serif" w:hAnsi="Times New Roman;Times;serif"/>
          <w:sz w:val="20"/>
          <w:u w:val="single"/>
        </w:rPr>
        <w:t>Appendix A</w:t>
      </w:r>
      <w:r>
        <w:rPr>
          <w:rFonts w:ascii="Times New Roman;Times;serif" w:hAnsi="Times New Roman;Times;serif"/>
          <w:sz w:val="20"/>
        </w:rPr>
        <w:t>, or if not defined in that appendix, as defined in the Plan.</w:t>
      </w:r>
    </w:p>
    <w:p>
      <w:pPr>
        <w:pStyle w:val="TextBody"/>
        <w:bidi w:val="0"/>
        <w:spacing w:lineRule="auto" w:line="285" w:before="0" w:after="240"/>
        <w:ind w:left="0" w:right="0" w:hanging="0"/>
        <w:jc w:val="both"/>
        <w:rPr>
          <w:rFonts w:ascii="Aptos" w:hAnsi="Aptos"/>
          <w:sz w:val="20"/>
        </w:rPr>
      </w:pPr>
      <w:r>
        <w:rPr>
          <w:rFonts w:ascii="Times New Roman;Times;serif" w:hAnsi="Times New Roman;Times;serif"/>
          <w:b/>
          <w:sz w:val="20"/>
        </w:rPr>
        <w:t>NOW, THEREFORE</w:t>
      </w:r>
      <w:r>
        <w:rPr>
          <w:rFonts w:ascii="Times New Roman;Times;serif" w:hAnsi="Times New Roman;Times;serif"/>
          <w:sz w:val="20"/>
        </w:rPr>
        <w:t>, it is hereby agreed as follows: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1.</w:t>
      </w:r>
      <w:r>
        <w:rPr>
          <w:rFonts w:ascii="Times New Roman;Times;serif" w:hAnsi="Times New Roman;Times;serif"/>
          <w:b/>
          <w:sz w:val="20"/>
        </w:rPr>
        <w:t>Grant of Restricted Stock Units</w:t>
      </w:r>
      <w:r>
        <w:rPr>
          <w:rFonts w:ascii="Times New Roman;Times;serif" w:hAnsi="Times New Roman;Times;serif"/>
          <w:sz w:val="20"/>
        </w:rPr>
        <w:t>.  The Corporation hereby awards to Participant, as of the Award Date, an award (the “Award”) of restricted stock units under the Plan.  Each restricted stock unit represents the right to receive one share of Common Stock on the applicable issuance date following the vesting of that unit.  The number of shares of Common Stock subject to the awarded restricted stock units (the “RSUs”), the applicable vesting schedule for the RSUs and the underlying shares of Common Stock, the dates on which those vested shares shall be issued to Participant and the remaining terms and conditions governing the Award shall be as set forth in this Agreement.</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AWARD SUMMARY</w:t>
      </w:r>
    </w:p>
    <w:p>
      <w:pPr>
        <w:pStyle w:val="TextBody"/>
        <w:bidi w:val="0"/>
        <w:spacing w:lineRule="auto" w:line="331"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174"/>
        <w:gridCol w:w="8031"/>
      </w:tblGrid>
      <w:tr>
        <w:trPr/>
        <w:tc>
          <w:tcPr>
            <w:tcW w:w="2174" w:type="dxa"/>
            <w:tcBorders/>
            <w:vAlign w:val="center"/>
          </w:tcPr>
          <w:p>
            <w:pPr>
              <w:pStyle w:val="TableContents"/>
              <w:bidi w:val="0"/>
              <w:spacing w:lineRule="auto" w:line="285"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Participant</w:t>
            </w:r>
          </w:p>
        </w:tc>
        <w:tc>
          <w:tcPr>
            <w:tcW w:w="803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_____________</w:t>
            </w:r>
          </w:p>
        </w:tc>
      </w:tr>
      <w:tr>
        <w:trPr/>
        <w:tc>
          <w:tcPr>
            <w:tcW w:w="2174" w:type="dxa"/>
            <w:tcBorders/>
            <w:vAlign w:val="center"/>
          </w:tcPr>
          <w:p>
            <w:pPr>
              <w:pStyle w:val="TableContents"/>
              <w:bidi w:val="0"/>
              <w:spacing w:lineRule="auto" w:line="331" w:before="0" w:after="160"/>
              <w:ind w:left="0" w:right="0" w:hanging="0"/>
              <w:jc w:val="both"/>
              <w:rPr/>
            </w:pPr>
            <w:r>
              <w:rPr/>
              <w:t>​</w:t>
            </w:r>
          </w:p>
        </w:tc>
        <w:tc>
          <w:tcPr>
            <w:tcW w:w="8031" w:type="dxa"/>
            <w:tcBorders/>
            <w:vAlign w:val="center"/>
          </w:tcPr>
          <w:p>
            <w:pPr>
              <w:pStyle w:val="TableContents"/>
              <w:bidi w:val="0"/>
              <w:spacing w:lineRule="auto" w:line="331" w:before="0" w:after="160"/>
              <w:ind w:left="0" w:right="0" w:hanging="0"/>
              <w:jc w:val="both"/>
              <w:rPr/>
            </w:pPr>
            <w:r>
              <w:rPr/>
              <w:t>​</w:t>
            </w:r>
          </w:p>
        </w:tc>
      </w:tr>
      <w:tr>
        <w:trPr/>
        <w:tc>
          <w:tcPr>
            <w:tcW w:w="2174" w:type="dxa"/>
            <w:tcBorders/>
            <w:vAlign w:val="center"/>
          </w:tcPr>
          <w:p>
            <w:pPr>
              <w:pStyle w:val="TableContents"/>
              <w:bidi w:val="0"/>
              <w:spacing w:lineRule="auto" w:line="285" w:before="0" w:after="0"/>
              <w:ind w:left="0" w:right="0" w:hanging="0"/>
              <w:jc w:val="both"/>
              <w:rPr>
                <w:rFonts w:ascii="Aptos" w:hAnsi="Aptos"/>
                <w:sz w:val="20"/>
              </w:rPr>
            </w:pPr>
            <w:r>
              <w:rPr>
                <w:rFonts w:ascii="Times New Roman;Times;serif" w:hAnsi="Times New Roman;Times;serif"/>
                <w:sz w:val="20"/>
                <w:u w:val="single"/>
              </w:rPr>
              <w:t>Award Date</w:t>
            </w:r>
            <w:r>
              <w:rPr>
                <w:rFonts w:ascii="Times New Roman;Times;serif" w:hAnsi="Times New Roman;Times;serif"/>
                <w:sz w:val="20"/>
              </w:rPr>
              <w:t>:</w:t>
            </w:r>
          </w:p>
        </w:tc>
        <w:tc>
          <w:tcPr>
            <w:tcW w:w="803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_____________</w:t>
            </w:r>
          </w:p>
        </w:tc>
      </w:tr>
      <w:tr>
        <w:trPr/>
        <w:tc>
          <w:tcPr>
            <w:tcW w:w="2174" w:type="dxa"/>
            <w:tcBorders/>
            <w:vAlign w:val="center"/>
          </w:tcPr>
          <w:p>
            <w:pPr>
              <w:pStyle w:val="TableContents"/>
              <w:bidi w:val="0"/>
              <w:spacing w:lineRule="auto" w:line="331" w:before="0" w:after="160"/>
              <w:ind w:left="0" w:right="0" w:hanging="0"/>
              <w:jc w:val="both"/>
              <w:rPr/>
            </w:pPr>
            <w:r>
              <w:rPr/>
              <w:t>​</w:t>
            </w:r>
          </w:p>
        </w:tc>
        <w:tc>
          <w:tcPr>
            <w:tcW w:w="8031" w:type="dxa"/>
            <w:tcBorders/>
            <w:vAlign w:val="center"/>
          </w:tcPr>
          <w:p>
            <w:pPr>
              <w:pStyle w:val="TableContents"/>
              <w:bidi w:val="0"/>
              <w:spacing w:lineRule="auto" w:line="331" w:before="0" w:after="160"/>
              <w:ind w:left="0" w:right="0" w:hanging="0"/>
              <w:jc w:val="both"/>
              <w:rPr/>
            </w:pPr>
            <w:r>
              <w:rPr/>
              <w:t>​</w:t>
            </w:r>
          </w:p>
        </w:tc>
      </w:tr>
      <w:tr>
        <w:trPr/>
        <w:tc>
          <w:tcPr>
            <w:tcW w:w="2174" w:type="dxa"/>
            <w:tcBorders/>
            <w:vAlign w:val="center"/>
          </w:tcPr>
          <w:p>
            <w:pPr>
              <w:pStyle w:val="TableContents"/>
              <w:bidi w:val="0"/>
              <w:spacing w:lineRule="auto" w:line="285" w:before="0" w:after="0"/>
              <w:ind w:left="0" w:right="0" w:hanging="0"/>
              <w:jc w:val="left"/>
              <w:rPr>
                <w:rFonts w:ascii="Aptos" w:hAnsi="Aptos"/>
                <w:sz w:val="20"/>
              </w:rPr>
            </w:pPr>
            <w:r>
              <w:rPr>
                <w:rFonts w:ascii="Times New Roman;Times;serif" w:hAnsi="Times New Roman;Times;serif"/>
                <w:sz w:val="20"/>
                <w:u w:val="single"/>
              </w:rPr>
              <w:t>Number of Shares Subject to Restricted Stock Unit Award</w:t>
            </w:r>
            <w:r>
              <w:rPr>
                <w:rFonts w:ascii="Times New Roman;Times;serif" w:hAnsi="Times New Roman;Times;serif"/>
                <w:sz w:val="20"/>
              </w:rPr>
              <w:t>:</w:t>
            </w:r>
          </w:p>
        </w:tc>
        <w:tc>
          <w:tcPr>
            <w:tcW w:w="803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______ shares of Common Stock (the “Shares”)</w:t>
            </w:r>
          </w:p>
        </w:tc>
      </w:tr>
      <w:tr>
        <w:trPr/>
        <w:tc>
          <w:tcPr>
            <w:tcW w:w="2174" w:type="dxa"/>
            <w:tcBorders/>
            <w:vAlign w:val="center"/>
          </w:tcPr>
          <w:p>
            <w:pPr>
              <w:pStyle w:val="TableContents"/>
              <w:bidi w:val="0"/>
              <w:spacing w:lineRule="auto" w:line="331" w:before="0" w:after="160"/>
              <w:ind w:left="0" w:right="0" w:hanging="0"/>
              <w:jc w:val="left"/>
              <w:rPr/>
            </w:pPr>
            <w:r>
              <w:rPr/>
              <w:t>​</w:t>
            </w:r>
          </w:p>
        </w:tc>
        <w:tc>
          <w:tcPr>
            <w:tcW w:w="8031" w:type="dxa"/>
            <w:tcBorders/>
            <w:vAlign w:val="center"/>
          </w:tcPr>
          <w:p>
            <w:pPr>
              <w:pStyle w:val="TableContents"/>
              <w:bidi w:val="0"/>
              <w:spacing w:lineRule="auto" w:line="331" w:before="0" w:after="160"/>
              <w:ind w:left="0" w:right="0" w:hanging="0"/>
              <w:jc w:val="both"/>
              <w:rPr/>
            </w:pPr>
            <w:r>
              <w:rPr/>
              <w:t>​</w:t>
            </w:r>
          </w:p>
        </w:tc>
      </w:tr>
      <w:tr>
        <w:trPr/>
        <w:tc>
          <w:tcPr>
            <w:tcW w:w="2174" w:type="dxa"/>
            <w:tcBorders/>
            <w:vAlign w:val="center"/>
          </w:tcPr>
          <w:p>
            <w:pPr>
              <w:pStyle w:val="TableContents"/>
              <w:bidi w:val="0"/>
              <w:spacing w:lineRule="auto" w:line="285" w:before="0" w:after="0"/>
              <w:ind w:left="0" w:right="0" w:hanging="0"/>
              <w:jc w:val="both"/>
              <w:rPr>
                <w:rFonts w:ascii="Aptos" w:hAnsi="Aptos"/>
                <w:sz w:val="20"/>
              </w:rPr>
            </w:pPr>
            <w:r>
              <w:rPr>
                <w:rFonts w:ascii="Times New Roman;Times;serif" w:hAnsi="Times New Roman;Times;serif"/>
                <w:sz w:val="20"/>
                <w:u w:val="single"/>
              </w:rPr>
              <w:t>Vesting Schedule</w:t>
            </w:r>
            <w:r>
              <w:rPr>
                <w:rFonts w:ascii="Times New Roman;Times;serif" w:hAnsi="Times New Roman;Times;serif"/>
                <w:sz w:val="20"/>
              </w:rPr>
              <w:t>:</w:t>
            </w:r>
          </w:p>
        </w:tc>
        <w:tc>
          <w:tcPr>
            <w:tcW w:w="803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The RSUs shall vest in full on the earlier of (a) the first anniversary of Participant’s completion of continuous Board service measured from the Award Date or (b) the first annual general meeting of the Corporation’s shareholders held after the Award Date.  The RSUs may vest in whole or </w:t>
            </w:r>
          </w:p>
        </w:tc>
      </w:tr>
    </w:tbl>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08"/>
        <w:gridCol w:w="9197"/>
      </w:tblGrid>
      <w:tr>
        <w:trPr/>
        <w:tc>
          <w:tcPr>
            <w:tcW w:w="1008" w:type="dxa"/>
            <w:tcBorders/>
            <w:vAlign w:val="center"/>
          </w:tcPr>
          <w:p>
            <w:pPr>
              <w:pStyle w:val="TableContents"/>
              <w:bidi w:val="0"/>
              <w:spacing w:lineRule="auto" w:line="331" w:before="0" w:after="160"/>
              <w:ind w:left="0" w:right="0" w:hanging="0"/>
              <w:jc w:val="both"/>
              <w:rPr/>
            </w:pPr>
            <w:r>
              <w:rPr/>
              <w:t>​</w:t>
            </w:r>
          </w:p>
        </w:tc>
        <w:tc>
          <w:tcPr>
            <w:tcW w:w="9197"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 part on an accelerated basis in accordance with the provisions of Paragraphs 3 and 5 of this Agreement.  In no event shall any RSU vest after the date of Participant’s termination of Board service.</w:t>
            </w:r>
          </w:p>
        </w:tc>
      </w:tr>
      <w:tr>
        <w:trPr/>
        <w:tc>
          <w:tcPr>
            <w:tcW w:w="1008" w:type="dxa"/>
            <w:tcBorders/>
            <w:vAlign w:val="center"/>
          </w:tcPr>
          <w:p>
            <w:pPr>
              <w:pStyle w:val="TableContents"/>
              <w:bidi w:val="0"/>
              <w:spacing w:lineRule="auto" w:line="331" w:before="0" w:after="160"/>
              <w:ind w:left="0" w:right="0" w:hanging="0"/>
              <w:jc w:val="both"/>
              <w:rPr/>
            </w:pPr>
            <w:r>
              <w:rPr/>
              <w:t>​</w:t>
            </w:r>
          </w:p>
        </w:tc>
        <w:tc>
          <w:tcPr>
            <w:tcW w:w="9197" w:type="dxa"/>
            <w:tcBorders/>
            <w:vAlign w:val="center"/>
          </w:tcPr>
          <w:p>
            <w:pPr>
              <w:pStyle w:val="TableContents"/>
              <w:bidi w:val="0"/>
              <w:spacing w:lineRule="auto" w:line="331" w:before="0" w:after="160"/>
              <w:ind w:left="0" w:right="0" w:hanging="0"/>
              <w:jc w:val="both"/>
              <w:rPr/>
            </w:pPr>
            <w:r>
              <w:rPr/>
              <w:t>​</w:t>
            </w:r>
          </w:p>
        </w:tc>
      </w:tr>
      <w:tr>
        <w:trPr/>
        <w:tc>
          <w:tcPr>
            <w:tcW w:w="1008" w:type="dxa"/>
            <w:tcBorders/>
            <w:vAlign w:val="center"/>
          </w:tcPr>
          <w:p>
            <w:pPr>
              <w:pStyle w:val="TableContents"/>
              <w:bidi w:val="0"/>
              <w:spacing w:lineRule="auto" w:line="285"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Issuance Schedule</w:t>
            </w:r>
          </w:p>
        </w:tc>
        <w:tc>
          <w:tcPr>
            <w:tcW w:w="9197" w:type="dxa"/>
            <w:tcBorders/>
            <w:vAlign w:val="center"/>
          </w:tcPr>
          <w:p>
            <w:pPr>
              <w:pStyle w:val="TableContents"/>
              <w:bidi w:val="0"/>
              <w:spacing w:lineRule="auto" w:line="285" w:before="0" w:after="0"/>
              <w:ind w:left="0" w:right="0" w:hanging="0"/>
              <w:jc w:val="both"/>
              <w:rPr>
                <w:rFonts w:ascii="Aptos" w:hAnsi="Aptos"/>
                <w:sz w:val="20"/>
              </w:rPr>
            </w:pPr>
            <w:r>
              <w:rPr>
                <w:rFonts w:ascii="Times New Roman;Times;serif" w:hAnsi="Times New Roman;Times;serif"/>
                <w:sz w:val="20"/>
              </w:rPr>
              <w:t xml:space="preserve">Subject to the provisions of Paragraph 7(a), each RSU in which the Participant vests in accordance with the foregoing Vesting Schedule or pursuant to the vesting acceleration provisions of Paragraph 3 or 5 of this Agreement shall be settled in Shares on the date that the RSU vests or as soon thereafter as administratively practicable, but in no event later than the </w:t>
            </w:r>
            <w:r>
              <w:rPr>
                <w:rFonts w:ascii="Times New Roman;Times;serif" w:hAnsi="Times New Roman;Times;serif"/>
                <w:b/>
                <w:i/>
                <w:sz w:val="20"/>
              </w:rPr>
              <w:t xml:space="preserve">later </w:t>
            </w:r>
            <w:r>
              <w:rPr>
                <w:rFonts w:ascii="Times New Roman;Times;serif" w:hAnsi="Times New Roman;Times;serif"/>
                <w:sz w:val="20"/>
              </w:rPr>
              <w:t>of (i) the close of the calendar year in which that RSU vests or (ii) the fifteenth day of the third calendar month following such vesting date (the “Issuance Date”).</w:t>
            </w:r>
          </w:p>
        </w:tc>
      </w:tr>
    </w:tbl>
    <w:p>
      <w:pPr>
        <w:pStyle w:val="TextBody"/>
        <w:bidi w:val="0"/>
        <w:spacing w:lineRule="auto" w:line="331" w:before="0" w:after="160"/>
        <w:ind w:left="0" w:right="0" w:hanging="0"/>
        <w:jc w:val="both"/>
        <w:rPr/>
      </w:pPr>
      <w:r>
        <w:rPr/>
        <w: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2.</w:t>
      </w:r>
      <w:r>
        <w:rPr>
          <w:rFonts w:ascii="Times New Roman;Times;serif" w:hAnsi="Times New Roman;Times;serif"/>
          <w:b/>
          <w:sz w:val="20"/>
        </w:rPr>
        <w:t>Limited Transferability</w:t>
      </w:r>
      <w:r>
        <w:rPr>
          <w:rFonts w:ascii="Times New Roman;Times;serif" w:hAnsi="Times New Roman;Times;serif"/>
          <w:sz w:val="20"/>
        </w:rPr>
        <w:t>.  Prior to the actual issuance of the Shares hereunder, Participant may not transfer any interest in the RSUs or the underlying Shares or pledge or otherwise hedge the sale of those RSUs or Shares, including (without limitation) any short sale or any acquisition or disposition of any put or call option or other instrument tied to the value of those RSUs or Shares.  However, any Shares underlying RSUs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issue the stock certificates for any Shares which in fact become issuable hereunder to one or more designated Family Members or a trust established for Participant and/or his or her Family Members.  Participant may make such a beneficiary designation or certificate directive at any time by filing the appropriate form with the Plan Administrator or its designee.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3.</w:t>
      </w:r>
      <w:r>
        <w:rPr>
          <w:rFonts w:ascii="Times New Roman;Times;serif" w:hAnsi="Times New Roman;Times;serif"/>
          <w:b/>
          <w:sz w:val="20"/>
        </w:rPr>
        <w:t>Cessation of Service</w:t>
      </w:r>
      <w:r>
        <w:rPr>
          <w:rFonts w:ascii="Times New Roman;Times;serif" w:hAnsi="Times New Roman;Times;serif"/>
          <w:sz w:val="20"/>
        </w:rPr>
        <w:t>.  The RSUs shall, to the extent not previously vested, immediately vest in full upon Participant’s cessation of Board service by reason of death, Permanent Disability or Retirement.  Upon the resignation from Board service for any other reason by Participant, except in connection with the removal or threatened removal of Participant from the Board in accordance with the Corporation’s Bylaws or the Hawaii Business Corporation Act, the RSUs shall vest on a prorated basis measured by the number of complete months of service as a member of the Board following the Award Date divided by 12 upon Board approval.  Should Participant cease Board service for any other reason prior to vesting in one or more RSUs, then any unvested RSUs will be immediately cancelled.  Participant shall thereupon cease to have any right or entitlement to receive any Shares under those cancelled RSUs.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4.</w:t>
      </w:r>
      <w:r>
        <w:rPr>
          <w:rFonts w:ascii="Times New Roman;Times;serif" w:hAnsi="Times New Roman;Times;serif"/>
          <w:b/>
          <w:sz w:val="20"/>
        </w:rPr>
        <w:t>Shareholder Rights and Dividend Equivalents</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(a)Participant shall not have any shareholder rights, including voting, dividend or liquidation rights, with respect to the Shares subject to the Award until Participant becomes the record holder of those Shares following their actual issuance.</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(b)Notwithstanding the foregoing, should any dividend or other distribution payable other than in shares of Common Stock be declared and paid on the outstanding Common Stock while one or more Shares remain subject to this Award (i.e., those Shares are not otherwise issued and outstanding for purposes of entitlement to the dividend or distribution), then </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a special book account shall be established for Participant and credited with a phantom dividend equivalent to the actual dividend or distribution which would have been paid on those Shares had they been issued and outstanding and entitled to that dividend or distribution.  As the RSUs vest hereunder, the phantom dividend equivalents that are credited to the Shares underlying such RSUs in the book account shall concurrently vest, and those vested dividend equivalents shall subsequently be distributed to Participant (in cash or such other form as the Plan Administrator may deem appropriate in its sole discretion) at the same time the Shares to which those phantom dividend equivalents relate are issued.</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5.</w:t>
      </w:r>
      <w:r>
        <w:rPr>
          <w:rFonts w:ascii="Times New Roman;Times;serif" w:hAnsi="Times New Roman;Times;serif"/>
          <w:b/>
          <w:sz w:val="20"/>
        </w:rPr>
        <w:t>Change in Control</w:t>
      </w:r>
      <w:r>
        <w:rPr>
          <w:rFonts w:ascii="Times New Roman;Times;serif" w:hAnsi="Times New Roman;Times;serif"/>
          <w:sz w:val="20"/>
        </w:rPr>
        <w:t xml:space="preserve">.  The RSUs shall immediately vest in full upon Participant’s continuation in Board service until the effective date of any Change in Control transaction.  The vested RSUs will be settled in Shares immediately upon such effective date or as soon as administratively practicable thereafter, but in no event more than fifteen (15) business days after such effective date.  Alternatively, the Participant’s right to the Shares may, pursuant to the terms of the Change in Control transaction, be converted into the right to receive the same consideration per share of Common Stock payable to the other shareholders of the Corporation in consummation of the Change in Control and distributed at the same time as such shareholder payments, but such distribution to Participant shall in all events be completed no later than the </w:t>
      </w:r>
      <w:r>
        <w:rPr>
          <w:rFonts w:ascii="Times New Roman;Times;serif" w:hAnsi="Times New Roman;Times;serif"/>
          <w:b/>
          <w:i/>
          <w:sz w:val="20"/>
        </w:rPr>
        <w:t xml:space="preserve">later </w:t>
      </w:r>
      <w:r>
        <w:rPr>
          <w:rFonts w:ascii="Times New Roman;Times;serif" w:hAnsi="Times New Roman;Times;serif"/>
          <w:sz w:val="20"/>
        </w:rPr>
        <w:t>of (a) the close of the calendar year in which such Change in Control is effected or (b) the fifteenth (15th) of the third (3rd) calendar month following the effective date of that Change in Control.</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6.</w:t>
      </w:r>
      <w:r>
        <w:rPr>
          <w:rFonts w:ascii="Times New Roman;Times;serif" w:hAnsi="Times New Roman;Times;serif"/>
          <w:b/>
          <w:sz w:val="20"/>
        </w:rPr>
        <w:t>Adjustment in Shares</w:t>
      </w:r>
      <w:r>
        <w:rPr>
          <w:rFonts w:ascii="Times New Roman;Times;serif" w:hAnsi="Times New Roman;Times;serif"/>
          <w:sz w:val="20"/>
        </w:rPr>
        <w:t>.  Should any change be made to the Common Stock by reason of any stock split, stock dividend, recapitalization, combination of shares, exchange of shares, spin-off transaction or other change affecting the outstanding Common Stock as a class without the Corporation’s receipt of consideration, or should the value of the outstanding shares of Common Stock be substantially reduced as a result of a spin-off transaction or an extraordinary dividend or distribution, or should there occur any merger, consolidation or other reorganization, then equitable adjustments shall be made by the Plan Administrator to the total number and/or class of securities issuable pursuant to this Award in order to reflect such change and thereby prevent a dilution or enlargement of benefits hereunder.  In making such equitable adjustments, the Plan Administrator shall take into account any amounts to be credited to Participant’s book account under Paragraph 4(b) in connection with the transaction, and the determination of the Plan Administrator shall be final, binding and conclusive.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7.</w:t>
      </w:r>
      <w:r>
        <w:rPr>
          <w:rFonts w:ascii="Times New Roman;Times;serif" w:hAnsi="Times New Roman;Times;serif"/>
          <w:b/>
          <w:sz w:val="20"/>
        </w:rPr>
        <w:t>Issuance of Shares of Common Stock</w:t>
      </w:r>
      <w:r>
        <w:rPr>
          <w:rFonts w:ascii="Times New Roman;Times;serif" w:hAnsi="Times New Roman;Times;serif"/>
          <w:sz w:val="20"/>
        </w:rPr>
        <w:t>.</w:t>
      </w:r>
    </w:p>
    <w:p>
      <w:pPr>
        <w:pStyle w:val="TextBody"/>
        <w:bidi w:val="0"/>
        <w:spacing w:lineRule="auto" w:line="285" w:before="0" w:after="240"/>
        <w:ind w:left="0" w:right="0" w:firstLine="2160"/>
        <w:jc w:val="both"/>
        <w:rPr>
          <w:rFonts w:ascii="Aptos" w:hAnsi="Aptos"/>
          <w:sz w:val="20"/>
        </w:rPr>
      </w:pPr>
      <w:r>
        <w:rPr>
          <w:rFonts w:ascii="Times New Roman;Times;serif" w:hAnsi="Times New Roman;Times;serif"/>
          <w:sz w:val="20"/>
        </w:rPr>
        <w:t xml:space="preserve">(a)Except as otherwise provided in Paragraph 5, on each applicable Issuance Date for the Shares underlying the RSUs which vest in accordance with the terms of this Agreement, the Corporation shall issue to or on behalf of Participant a certificate (which may be in electronic form) for the vested shares of Common Stock to be issued on such date and shall concurrently distribute to Participant any phantom dividend equivalents with respect to those vested Shares.  Notwithstanding the foregoing, should Participant attain Retirement age prior to completion of the normal Vesting Schedule set forth in Paragraph 1, then any Shares in which Participant may, pursuant to Section 409A of the Code (“Section 409A”), be deemed to vest at that time shall be issued upon the </w:t>
      </w:r>
      <w:r>
        <w:rPr>
          <w:rFonts w:ascii="Times New Roman;Times;serif" w:hAnsi="Times New Roman;Times;serif"/>
          <w:b/>
          <w:i/>
          <w:sz w:val="20"/>
        </w:rPr>
        <w:t xml:space="preserve">earliest </w:t>
      </w:r>
      <w:r>
        <w:rPr>
          <w:rFonts w:ascii="Times New Roman;Times;serif" w:hAnsi="Times New Roman;Times;serif"/>
          <w:sz w:val="20"/>
        </w:rPr>
        <w:t xml:space="preserve">to occur of (i) the Issuance Date which would otherwise apply to those Shares under this Agreement had Participant not reached Retirement age, (ii) the </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date of Participant’s cessation of Board service or (iii) the effective date of a Change in Control (with the issuance in such latter event to be governed by the terms of Paragraph 5 above).</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(b)Except as otherwise provided in Paragraph 5, the settlement of all RSUs which vest under this Award shall be made solely in shares of Common Stock.  In no event, however, shall any fractional shares be issued.  Accordingly, the total number of shares of Common Stock to be issued at the time the Award vests shall, to the extent necessary, be rounded up to the next whole share in order to avoid the issuance of a fractional share.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8.</w:t>
      </w:r>
      <w:r>
        <w:rPr>
          <w:rFonts w:ascii="Times New Roman;Times;serif" w:hAnsi="Times New Roman;Times;serif"/>
          <w:b/>
          <w:sz w:val="20"/>
        </w:rPr>
        <w:t>Compliance with Laws and Regulations</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(a)The issuance of shares of 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(b)The inability of the Corporation to obtain approval from any regulatory body having authority deemed by the Corporation to be necessary to the lawful issuance of any Common Stock hereby shall relieve the Corporation of any liability with respect to the non-issuance of the Common Stock as to which such approval shall not have been obtained.  The Corporation, however, shall use its best efforts to obtain all such approvals.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9.</w:t>
      </w:r>
      <w:r>
        <w:rPr>
          <w:rFonts w:ascii="Times New Roman;Times;serif" w:hAnsi="Times New Roman;Times;serif"/>
          <w:b/>
          <w:sz w:val="20"/>
        </w:rPr>
        <w:t>Successors and Assigns</w:t>
      </w:r>
      <w:r>
        <w:rPr>
          <w:rFonts w:ascii="Times New Roman;Times;serif" w:hAnsi="Times New Roman;Times;serif"/>
          <w:sz w:val="20"/>
        </w:rPr>
        <w:t>.  Except to the extent otherwise provided in this 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10.</w:t>
      </w:r>
      <w:r>
        <w:rPr>
          <w:rFonts w:ascii="Times New Roman;Times;serif" w:hAnsi="Times New Roman;Times;serif"/>
          <w:b/>
          <w:sz w:val="20"/>
        </w:rPr>
        <w:t>Notices</w:t>
      </w:r>
      <w:r>
        <w:rPr>
          <w:rFonts w:ascii="Times New Roman;Times;serif" w:hAnsi="Times New Roman;Times;serif"/>
          <w:sz w:val="20"/>
        </w:rPr>
        <w:t>.  Any notice required to be given or delivered to the Corporation under the terms of this Agreement shall be in writing and addressed to the Corporation at its principal corporate offices.  Any notice required to be given or delivered to Participant shall be in writing and addressed to Participant at the address on file with the Corporation.  All notices shall be deemed effective upon personal delivery or upon deposit in the U.S. mail, postage prepaid and properly addressed to the party to be notified.</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11.</w:t>
      </w:r>
      <w:r>
        <w:rPr>
          <w:rFonts w:ascii="Times New Roman;Times;serif" w:hAnsi="Times New Roman;Times;serif"/>
          <w:b/>
          <w:sz w:val="20"/>
        </w:rPr>
        <w:t>Construction</w:t>
      </w:r>
      <w:r>
        <w:rPr>
          <w:rFonts w:ascii="Times New Roman;Times;serif" w:hAnsi="Times New Roman;Times;serif"/>
          <w:sz w:val="20"/>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(a)This Agreement and the Award evidenced hereby are made and granted pursuant to the Plan and are in all respects limited by and subject to the terms of the Plan.  All decisions of the Plan Administrator with respect to any question or issue arising under the Plan or this Agreement shall be conclusive and binding on all persons having an interest in the Award.</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(b)To the extent there is any ambiguity as to whether any provision of this Agreement would otherwise contravene one or more applicable requirements or limitations of Section 409A and the Treasury Regulations thereunder, that provision shall be interpreted and applied in a manner that complies with the applicable requirements of Section 409A and the Treasury Regulations thereunder.</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2160"/>
        <w:jc w:val="both"/>
        <w:rPr>
          <w:rFonts w:ascii="Times New Roman;Times;serif" w:hAnsi="Times New Roman;Times;serif"/>
          <w:sz w:val="20"/>
        </w:rPr>
      </w:pPr>
      <w:r>
        <w:rPr>
          <w:rFonts w:ascii="Times New Roman;Times;serif" w:hAnsi="Times New Roman;Times;serif"/>
          <w:sz w:val="20"/>
        </w:rPr>
        <w:t>(c)This Agreement shall not in any way affect the right of the Corporation to adjust, reclassify, reorganize or otherwise make changes in its capital or business structure or to merge, consolidate, dissolve, liquidate or sell or transfer all or any part of its business or assets.  In addition, this Agreement shall not in any way be construed or interpreted so as to affect adversely or otherwise impair the right of the Corporation or its shareholders to remove Participant from the Board at any time in accordance with the provisions of applicable law.</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12.</w:t>
      </w:r>
      <w:r>
        <w:rPr>
          <w:rFonts w:ascii="Times New Roman;Times;serif" w:hAnsi="Times New Roman;Times;serif"/>
          <w:b/>
          <w:sz w:val="20"/>
        </w:rPr>
        <w:t>Governing Law</w:t>
      </w:r>
      <w:r>
        <w:rPr>
          <w:rFonts w:ascii="Times New Roman;Times;serif" w:hAnsi="Times New Roman;Times;serif"/>
          <w:sz w:val="20"/>
        </w:rPr>
        <w:t>.  The interpretation, performance and enforcement of this Agreement shall be governed by the laws of the State of Hawaii without resort to that State’s conflict-of-laws rules.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sz w:val="20"/>
        </w:rPr>
        <w:t>13.</w:t>
      </w:r>
      <w:r>
        <w:rPr>
          <w:rFonts w:ascii="Times New Roman;Times;serif" w:hAnsi="Times New Roman;Times;serif"/>
          <w:b/>
          <w:sz w:val="20"/>
        </w:rPr>
        <w:t>Section 409A</w:t>
      </w:r>
      <w:r>
        <w:rPr>
          <w:rFonts w:ascii="Times New Roman;Times;serif" w:hAnsi="Times New Roman;Times;serif"/>
          <w:sz w:val="20"/>
        </w:rPr>
        <w:t>.  Notwithstanding any provision to the contrary in this Agreement, to the extent this Award may be deemed to create a deferred compensation arrangement under Section 409A, then Participant’s right to receive each installment of Shares or other installment distribution pursuant to the terms of this Agreement shall, for purposes of Section 409A, be treated as a right to receive a series of separate payments.</w:t>
      </w:r>
    </w:p>
    <w:p>
      <w:pPr>
        <w:pStyle w:val="TextBody"/>
        <w:bidi w:val="0"/>
        <w:spacing w:lineRule="auto" w:line="285" w:before="0" w:after="240"/>
        <w:ind w:left="0" w:right="0" w:firstLine="1440"/>
        <w:jc w:val="both"/>
        <w:rPr>
          <w:rFonts w:ascii="Aptos" w:hAnsi="Aptos"/>
          <w:sz w:val="20"/>
        </w:rPr>
      </w:pPr>
      <w:r>
        <w:rPr>
          <w:rFonts w:ascii="Times New Roman;Times;serif" w:hAnsi="Times New Roman;Times;serif"/>
          <w:b/>
          <w:sz w:val="20"/>
        </w:rPr>
        <w:t>IN WITNESS WHEREOF</w:t>
      </w:r>
      <w:r>
        <w:rPr>
          <w:rFonts w:ascii="Times New Roman;Times;serif" w:hAnsi="Times New Roman;Times;serif"/>
          <w:sz w:val="20"/>
        </w:rPr>
        <w:t>, the parties have executed this Agreement as of the Award Date first indicated above.</w:t>
      </w:r>
    </w:p>
    <w:tbl>
      <w:tblPr>
        <w:tblW w:w="1616" w:type="dxa"/>
        <w:jc w:val="left"/>
        <w:tblInd w:w="0" w:type="dxa"/>
        <w:tblLayout w:type="fixed"/>
        <w:tblCellMar>
          <w:top w:w="0" w:type="dxa"/>
          <w:left w:w="0" w:type="dxa"/>
          <w:bottom w:w="0" w:type="dxa"/>
          <w:right w:w="0" w:type="dxa"/>
        </w:tblCellMar>
      </w:tblPr>
      <w:tblGrid>
        <w:gridCol w:w="124"/>
        <w:gridCol w:w="1151"/>
        <w:gridCol w:w="140"/>
        <w:gridCol w:w="201"/>
      </w:tblGrid>
      <w:tr>
        <w:trPr/>
        <w:tc>
          <w:tcPr>
            <w:tcW w:w="124" w:type="dxa"/>
            <w:tcBorders/>
            <w:vAlign w:val="center"/>
          </w:tcPr>
          <w:p>
            <w:pPr>
              <w:pStyle w:val="TableContents"/>
              <w:bidi w:val="0"/>
              <w:spacing w:lineRule="auto" w:line="285" w:before="0" w:after="0"/>
              <w:ind w:left="0" w:right="0" w:hanging="0"/>
              <w:jc w:val="left"/>
              <w:rPr/>
            </w:pPr>
            <w:r>
              <w:rPr/>
              <w:t>​</w:t>
            </w:r>
          </w:p>
        </w:tc>
        <w:tc>
          <w:tcPr>
            <w:tcW w:w="1151"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lineRule="auto" w:line="285" w:before="0" w:after="0"/>
              <w:ind w:left="0" w:right="0" w:hanging="0"/>
              <w:jc w:val="left"/>
              <w:rPr/>
            </w:pPr>
            <w:r>
              <w:rPr/>
              <w:t>​</w:t>
            </w:r>
          </w:p>
        </w:tc>
        <w:tc>
          <w:tcPr>
            <w:tcW w:w="20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492" w:type="dxa"/>
            <w:gridSpan w:val="3"/>
            <w:tcBorders/>
            <w:vAlign w:val="center"/>
          </w:tcPr>
          <w:p>
            <w:pPr>
              <w:pStyle w:val="TableContents"/>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MATSON, INC.</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pPr>
            <w:r>
              <w:rPr/>
              <w:t>​</w:t>
            </w:r>
          </w:p>
        </w:tc>
        <w:tc>
          <w:tcPr>
            <w:tcW w:w="341" w:type="dxa"/>
            <w:gridSpan w:val="2"/>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pPr>
            <w:r>
              <w:rPr/>
              <w:t>​</w:t>
            </w:r>
          </w:p>
        </w:tc>
        <w:tc>
          <w:tcPr>
            <w:tcW w:w="341" w:type="dxa"/>
            <w:gridSpan w:val="2"/>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3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pPr>
            <w:r>
              <w:rPr/>
              <w:t>​</w:t>
            </w:r>
          </w:p>
        </w:tc>
        <w:tc>
          <w:tcPr>
            <w:tcW w:w="341" w:type="dxa"/>
            <w:gridSpan w:val="2"/>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pPr>
            <w:r>
              <w:rPr/>
              <w:t>​</w:t>
            </w:r>
          </w:p>
        </w:tc>
        <w:tc>
          <w:tcPr>
            <w:tcW w:w="341" w:type="dxa"/>
            <w:gridSpan w:val="2"/>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492" w:type="dxa"/>
            <w:gridSpan w:val="3"/>
            <w:tcBorders/>
            <w:vAlign w:val="center"/>
          </w:tcPr>
          <w:p>
            <w:pPr>
              <w:pStyle w:val="TableContents"/>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PARTICIPANT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pPr>
            <w:r>
              <w:rPr/>
              <w:t>​</w:t>
            </w:r>
          </w:p>
        </w:tc>
        <w:tc>
          <w:tcPr>
            <w:tcW w:w="341" w:type="dxa"/>
            <w:gridSpan w:val="2"/>
            <w:tcBorders/>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Signature:</w:t>
            </w:r>
          </w:p>
        </w:tc>
        <w:tc>
          <w:tcPr>
            <w:tcW w:w="3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r>
      <w:tr>
        <w:trPr/>
        <w:tc>
          <w:tcPr>
            <w:tcW w:w="124" w:type="dxa"/>
            <w:tcBorders/>
            <w:vAlign w:val="center"/>
          </w:tcPr>
          <w:p>
            <w:pPr>
              <w:pStyle w:val="TableContents"/>
              <w:bidi w:val="0"/>
              <w:spacing w:lineRule="auto" w:line="285" w:before="0" w:after="0"/>
              <w:ind w:left="0" w:right="0" w:hanging="0"/>
              <w:jc w:val="both"/>
              <w:rPr/>
            </w:pPr>
            <w:r>
              <w:rPr/>
              <w:t>​</w:t>
            </w:r>
          </w:p>
        </w:tc>
        <w:tc>
          <w:tcPr>
            <w:tcW w:w="1151" w:type="dxa"/>
            <w:tcBorders/>
            <w:vAlign w:val="center"/>
          </w:tcPr>
          <w:p>
            <w:pPr>
              <w:pStyle w:val="TableContents"/>
              <w:bidi w:val="0"/>
              <w:spacing w:lineRule="auto" w:line="285" w:before="0" w:after="0"/>
              <w:ind w:left="0" w:right="0" w:hanging="0"/>
              <w:jc w:val="both"/>
              <w:rPr/>
            </w:pPr>
            <w:r>
              <w:rPr/>
              <w:t>​</w:t>
            </w:r>
          </w:p>
        </w:tc>
        <w:tc>
          <w:tcPr>
            <w:tcW w:w="341" w:type="dxa"/>
            <w:gridSpan w:val="2"/>
            <w:tcBorders/>
            <w:vAlign w:val="center"/>
          </w:tcPr>
          <w:p>
            <w:pPr>
              <w:pStyle w:val="TableContents"/>
              <w:bidi w:val="0"/>
              <w:spacing w:lineRule="auto" w:line="285" w:before="0" w:after="0"/>
              <w:ind w:left="0" w:right="0" w:hanging="0"/>
              <w:jc w:val="both"/>
              <w:rPr/>
            </w:pPr>
            <w:r>
              <w:rPr/>
              <w:t>​</w:t>
            </w:r>
          </w:p>
        </w:tc>
      </w:tr>
    </w:tbl>
    <w:p>
      <w:pPr>
        <w:pStyle w:val="TextBody"/>
        <w:bidi w:val="0"/>
        <w:spacing w:lineRule="auto" w:line="331" w:before="0" w:after="160"/>
        <w:ind w:left="0" w:right="0" w:hanging="0"/>
        <w:jc w:val="both"/>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APPENDIX A</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DEFINITIONS</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Agreement</w:t>
      </w:r>
      <w:r>
        <w:rPr>
          <w:rFonts w:ascii="Aptos" w:hAnsi="Aptos"/>
          <w:sz w:val="20"/>
        </w:rPr>
        <w:t xml:space="preserve"> </w:t>
      </w:r>
      <w:r>
        <w:rPr>
          <w:rFonts w:ascii="Times New Roman;Times;serif" w:hAnsi="Times New Roman;Times;serif"/>
          <w:sz w:val="20"/>
        </w:rPr>
        <w:t>shall mean this Restricted Stock Unit Award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B.</w:t>
      </w:r>
      <w:r>
        <w:rPr>
          <w:rFonts w:ascii="Times New Roman;Times;serif" w:hAnsi="Times New Roman;Times;serif"/>
          <w:b/>
          <w:sz w:val="20"/>
        </w:rPr>
        <w:t>Award</w:t>
      </w:r>
      <w:r>
        <w:rPr>
          <w:rFonts w:ascii="Aptos" w:hAnsi="Aptos"/>
          <w:sz w:val="20"/>
        </w:rPr>
        <w:t xml:space="preserve"> </w:t>
      </w:r>
      <w:r>
        <w:rPr>
          <w:rFonts w:ascii="Times New Roman;Times;serif" w:hAnsi="Times New Roman;Times;serif"/>
          <w:sz w:val="20"/>
        </w:rPr>
        <w:t>shall mean the award of restricted stock units made to Participant pursuant to the terms of this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C.</w:t>
      </w:r>
      <w:r>
        <w:rPr>
          <w:rFonts w:ascii="Times New Roman;Times;serif" w:hAnsi="Times New Roman;Times;serif"/>
          <w:b/>
          <w:sz w:val="20"/>
        </w:rPr>
        <w:t>Award Date</w:t>
      </w:r>
      <w:r>
        <w:rPr>
          <w:rFonts w:ascii="Aptos" w:hAnsi="Aptos"/>
          <w:sz w:val="20"/>
        </w:rPr>
        <w:t xml:space="preserve"> </w:t>
      </w:r>
      <w:r>
        <w:rPr>
          <w:rFonts w:ascii="Times New Roman;Times;serif" w:hAnsi="Times New Roman;Times;serif"/>
          <w:sz w:val="20"/>
        </w:rPr>
        <w:t>shall mean the date the restricted stock units are awarded to Participant pursuant to the Agreement and shall be the date indicated in Paragraph 1 of the Agreement.</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D.</w:t>
      </w:r>
      <w:r>
        <w:rPr>
          <w:rFonts w:ascii="Times New Roman;Times;serif" w:hAnsi="Times New Roman;Times;serif"/>
          <w:b/>
          <w:sz w:val="20"/>
        </w:rPr>
        <w:t>Participant</w:t>
      </w:r>
      <w:r>
        <w:rPr>
          <w:rFonts w:ascii="Aptos" w:hAnsi="Aptos"/>
          <w:sz w:val="20"/>
        </w:rPr>
        <w:t xml:space="preserve"> </w:t>
      </w:r>
      <w:r>
        <w:rPr>
          <w:rFonts w:ascii="Times New Roman;Times;serif" w:hAnsi="Times New Roman;Times;serif"/>
          <w:sz w:val="20"/>
        </w:rPr>
        <w:t>shall mean the non-employee Board member to whom the Award is made pursuant to the Automatic Grant Program.</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E.</w:t>
      </w:r>
      <w:r>
        <w:rPr>
          <w:rFonts w:ascii="Times New Roman;Times;serif" w:hAnsi="Times New Roman;Times;serif"/>
          <w:b/>
          <w:sz w:val="20"/>
        </w:rPr>
        <w:t>Permanent Disability</w:t>
      </w:r>
      <w:r>
        <w:rPr>
          <w:rFonts w:ascii="Aptos" w:hAnsi="Aptos"/>
          <w:sz w:val="20"/>
        </w:rPr>
        <w:t xml:space="preserve"> </w:t>
      </w:r>
      <w:r>
        <w:rPr>
          <w:rFonts w:ascii="Times New Roman;Times;serif" w:hAnsi="Times New Roman;Times;serif"/>
          <w:sz w:val="20"/>
        </w:rPr>
        <w:t>shall mean the inability of Participant to perform his or her usual duties as a Board member by reason of any medically determinable physical or mental impairment expected to result in death or to be of continuous duration of twelve (12) months or more.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F.</w:t>
      </w:r>
      <w:r>
        <w:rPr>
          <w:rFonts w:ascii="Times New Roman;Times;serif" w:hAnsi="Times New Roman;Times;serif"/>
          <w:b/>
          <w:sz w:val="20"/>
        </w:rPr>
        <w:t>Plan</w:t>
      </w:r>
      <w:r>
        <w:rPr>
          <w:rFonts w:ascii="Aptos" w:hAnsi="Aptos"/>
          <w:sz w:val="20"/>
        </w:rPr>
        <w:t xml:space="preserve"> </w:t>
      </w:r>
      <w:r>
        <w:rPr>
          <w:rFonts w:ascii="Times New Roman;Times;serif" w:hAnsi="Times New Roman;Times;serif"/>
          <w:sz w:val="20"/>
        </w:rPr>
        <w:t>shall mean the Corporation’s 2025 Incentive Compensation Plan, as amended from time to time.</w:t>
      </w:r>
    </w:p>
    <w:p>
      <w:pPr>
        <w:pStyle w:val="TextBody"/>
        <w:bidi w:val="0"/>
        <w:spacing w:lineRule="auto" w:line="285" w:before="0" w:after="240"/>
        <w:ind w:left="0" w:right="0" w:hanging="0"/>
        <w:jc w:val="left"/>
        <w:rPr>
          <w:rFonts w:ascii="Aptos" w:hAnsi="Aptos"/>
          <w:sz w:val="20"/>
        </w:rPr>
      </w:pPr>
      <w:r>
        <w:rPr>
          <w:rFonts w:ascii="Times New Roman;Times;serif" w:hAnsi="Times New Roman;Times;serif"/>
          <w:b w:val="false"/>
          <w:i w:val="false"/>
          <w:caps w:val="false"/>
          <w:smallCaps w:val="false"/>
          <w:sz w:val="20"/>
        </w:rPr>
        <w:t>G.</w:t>
      </w:r>
      <w:r>
        <w:rPr>
          <w:rFonts w:ascii="Times New Roman;Times;serif" w:hAnsi="Times New Roman;Times;serif"/>
          <w:b/>
          <w:sz w:val="20"/>
        </w:rPr>
        <w:t>Retirement</w:t>
      </w:r>
      <w:r>
        <w:rPr>
          <w:rFonts w:ascii="Aptos" w:hAnsi="Aptos"/>
          <w:sz w:val="20"/>
        </w:rPr>
        <w:t xml:space="preserve"> </w:t>
      </w:r>
      <w:r>
        <w:rPr>
          <w:rFonts w:ascii="Times New Roman;Times;serif" w:hAnsi="Times New Roman;Times;serif"/>
          <w:sz w:val="20"/>
        </w:rPr>
        <w:t>shall mean the cessation of Board service by reason of retirement at or after the attainment of age seventy-five (75).</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APPENDIX A-1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96" w:name="matx-20250630xex31d1.htm"/>
      <w:bookmarkStart w:id="1497" w:name="ksmatx20250630xex31d1"/>
      <w:bookmarkEnd w:id="1496"/>
      <w:bookmarkEnd w:id="1497"/>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Rule 13a-14(a) or 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Matthew J. Cox,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4957" w:type="dxa"/>
        <w:jc w:val="left"/>
        <w:tblInd w:w="0" w:type="dxa"/>
        <w:tblLayout w:type="fixed"/>
        <w:tblCellMar>
          <w:top w:w="0" w:type="dxa"/>
          <w:left w:w="0" w:type="dxa"/>
          <w:bottom w:w="0" w:type="dxa"/>
          <w:right w:w="0" w:type="dxa"/>
        </w:tblCellMar>
      </w:tblPr>
      <w:tblGrid>
        <w:gridCol w:w="1846"/>
        <w:gridCol w:w="109"/>
        <w:gridCol w:w="346"/>
        <w:gridCol w:w="2656"/>
      </w:tblGrid>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 Chairman 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1, 2025</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98" w:name="matx-20250630xex31d2.htm"/>
      <w:bookmarkStart w:id="1499" w:name="ksmatx20250630xex31d2"/>
      <w:bookmarkEnd w:id="1498"/>
      <w:bookmarkEnd w:id="1499"/>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Rule 13a-14(a) or 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Joel M. Wine,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6007" w:type="dxa"/>
        <w:jc w:val="left"/>
        <w:tblInd w:w="0" w:type="dxa"/>
        <w:tblLayout w:type="fixed"/>
        <w:tblCellMar>
          <w:top w:w="0" w:type="dxa"/>
          <w:left w:w="0" w:type="dxa"/>
          <w:bottom w:w="0" w:type="dxa"/>
          <w:right w:w="0" w:type="dxa"/>
        </w:tblCellMar>
      </w:tblPr>
      <w:tblGrid>
        <w:gridCol w:w="1846"/>
        <w:gridCol w:w="109"/>
        <w:gridCol w:w="346"/>
        <w:gridCol w:w="3706"/>
      </w:tblGrid>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 Executive Vice President 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1, 2025</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500" w:name="matx-20250630xex32.htm"/>
      <w:bookmarkStart w:id="1501" w:name="ksmatx20250630xex32"/>
      <w:bookmarkEnd w:id="1500"/>
      <w:bookmarkEnd w:id="1501"/>
      <w:r>
        <w:rPr>
          <w:rFonts w:ascii="Times New Roman;Times;serif" w:hAnsi="Times New Roman;Times;serif"/>
          <w:b/>
          <w:sz w:val="20"/>
        </w:rPr>
        <w:t>EXHIBIT 32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Section 1350</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on Form 10-Q of Matson, Inc. (the “Company”) for the quarterly period ended June 30, 2025,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5305" w:type="dxa"/>
        <w:jc w:val="left"/>
        <w:tblInd w:w="0" w:type="dxa"/>
        <w:tblLayout w:type="fixed"/>
        <w:tblCellMar>
          <w:top w:w="0" w:type="dxa"/>
          <w:left w:w="0" w:type="dxa"/>
          <w:bottom w:w="0" w:type="dxa"/>
          <w:right w:w="0" w:type="dxa"/>
        </w:tblCellMar>
      </w:tblPr>
      <w:tblGrid>
        <w:gridCol w:w="646"/>
        <w:gridCol w:w="4396"/>
        <w:gridCol w:w="109"/>
        <w:gridCol w:w="154"/>
      </w:tblGrid>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1, 2025</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1, 2025</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 w:name="Book Antiqua">
    <w:charset w:val="01"/>
    <w:family w:val="auto"/>
    <w:pitch w:val="default"/>
  </w:font>
  <w:font w:name="Apto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3453/000155837025006367/matx-20250331x10q.htm" TargetMode="External"/><Relationship Id="rId3" Type="http://schemas.openxmlformats.org/officeDocument/2006/relationships/hyperlink" Target="https://www.sec.gov/ix?doc=/Archives/edgar/data/3453/000155837025001875/matx-20241231x10k.htm" TargetMode="External"/><Relationship Id="rId4" Type="http://schemas.openxmlformats.org/officeDocument/2006/relationships/hyperlink" Target="https://www.sec.gov/ix?doc=/Archives/edgar/data/3453/000155837025001875/matx-20241231x10k.htm" TargetMode="External"/><Relationship Id="rId5" Type="http://schemas.openxmlformats.org/officeDocument/2006/relationships/hyperlink" Target="https://www.sec.gov/ix?doc=/Archives/edgar/data/3453/000155837025001875/matx-20241231x10k.htm" TargetMode="External"/><Relationship Id="rId6" Type="http://schemas.openxmlformats.org/officeDocument/2006/relationships/hyperlink" Target="https://www.sec.gov/ix?doc=/Archives/edgar/data/3453/000155837025001875/matx-20241231x10k.htm" TargetMode="External"/><Relationship Id="rId7" Type="http://schemas.openxmlformats.org/officeDocument/2006/relationships/hyperlink" Target="https://www.sec.gov/ix?doc=/Archives/edgar/data/3453/000155837025001875/matx-20241231x10k.htm" TargetMode="External"/><Relationship Id="rId8" Type="http://schemas.openxmlformats.org/officeDocument/2006/relationships/hyperlink" Target="https://www.sec.gov/ix?doc=/Archives/edgar/data/3453/000155837025006367/matx-20250331x10q.htm" TargetMode="External"/><Relationship Id="rId9" Type="http://schemas.openxmlformats.org/officeDocument/2006/relationships/hyperlink" Target="https://www.sec.gov/Archives/edgar/data/3453/000155837025005686/matx-20250424xex10d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189807</Words>
  <Characters>998973</Characters>
  <CharactersWithSpaces>1191000</CharactersWithSpaces>
  <Paragraphs>13881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