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640" w:right="1200" w:hanging="325"/>
        <w:spacing w:after="0" w:line="256" w:lineRule="auto"/>
        <w:tabs>
          <w:tab w:leader="none" w:pos="8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5" w:lineRule="exact"/>
        <w:rPr>
          <w:sz w:val="24"/>
          <w:szCs w:val="24"/>
          <w:color w:val="auto"/>
        </w:rPr>
      </w:pPr>
    </w:p>
    <w:p>
      <w:pPr>
        <w:ind w:left="640" w:right="1180" w:hanging="325"/>
        <w:spacing w:after="0" w:line="256" w:lineRule="auto"/>
        <w:tabs>
          <w:tab w:leader="none" w:pos="8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5020" w:type="dxa"/>
            <w:vAlign w:val="bottom"/>
          </w:tcPr>
          <w:p>
            <w:pPr>
              <w:ind w:left="1880"/>
              <w:spacing w:after="0"/>
              <w:rPr>
                <w:sz w:val="20"/>
                <w:szCs w:val="20"/>
                <w:color w:val="auto"/>
              </w:rPr>
            </w:pPr>
            <w:r>
              <w:rPr>
                <w:rFonts w:ascii="Arial" w:cs="Arial" w:eastAsia="Arial" w:hAnsi="Arial"/>
                <w:sz w:val="18"/>
                <w:szCs w:val="18"/>
                <w:b w:val="1"/>
                <w:bCs w:val="1"/>
                <w:color w:val="auto"/>
              </w:rPr>
              <w:t>For the transition period from</w:t>
            </w:r>
          </w:p>
        </w:tc>
        <w:tc>
          <w:tcPr>
            <w:tcW w:w="2280" w:type="dxa"/>
            <w:vAlign w:val="bottom"/>
          </w:tcPr>
          <w:p>
            <w:pPr>
              <w:ind w:left="120"/>
              <w:spacing w:after="0"/>
              <w:rPr>
                <w:sz w:val="20"/>
                <w:szCs w:val="20"/>
                <w:color w:val="auto"/>
              </w:rPr>
            </w:pPr>
            <w:r>
              <w:rPr>
                <w:rFonts w:ascii="Arial" w:cs="Arial" w:eastAsia="Arial" w:hAnsi="Arial"/>
                <w:sz w:val="18"/>
                <w:szCs w:val="18"/>
                <w:b w:val="1"/>
                <w:bCs w:val="1"/>
                <w:color w:val="auto"/>
              </w:rPr>
              <w:t>to</w:t>
            </w:r>
          </w:p>
        </w:tc>
      </w:tr>
      <w:tr>
        <w:trPr>
          <w:trHeight w:val="351"/>
        </w:trPr>
        <w:tc>
          <w:tcPr>
            <w:tcW w:w="7300" w:type="dxa"/>
            <w:vAlign w:val="bottom"/>
            <w:gridSpan w:val="2"/>
          </w:tcPr>
          <w:p>
            <w:pPr>
              <w:jc w:val="center"/>
              <w:ind w:left="64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485"/>
        </w:trPr>
        <w:tc>
          <w:tcPr>
            <w:tcW w:w="5020" w:type="dxa"/>
            <w:vAlign w:val="bottom"/>
          </w:tcPr>
          <w:p>
            <w:pPr>
              <w:jc w:val="center"/>
              <w:ind w:left="2903"/>
              <w:spacing w:after="0"/>
              <w:rPr>
                <w:sz w:val="20"/>
                <w:szCs w:val="20"/>
                <w:color w:val="auto"/>
              </w:rPr>
            </w:pPr>
            <w:r>
              <w:rPr>
                <w:rFonts w:ascii="Arial" w:cs="Arial" w:eastAsia="Arial" w:hAnsi="Arial"/>
                <w:sz w:val="32"/>
                <w:szCs w:val="32"/>
                <w:b w:val="1"/>
                <w:bCs w:val="1"/>
                <w:color w:val="auto"/>
                <w:w w:val="94"/>
              </w:rPr>
              <w:t>Matson, Inc.</w:t>
            </w:r>
          </w:p>
        </w:tc>
        <w:tc>
          <w:tcPr>
            <w:tcW w:w="2280" w:type="dxa"/>
            <w:vAlign w:val="bottom"/>
          </w:tcPr>
          <w:p>
            <w:pPr>
              <w:spacing w:after="0"/>
              <w:rPr>
                <w:sz w:val="24"/>
                <w:szCs w:val="24"/>
                <w:color w:val="auto"/>
              </w:rPr>
            </w:pPr>
          </w:p>
        </w:tc>
      </w:tr>
      <w:tr>
        <w:trPr>
          <w:trHeight w:val="230"/>
        </w:trPr>
        <w:tc>
          <w:tcPr>
            <w:tcW w:w="7300" w:type="dxa"/>
            <w:vAlign w:val="bottom"/>
            <w:gridSpan w:val="2"/>
          </w:tcPr>
          <w:p>
            <w:pPr>
              <w:jc w:val="center"/>
              <w:ind w:left="64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10"/>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8"/>
              </w:rPr>
              <w:t>Hawaii</w:t>
            </w:r>
          </w:p>
        </w:tc>
        <w:tc>
          <w:tcPr>
            <w:tcW w:w="2280" w:type="dxa"/>
            <w:vAlign w:val="bottom"/>
          </w:tcPr>
          <w:p>
            <w:pPr>
              <w:jc w:val="right"/>
              <w:ind w:right="150"/>
              <w:spacing w:after="0"/>
              <w:rPr>
                <w:sz w:val="20"/>
                <w:szCs w:val="20"/>
                <w:color w:val="auto"/>
              </w:rPr>
            </w:pPr>
            <w:r>
              <w:rPr>
                <w:rFonts w:ascii="Arial" w:cs="Arial" w:eastAsia="Arial" w:hAnsi="Arial"/>
                <w:sz w:val="18"/>
                <w:szCs w:val="18"/>
                <w:b w:val="1"/>
                <w:bCs w:val="1"/>
                <w:color w:val="auto"/>
              </w:rPr>
              <w:t>99-0032630</w:t>
            </w:r>
          </w:p>
        </w:tc>
      </w:tr>
      <w:tr>
        <w:trPr>
          <w:trHeight w:val="189"/>
        </w:trPr>
        <w:tc>
          <w:tcPr>
            <w:tcW w:w="5020" w:type="dxa"/>
            <w:vAlign w:val="bottom"/>
          </w:tcPr>
          <w:p>
            <w:pPr>
              <w:jc w:val="center"/>
              <w:ind w:right="2083"/>
              <w:spacing w:after="0" w:line="189" w:lineRule="exact"/>
              <w:rPr>
                <w:sz w:val="20"/>
                <w:szCs w:val="20"/>
                <w:color w:val="auto"/>
              </w:rPr>
            </w:pPr>
            <w:r>
              <w:rPr>
                <w:rFonts w:ascii="Arial" w:cs="Arial" w:eastAsia="Arial" w:hAnsi="Arial"/>
                <w:sz w:val="18"/>
                <w:szCs w:val="18"/>
                <w:color w:val="auto"/>
                <w:w w:val="92"/>
              </w:rPr>
              <w:t>(State or other jurisdiction of</w:t>
            </w:r>
          </w:p>
        </w:tc>
        <w:tc>
          <w:tcPr>
            <w:tcW w:w="2280" w:type="dxa"/>
            <w:vAlign w:val="bottom"/>
          </w:tcPr>
          <w:p>
            <w:pPr>
              <w:jc w:val="center"/>
              <w:ind w:left="830"/>
              <w:spacing w:after="0" w:line="189" w:lineRule="exact"/>
              <w:rPr>
                <w:sz w:val="20"/>
                <w:szCs w:val="20"/>
                <w:color w:val="auto"/>
              </w:rPr>
            </w:pPr>
            <w:r>
              <w:rPr>
                <w:rFonts w:ascii="Arial" w:cs="Arial" w:eastAsia="Arial" w:hAnsi="Arial"/>
                <w:sz w:val="18"/>
                <w:szCs w:val="18"/>
                <w:color w:val="auto"/>
                <w:w w:val="93"/>
              </w:rPr>
              <w:t>(I.R.S. Employer</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incorporation or organization)</w:t>
            </w:r>
          </w:p>
        </w:tc>
        <w:tc>
          <w:tcPr>
            <w:tcW w:w="2280" w:type="dxa"/>
            <w:vAlign w:val="bottom"/>
          </w:tcPr>
          <w:p>
            <w:pPr>
              <w:jc w:val="center"/>
              <w:ind w:left="85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5020" w:type="dxa"/>
            <w:vAlign w:val="bottom"/>
          </w:tcPr>
          <w:p>
            <w:pPr>
              <w:jc w:val="center"/>
              <w:ind w:right="2083"/>
              <w:spacing w:after="0"/>
              <w:rPr>
                <w:sz w:val="20"/>
                <w:szCs w:val="20"/>
                <w:color w:val="auto"/>
              </w:rPr>
            </w:pPr>
            <w:r>
              <w:rPr>
                <w:rFonts w:ascii="Arial" w:cs="Arial" w:eastAsia="Arial" w:hAnsi="Arial"/>
                <w:sz w:val="18"/>
                <w:szCs w:val="18"/>
                <w:b w:val="1"/>
                <w:bCs w:val="1"/>
                <w:color w:val="auto"/>
                <w:w w:val="91"/>
              </w:rPr>
              <w:t>1411 Sand Island Parkway</w:t>
            </w:r>
          </w:p>
        </w:tc>
        <w:tc>
          <w:tcPr>
            <w:tcW w:w="2280" w:type="dxa"/>
            <w:vAlign w:val="bottom"/>
          </w:tcPr>
          <w:p>
            <w:pPr>
              <w:spacing w:after="0"/>
              <w:rPr>
                <w:sz w:val="24"/>
                <w:szCs w:val="24"/>
                <w:color w:val="auto"/>
              </w:rPr>
            </w:pPr>
          </w:p>
        </w:tc>
      </w:tr>
      <w:tr>
        <w:trPr>
          <w:trHeight w:val="193"/>
        </w:trPr>
        <w:tc>
          <w:tcPr>
            <w:tcW w:w="5020" w:type="dxa"/>
            <w:vAlign w:val="bottom"/>
          </w:tcPr>
          <w:p>
            <w:pPr>
              <w:jc w:val="center"/>
              <w:ind w:right="2063"/>
              <w:spacing w:after="0" w:line="193" w:lineRule="exact"/>
              <w:rPr>
                <w:sz w:val="20"/>
                <w:szCs w:val="20"/>
                <w:color w:val="auto"/>
              </w:rPr>
            </w:pPr>
            <w:r>
              <w:rPr>
                <w:rFonts w:ascii="Arial" w:cs="Arial" w:eastAsia="Arial" w:hAnsi="Arial"/>
                <w:sz w:val="18"/>
                <w:szCs w:val="18"/>
                <w:b w:val="1"/>
                <w:bCs w:val="1"/>
                <w:color w:val="auto"/>
                <w:w w:val="96"/>
              </w:rPr>
              <w:t>Honolulu, HI</w:t>
            </w:r>
          </w:p>
        </w:tc>
        <w:tc>
          <w:tcPr>
            <w:tcW w:w="2280" w:type="dxa"/>
            <w:vAlign w:val="bottom"/>
          </w:tcPr>
          <w:p>
            <w:pPr>
              <w:jc w:val="right"/>
              <w:ind w:right="370"/>
              <w:spacing w:after="0" w:line="193" w:lineRule="exact"/>
              <w:rPr>
                <w:sz w:val="20"/>
                <w:szCs w:val="20"/>
                <w:color w:val="auto"/>
              </w:rPr>
            </w:pPr>
            <w:r>
              <w:rPr>
                <w:rFonts w:ascii="Arial" w:cs="Arial" w:eastAsia="Arial" w:hAnsi="Arial"/>
                <w:sz w:val="18"/>
                <w:szCs w:val="18"/>
                <w:b w:val="1"/>
                <w:bCs w:val="1"/>
                <w:color w:val="auto"/>
              </w:rPr>
              <w:t>96819</w:t>
            </w:r>
          </w:p>
        </w:tc>
      </w:tr>
      <w:tr>
        <w:trPr>
          <w:trHeight w:val="230"/>
        </w:trPr>
        <w:tc>
          <w:tcPr>
            <w:tcW w:w="5020" w:type="dxa"/>
            <w:vAlign w:val="bottom"/>
          </w:tcPr>
          <w:p>
            <w:pPr>
              <w:jc w:val="center"/>
              <w:ind w:right="2083"/>
              <w:spacing w:after="0"/>
              <w:rPr>
                <w:sz w:val="20"/>
                <w:szCs w:val="20"/>
                <w:color w:val="auto"/>
              </w:rPr>
            </w:pPr>
            <w:r>
              <w:rPr>
                <w:rFonts w:ascii="Arial" w:cs="Arial" w:eastAsia="Arial" w:hAnsi="Arial"/>
                <w:sz w:val="18"/>
                <w:szCs w:val="18"/>
                <w:color w:val="auto"/>
                <w:w w:val="92"/>
              </w:rPr>
              <w:t>(Address of principal executive offices)</w:t>
            </w:r>
          </w:p>
        </w:tc>
        <w:tc>
          <w:tcPr>
            <w:tcW w:w="2280" w:type="dxa"/>
            <w:vAlign w:val="bottom"/>
          </w:tcPr>
          <w:p>
            <w:pPr>
              <w:jc w:val="center"/>
              <w:ind w:left="83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2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60"/>
          </w:cols>
          <w:pgMar w:left="760" w:top="233" w:right="779" w:bottom="1440" w:gutter="0" w:footer="0" w:header="0"/>
        </w:sectPr>
      </w:pPr>
    </w:p>
    <w:p>
      <w:pPr>
        <w:spacing w:after="0" w:line="68" w:lineRule="exact"/>
        <w:rPr>
          <w:sz w:val="24"/>
          <w:szCs w:val="24"/>
          <w:color w:val="auto"/>
        </w:rPr>
      </w:pPr>
    </w:p>
    <w:p>
      <w:pPr>
        <w:ind w:left="17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94" w:lineRule="exact"/>
        <w:rPr>
          <w:sz w:val="24"/>
          <w:szCs w:val="24"/>
          <w:color w:val="auto"/>
        </w:rPr>
      </w:pPr>
    </w:p>
    <w:p>
      <w:pPr>
        <w:sectPr>
          <w:pgSz w:w="11900" w:h="16838" w:orient="portrait"/>
          <w:cols w:equalWidth="0" w:num="2">
            <w:col w:w="6400" w:space="720"/>
            <w:col w:w="3240"/>
          </w:cols>
          <w:pgMar w:left="760" w:top="233" w:right="779" w:bottom="1440" w:gutter="0" w:footer="0" w:header="0"/>
          <w:type w:val="continuous"/>
        </w:sectPr>
      </w:pPr>
    </w:p>
    <w:p>
      <w:pPr>
        <w:ind w:left="17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4" w:lineRule="exact"/>
        <w:rPr>
          <w:sz w:val="24"/>
          <w:szCs w:val="24"/>
          <w:color w:val="auto"/>
        </w:rPr>
      </w:pPr>
    </w:p>
    <w:p>
      <w:pPr>
        <w:sectPr>
          <w:pgSz w:w="11900" w:h="16838" w:orient="portrait"/>
          <w:cols w:equalWidth="0" w:num="2">
            <w:col w:w="6020" w:space="720"/>
            <w:col w:w="3620"/>
          </w:cols>
          <w:pgMar w:left="760" w:top="233" w:right="779" w:bottom="1440" w:gutter="0" w:footer="0" w:header="0"/>
          <w:type w:val="continuous"/>
        </w:sectPr>
      </w:pPr>
    </w:p>
    <w:p>
      <w:pPr>
        <w:ind w:left="67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58" w:lineRule="exact"/>
        <w:rPr>
          <w:sz w:val="24"/>
          <w:szCs w:val="24"/>
          <w:color w:val="auto"/>
        </w:rPr>
      </w:pPr>
    </w:p>
    <w:p>
      <w:pPr>
        <w:ind w:right="32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9" w:lineRule="exact"/>
        <w:rPr>
          <w:sz w:val="24"/>
          <w:szCs w:val="24"/>
          <w:color w:val="auto"/>
        </w:rPr>
      </w:pPr>
    </w:p>
    <w:p>
      <w:pPr>
        <w:ind w:right="1120"/>
        <w:spacing w:after="0" w:line="30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common stock outstanding as of September 30, 2018: 42,704,592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661225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360045</wp:posOffset>
            </wp:positionV>
            <wp:extent cx="66122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60"/>
          </w:cols>
          <w:pgMar w:left="760" w:top="233" w:right="7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000" w:type="dxa"/>
            <w:vAlign w:val="bottom"/>
            <w:gridSpan w:val="24"/>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2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80" w:type="dxa"/>
            <w:vAlign w:val="bottom"/>
            <w:gridSpan w:val="12"/>
          </w:tcPr>
          <w:p>
            <w:pPr>
              <w:jc w:val="center"/>
              <w:ind w:right="1740"/>
              <w:spacing w:after="0"/>
              <w:rPr>
                <w:sz w:val="20"/>
                <w:szCs w:val="20"/>
                <w:color w:val="auto"/>
              </w:rPr>
            </w:pPr>
            <w:r>
              <w:rPr>
                <w:rFonts w:ascii="Arial" w:cs="Arial" w:eastAsia="Arial" w:hAnsi="Arial"/>
                <w:sz w:val="18"/>
                <w:szCs w:val="18"/>
                <w:b w:val="1"/>
                <w:bCs w:val="1"/>
                <w:color w:val="auto"/>
                <w:w w:val="99"/>
              </w:rPr>
              <w:t>MATSON, INC. AND SUBSIDIARIES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9"/>
          </w:tcPr>
          <w:p>
            <w:pPr>
              <w:jc w:val="center"/>
              <w:ind w:right="238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ind w:left="3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08"/>
        </w:trPr>
        <w:tc>
          <w:tcPr>
            <w:tcW w:w="220" w:type="dxa"/>
            <w:vAlign w:val="bottom"/>
            <w:vMerge w:val="restart"/>
          </w:tcPr>
          <w:p>
            <w:pPr>
              <w:spacing w:after="0"/>
              <w:rPr>
                <w:sz w:val="9"/>
                <w:szCs w:val="9"/>
                <w:color w:val="auto"/>
              </w:rPr>
            </w:pPr>
          </w:p>
        </w:tc>
        <w:tc>
          <w:tcPr>
            <w:tcW w:w="2840" w:type="dxa"/>
            <w:vAlign w:val="bottom"/>
            <w:gridSpan w:val="12"/>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I—FINANCIAL INFORMATION</w:t>
              </w:r>
            </w:hyperlink>
          </w:p>
        </w:tc>
        <w:tc>
          <w:tcPr>
            <w:tcW w:w="4940" w:type="dxa"/>
            <w:vAlign w:val="bottom"/>
            <w:gridSpan w:val="11"/>
            <w:vMerge w:val="restart"/>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20" w:type="dxa"/>
            <w:vAlign w:val="bottom"/>
            <w:vMerge w:val="continue"/>
          </w:tcPr>
          <w:p>
            <w:pPr>
              <w:spacing w:after="0"/>
              <w:rPr>
                <w:sz w:val="13"/>
                <w:szCs w:val="13"/>
                <w:color w:val="auto"/>
              </w:rPr>
            </w:pPr>
          </w:p>
        </w:tc>
        <w:tc>
          <w:tcPr>
            <w:tcW w:w="2840" w:type="dxa"/>
            <w:vAlign w:val="bottom"/>
            <w:tcBorders>
              <w:bottom w:val="single" w:sz="8" w:color="0000EE"/>
            </w:tcBorders>
            <w:gridSpan w:val="12"/>
            <w:vMerge w:val="continue"/>
          </w:tcPr>
          <w:p>
            <w:pPr>
              <w:spacing w:after="0"/>
              <w:rPr>
                <w:sz w:val="13"/>
                <w:szCs w:val="13"/>
                <w:color w:val="auto"/>
              </w:rPr>
            </w:pPr>
          </w:p>
        </w:tc>
        <w:tc>
          <w:tcPr>
            <w:tcW w:w="4940" w:type="dxa"/>
            <w:vAlign w:val="bottom"/>
            <w:gridSpan w:val="11"/>
            <w:vMerge w:val="continue"/>
          </w:tcPr>
          <w:p>
            <w:pPr>
              <w:spacing w:after="0"/>
              <w:rPr>
                <w:sz w:val="13"/>
                <w:szCs w:val="13"/>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26"/>
        </w:trPr>
        <w:tc>
          <w:tcPr>
            <w:tcW w:w="2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9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and Comprehensive Income</w:t>
              </w:r>
            </w:hyperlink>
          </w:p>
        </w:tc>
        <w:tc>
          <w:tcPr>
            <w:tcW w:w="1480" w:type="dxa"/>
            <w:vAlign w:val="bottom"/>
            <w:gridSpan w:val="2"/>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4020" w:type="dxa"/>
            <w:vAlign w:val="bottom"/>
            <w:gridSpan w:val="8"/>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w:t>
              </w:r>
            </w:hyperlink>
          </w:p>
        </w:tc>
        <w:tc>
          <w:tcPr>
            <w:tcW w:w="3240" w:type="dxa"/>
            <w:vAlign w:val="bottom"/>
            <w:gridSpan w:val="7"/>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Shareholders’ Equity</w:t>
              </w:r>
            </w:hyperlink>
          </w:p>
        </w:tc>
        <w:tc>
          <w:tcPr>
            <w:tcW w:w="2560" w:type="dxa"/>
            <w:vAlign w:val="bottom"/>
            <w:gridSpan w:val="3"/>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6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6960" w:type="dxa"/>
            <w:vAlign w:val="bottom"/>
            <w:gridSpan w:val="20"/>
          </w:tcPr>
          <w:p>
            <w:pPr>
              <w:spacing w:after="0" w:line="196"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Management’s Discussion and Analysis of Financial Condition and Results of Operations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696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696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52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Part II—OTHER INFORMATION</w:t>
              </w:r>
            </w:hyperlink>
          </w:p>
        </w:tc>
        <w:tc>
          <w:tcPr>
            <w:tcW w:w="5260" w:type="dxa"/>
            <w:vAlign w:val="bottom"/>
            <w:gridSpan w:val="13"/>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w:t>
              </w:r>
            </w:hyperlink>
          </w:p>
        </w:tc>
        <w:tc>
          <w:tcPr>
            <w:tcW w:w="696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Item 1A.</w:t>
              </w:r>
            </w:hyperlink>
          </w:p>
        </w:tc>
        <w:tc>
          <w:tcPr>
            <w:tcW w:w="180" w:type="dxa"/>
            <w:vAlign w:val="bottom"/>
          </w:tcPr>
          <w:p>
            <w:pPr>
              <w:spacing w:after="0"/>
              <w:rPr>
                <w:sz w:val="17"/>
                <w:szCs w:val="17"/>
                <w:color w:val="auto"/>
              </w:rPr>
            </w:pPr>
          </w:p>
        </w:tc>
        <w:tc>
          <w:tcPr>
            <w:tcW w:w="696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40" w:type="dxa"/>
            <w:vAlign w:val="bottom"/>
            <w:gridSpan w:val="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180" w:type="dxa"/>
            <w:vAlign w:val="bottom"/>
          </w:tcPr>
          <w:p>
            <w:pPr>
              <w:spacing w:after="0"/>
              <w:rPr>
                <w:sz w:val="17"/>
                <w:szCs w:val="17"/>
                <w:color w:val="auto"/>
              </w:rPr>
            </w:pPr>
          </w:p>
        </w:tc>
        <w:tc>
          <w:tcPr>
            <w:tcW w:w="696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696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464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696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18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696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640" w:type="dxa"/>
            <w:vAlign w:val="bottom"/>
            <w:gridSpan w:val="1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2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6.</w:t>
              </w:r>
            </w:hyperlink>
          </w:p>
        </w:tc>
        <w:tc>
          <w:tcPr>
            <w:tcW w:w="696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0" w:type="dxa"/>
            <w:vAlign w:val="bottom"/>
            <w:gridSpan w:val="1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6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446"/>
        </w:trPr>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ind w:left="1440" w:right="1620"/>
        <w:spacing w:after="0" w:line="275"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ind w:left="3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Ocean Transportation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437.3</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1,223.2</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1,181.9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Revenue</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1,657.9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1,530.8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(485.5)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(439.9)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(1,390.7)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(1,274.1)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Equity in income of Terminal Joint Venture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(530.8)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(485.6)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(1,524.6)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(1,408.3)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7"/>
        </w:trPr>
        <w:tc>
          <w:tcPr>
            <w:tcW w:w="5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20"/>
              <w:spacing w:after="0"/>
              <w:rPr>
                <w:sz w:val="20"/>
                <w:szCs w:val="20"/>
                <w:color w:val="auto"/>
              </w:rPr>
            </w:pPr>
            <w:r>
              <w:rPr>
                <w:rFonts w:ascii="Arial" w:cs="Arial" w:eastAsia="Arial" w:hAnsi="Arial"/>
                <w:sz w:val="18"/>
                <w:szCs w:val="18"/>
                <w:color w:val="auto"/>
              </w:rPr>
              <w:t>Net gain in prior service cost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380" w:type="dxa"/>
            <w:vAlign w:val="bottom"/>
          </w:tcPr>
          <w:p>
            <w:pPr>
              <w:ind w:left="320"/>
              <w:spacing w:after="0"/>
              <w:rPr>
                <w:sz w:val="20"/>
                <w:szCs w:val="20"/>
                <w:color w:val="auto"/>
              </w:rPr>
            </w:pPr>
            <w:r>
              <w:rPr>
                <w:rFonts w:ascii="Arial" w:cs="Arial" w:eastAsia="Arial" w:hAnsi="Arial"/>
                <w:sz w:val="18"/>
                <w:szCs w:val="18"/>
                <w:color w:val="auto"/>
              </w:rPr>
              <w:t>Amortization of net loss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adjustments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Comprehensive Income (Loss)</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Diluted Earnings Per-Share: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0.97</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8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Investment in Terminal Joint Venture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Deferred dry-docking costs,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long-term assets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debt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Accruals and 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8"/>
                <w:szCs w:val="18"/>
                <w:color w:val="auto"/>
              </w:rPr>
              <w:t>Commitments and Contingencies (Note 2)</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 in capital</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Accumulated other comprehensive loss, net</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2,421.2</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9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6920" w:type="dxa"/>
            <w:vAlign w:val="bottom"/>
            <w:gridSpan w:val="2"/>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88.4</w:t>
            </w:r>
          </w:p>
        </w:tc>
        <w:tc>
          <w:tcPr>
            <w:tcW w:w="2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65.1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Reconciling adjustments: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3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320"/>
              <w:spacing w:after="0"/>
              <w:rPr>
                <w:sz w:val="20"/>
                <w:szCs w:val="20"/>
                <w:color w:val="auto"/>
              </w:rPr>
            </w:pPr>
            <w:r>
              <w:rPr>
                <w:rFonts w:ascii="Arial" w:cs="Arial" w:eastAsia="Arial" w:hAnsi="Arial"/>
                <w:sz w:val="16"/>
                <w:szCs w:val="16"/>
                <w:color w:val="auto"/>
              </w:rPr>
              <w:t>Share-based compensation expense</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Equity in income of Terminal Joint Venture</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(28.8)</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3"/>
        </w:trPr>
        <w:tc>
          <w:tcPr>
            <w:tcW w:w="6920" w:type="dxa"/>
            <w:vAlign w:val="bottom"/>
            <w:gridSpan w:val="2"/>
          </w:tcPr>
          <w:p>
            <w:pPr>
              <w:ind w:left="320"/>
              <w:spacing w:after="0"/>
              <w:rPr>
                <w:sz w:val="20"/>
                <w:szCs w:val="20"/>
                <w:color w:val="auto"/>
              </w:rPr>
            </w:pPr>
            <w:r>
              <w:rPr>
                <w:rFonts w:ascii="Arial" w:cs="Arial" w:eastAsia="Arial" w:hAnsi="Arial"/>
                <w:sz w:val="16"/>
                <w:szCs w:val="16"/>
                <w:color w:val="auto"/>
              </w:rPr>
              <w:t>Distribution from Terminal Joint Venture</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Changes in assets and liabilities: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(46.1)</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3"/>
        </w:trPr>
        <w:tc>
          <w:tcPr>
            <w:tcW w:w="6920" w:type="dxa"/>
            <w:vAlign w:val="bottom"/>
            <w:gridSpan w:val="2"/>
          </w:tcPr>
          <w:p>
            <w:pPr>
              <w:ind w:left="320"/>
              <w:spacing w:after="0"/>
              <w:rPr>
                <w:sz w:val="20"/>
                <w:szCs w:val="20"/>
                <w:color w:val="auto"/>
              </w:rPr>
            </w:pPr>
            <w:r>
              <w:rPr>
                <w:rFonts w:ascii="Arial" w:cs="Arial" w:eastAsia="Arial" w:hAnsi="Arial"/>
                <w:sz w:val="16"/>
                <w:szCs w:val="16"/>
                <w:color w:val="auto"/>
              </w:rPr>
              <w:t>Deferred dry-docking payments</w:t>
            </w:r>
          </w:p>
        </w:tc>
        <w:tc>
          <w:tcPr>
            <w:tcW w:w="2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Deferred dry-docking amortization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32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Accounts payable, accruals and other liabilities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32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(0.7)</w:t>
            </w: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Capitalized vessel construction expenditures</w:t>
            </w:r>
          </w:p>
        </w:tc>
        <w:tc>
          <w:tcPr>
            <w:tcW w:w="2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(222.6)</w:t>
            </w: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(172.2)</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capital expenditures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(44.7)</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Proceeds from (payments for) disposal of property and equipment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deposits into Capital Construction Fund</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(246.6)</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Withdrawals from Capital Construction Fund</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247.5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(231.4)</w:t>
            </w:r>
          </w:p>
        </w:tc>
        <w:tc>
          <w:tcPr>
            <w:tcW w:w="2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(184.6)</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Repayments of debt and capital leases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(17.0)</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Proceeds from revolving credit facility</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389.4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Repayments of revolving credit facility</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(321.4)</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(221.0)</w:t>
            </w: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Payment of financing costs</w:t>
            </w:r>
          </w:p>
        </w:tc>
        <w:tc>
          <w:tcPr>
            <w:tcW w:w="20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issuance of capital stock</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(26.3)</w:t>
            </w: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Repurchase of Matson common stock</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Tax withholding related to net share settlements of restricted stock units</w:t>
            </w:r>
          </w:p>
        </w:tc>
        <w:tc>
          <w:tcPr>
            <w:tcW w:w="20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(Decrease) Increase in Cash and Cash Equivalents</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(7.7)</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Cash and Cash Equivalents, Beginning of the Period</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 End of the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Supplemental Cash Flow Information: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Interest paid, net of capitalized interest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14.5</w:t>
            </w:r>
          </w:p>
        </w:tc>
        <w:tc>
          <w:tcPr>
            <w:tcW w:w="2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 paid, net of income tax refunds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Non-cash Information: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20" w:type="dxa"/>
            <w:vAlign w:val="bottom"/>
            <w:gridSpan w:val="2"/>
          </w:tcPr>
          <w:p>
            <w:pPr>
              <w:ind w:left="220"/>
              <w:spacing w:after="0"/>
              <w:rPr>
                <w:sz w:val="20"/>
                <w:szCs w:val="20"/>
                <w:color w:val="auto"/>
              </w:rPr>
            </w:pPr>
            <w:r>
              <w:rPr>
                <w:rFonts w:ascii="Arial" w:cs="Arial" w:eastAsia="Arial" w:hAnsi="Arial"/>
                <w:sz w:val="16"/>
                <w:szCs w:val="16"/>
                <w:color w:val="auto"/>
              </w:rPr>
              <w:t>Capital expenditures included in accounts payable, accruals and other liabilities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0.4</w:t>
            </w:r>
          </w:p>
        </w:tc>
        <w:tc>
          <w:tcPr>
            <w:tcW w:w="2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218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Shareholders’ Equity </w:t>
      </w:r>
      <w:r>
        <w:rPr>
          <w:rFonts w:ascii="Arial" w:cs="Arial" w:eastAsia="Arial" w:hAnsi="Arial"/>
          <w:sz w:val="18"/>
          <w:szCs w:val="18"/>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5"/>
            <w:vMerge w:val="restart"/>
          </w:tcPr>
          <w:p>
            <w:pPr>
              <w:jc w:val="right"/>
              <w:ind w:right="15"/>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Borders>
              <w:bottom w:val="single" w:sz="8" w:color="auto"/>
            </w:tcBorders>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0"/>
                <w:szCs w:val="10"/>
                <w:color w:val="auto"/>
              </w:rPr>
            </w:pPr>
          </w:p>
        </w:tc>
        <w:tc>
          <w:tcPr>
            <w:tcW w:w="5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36"/>
              <w:spacing w:after="0" w:line="119" w:lineRule="exact"/>
              <w:rPr>
                <w:sz w:val="20"/>
                <w:szCs w:val="20"/>
                <w:color w:val="auto"/>
              </w:rPr>
            </w:pPr>
            <w:r>
              <w:rPr>
                <w:rFonts w:ascii="Arial" w:cs="Arial" w:eastAsia="Arial" w:hAnsi="Arial"/>
                <w:sz w:val="13"/>
                <w:szCs w:val="13"/>
                <w:b w:val="1"/>
                <w:bCs w:val="1"/>
                <w:color w:val="auto"/>
              </w:rPr>
              <w:t>Paid In</w:t>
            </w:r>
          </w:p>
        </w:tc>
        <w:tc>
          <w:tcPr>
            <w:tcW w:w="140" w:type="dxa"/>
            <w:vAlign w:val="bottom"/>
          </w:tcPr>
          <w:p>
            <w:pPr>
              <w:spacing w:after="0"/>
              <w:rPr>
                <w:sz w:val="10"/>
                <w:szCs w:val="10"/>
                <w:color w:val="auto"/>
              </w:rPr>
            </w:pPr>
          </w:p>
        </w:tc>
        <w:tc>
          <w:tcPr>
            <w:tcW w:w="10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0"/>
                <w:szCs w:val="10"/>
                <w:color w:val="auto"/>
              </w:rPr>
            </w:pPr>
          </w:p>
        </w:tc>
        <w:tc>
          <w:tcPr>
            <w:tcW w:w="74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Retained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$ 381.5</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678.2</w:t>
            </w:r>
          </w:p>
        </w:tc>
        <w:tc>
          <w:tcPr>
            <w:tcW w:w="0" w:type="dxa"/>
            <w:vAlign w:val="bottom"/>
          </w:tcPr>
          <w:p>
            <w:pPr>
              <w:spacing w:after="0"/>
              <w:rPr>
                <w:sz w:val="1"/>
                <w:szCs w:val="1"/>
                <w:color w:val="auto"/>
              </w:rPr>
            </w:pPr>
          </w:p>
        </w:tc>
      </w:tr>
      <w:tr>
        <w:trPr>
          <w:trHeight w:val="185"/>
        </w:trPr>
        <w:tc>
          <w:tcPr>
            <w:tcW w:w="4440" w:type="dxa"/>
            <w:vAlign w:val="bottom"/>
            <w:gridSpan w:val="2"/>
          </w:tcPr>
          <w:p>
            <w:pPr>
              <w:ind w:left="120"/>
              <w:spacing w:after="0" w:line="185" w:lineRule="exact"/>
              <w:rPr>
                <w:sz w:val="20"/>
                <w:szCs w:val="20"/>
                <w:color w:val="auto"/>
              </w:rPr>
            </w:pPr>
            <w:r>
              <w:rPr>
                <w:rFonts w:ascii="Arial" w:cs="Arial" w:eastAsia="Arial" w:hAnsi="Arial"/>
                <w:sz w:val="17"/>
                <w:szCs w:val="17"/>
                <w:color w:val="auto"/>
                <w:w w:val="98"/>
              </w:rPr>
              <w:t>Reclassification resulting from adoption of new accounting</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pronouncements (see Note 2)</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(6.0)</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60" w:type="dxa"/>
            <w:vAlign w:val="bottom"/>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($0.20 per share)</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196"/>
        </w:trPr>
        <w:tc>
          <w:tcPr>
            <w:tcW w:w="4440" w:type="dxa"/>
            <w:vAlign w:val="bottom"/>
            <w:gridSpan w:val="2"/>
          </w:tcPr>
          <w:p>
            <w:pPr>
              <w:spacing w:after="0"/>
              <w:rPr>
                <w:sz w:val="20"/>
                <w:szCs w:val="20"/>
                <w:color w:val="auto"/>
              </w:rPr>
            </w:pPr>
            <w:r>
              <w:rPr>
                <w:rFonts w:ascii="Arial" w:cs="Arial" w:eastAsia="Arial" w:hAnsi="Arial"/>
                <w:sz w:val="17"/>
                <w:szCs w:val="17"/>
                <w:color w:val="auto"/>
              </w:rPr>
              <w:t>Balance at March 31, 2018</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288.1</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393.0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682.4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(0.9)</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($0.20 per share and $0.21 per share)</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196"/>
        </w:trPr>
        <w:tc>
          <w:tcPr>
            <w:tcW w:w="4440" w:type="dxa"/>
            <w:vAlign w:val="bottom"/>
            <w:gridSpan w:val="2"/>
          </w:tcPr>
          <w:p>
            <w:pPr>
              <w:spacing w:after="0"/>
              <w:rPr>
                <w:sz w:val="20"/>
                <w:szCs w:val="20"/>
                <w:color w:val="auto"/>
              </w:rPr>
            </w:pPr>
            <w:r>
              <w:rPr>
                <w:rFonts w:ascii="Arial" w:cs="Arial" w:eastAsia="Arial" w:hAnsi="Arial"/>
                <w:sz w:val="17"/>
                <w:szCs w:val="17"/>
                <w:color w:val="auto"/>
              </w:rPr>
              <w:t>Balance at June 30, 2018</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291.2</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407.9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699.5</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3"/>
        </w:trPr>
        <w:tc>
          <w:tcPr>
            <w:tcW w:w="4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at September 30, 2018</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$ 449.5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743.7</w:t>
            </w:r>
          </w:p>
        </w:tc>
        <w:tc>
          <w:tcPr>
            <w:tcW w:w="0" w:type="dxa"/>
            <w:vAlign w:val="bottom"/>
          </w:tcPr>
          <w:p>
            <w:pPr>
              <w:spacing w:after="0"/>
              <w:rPr>
                <w:sz w:val="1"/>
                <w:szCs w:val="1"/>
                <w:color w:val="auto"/>
              </w:rPr>
            </w:pPr>
          </w:p>
        </w:tc>
      </w:tr>
      <w:tr>
        <w:trPr>
          <w:trHeight w:val="288"/>
        </w:trPr>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5"/>
            <w:vMerge w:val="restart"/>
          </w:tcPr>
          <w:p>
            <w:pPr>
              <w:jc w:val="right"/>
              <w:ind w:right="15"/>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4"/>
                <w:szCs w:val="2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Borders>
              <w:bottom w:val="single" w:sz="8" w:color="auto"/>
            </w:tcBorders>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5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0"/>
                <w:szCs w:val="10"/>
                <w:color w:val="auto"/>
              </w:rPr>
            </w:pPr>
          </w:p>
        </w:tc>
        <w:tc>
          <w:tcPr>
            <w:tcW w:w="5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36"/>
              <w:spacing w:after="0" w:line="119" w:lineRule="exact"/>
              <w:rPr>
                <w:sz w:val="20"/>
                <w:szCs w:val="20"/>
                <w:color w:val="auto"/>
              </w:rPr>
            </w:pPr>
            <w:r>
              <w:rPr>
                <w:rFonts w:ascii="Arial" w:cs="Arial" w:eastAsia="Arial" w:hAnsi="Arial"/>
                <w:sz w:val="13"/>
                <w:szCs w:val="13"/>
                <w:b w:val="1"/>
                <w:bCs w:val="1"/>
                <w:color w:val="auto"/>
              </w:rPr>
              <w:t>Paid In</w:t>
            </w:r>
          </w:p>
        </w:tc>
        <w:tc>
          <w:tcPr>
            <w:tcW w:w="140" w:type="dxa"/>
            <w:vAlign w:val="bottom"/>
          </w:tcPr>
          <w:p>
            <w:pPr>
              <w:spacing w:after="0"/>
              <w:rPr>
                <w:sz w:val="10"/>
                <w:szCs w:val="10"/>
                <w:color w:val="auto"/>
              </w:rPr>
            </w:pPr>
          </w:p>
        </w:tc>
        <w:tc>
          <w:tcPr>
            <w:tcW w:w="106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80" w:type="dxa"/>
            <w:vAlign w:val="bottom"/>
          </w:tcPr>
          <w:p>
            <w:pPr>
              <w:spacing w:after="0"/>
              <w:rPr>
                <w:sz w:val="10"/>
                <w:szCs w:val="10"/>
                <w:color w:val="auto"/>
              </w:rPr>
            </w:pPr>
          </w:p>
        </w:tc>
        <w:tc>
          <w:tcPr>
            <w:tcW w:w="74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8"/>
              </w:rPr>
              <w:t>Retained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5"/>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at December 31, 2016</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$ 196.6</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494.9</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Shares repurchased</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($0.19 per share)</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96"/>
        </w:trPr>
        <w:tc>
          <w:tcPr>
            <w:tcW w:w="4440" w:type="dxa"/>
            <w:vAlign w:val="bottom"/>
            <w:gridSpan w:val="2"/>
          </w:tcPr>
          <w:p>
            <w:pPr>
              <w:spacing w:after="0"/>
              <w:rPr>
                <w:sz w:val="20"/>
                <w:szCs w:val="20"/>
                <w:color w:val="auto"/>
              </w:rPr>
            </w:pPr>
            <w:r>
              <w:rPr>
                <w:rFonts w:ascii="Arial" w:cs="Arial" w:eastAsia="Arial" w:hAnsi="Arial"/>
                <w:sz w:val="17"/>
                <w:szCs w:val="17"/>
                <w:color w:val="auto"/>
              </w:rPr>
              <w:t>Balance at March 31, 2017</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285.2</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194.8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489.4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Share-based compensation</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w w:val="99"/>
              </w:rPr>
              <w:t>Shares issued, net of shares withheld for employee taxes</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Shares repurchased</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Dividends ($0.19 per share and $0.20 per share)</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(17.0)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at June 30, 2017</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201.4</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499.2</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34.1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comprehensive income (loss), net of tax</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6"/>
        </w:trPr>
        <w:tc>
          <w:tcPr>
            <w:tcW w:w="4440" w:type="dxa"/>
            <w:vAlign w:val="bottom"/>
            <w:gridSpan w:val="2"/>
          </w:tcPr>
          <w:p>
            <w:pPr>
              <w:ind w:left="120"/>
              <w:spacing w:after="0"/>
              <w:rPr>
                <w:sz w:val="20"/>
                <w:szCs w:val="20"/>
                <w:color w:val="auto"/>
              </w:rPr>
            </w:pPr>
            <w:r>
              <w:rPr>
                <w:rFonts w:ascii="Arial" w:cs="Arial" w:eastAsia="Arial" w:hAnsi="Arial"/>
                <w:sz w:val="17"/>
                <w:szCs w:val="17"/>
                <w:color w:val="auto"/>
              </w:rPr>
              <w:t>Share-based compensation</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Shares repurchased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rPr>
                <w:sz w:val="20"/>
                <w:szCs w:val="20"/>
                <w:color w:val="auto"/>
              </w:rPr>
            </w:pPr>
            <w:r>
              <w:rPr>
                <w:rFonts w:ascii="Arial" w:cs="Arial" w:eastAsia="Arial" w:hAnsi="Arial"/>
                <w:sz w:val="17"/>
                <w:szCs w:val="17"/>
                <w:color w:val="auto"/>
              </w:rPr>
              <w:t>Balance at September 30, 2017</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31.8</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285.8</w:t>
            </w: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$ 223.4</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518.6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FINANICAL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580" w:hanging="577"/>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w:t>
      </w:r>
    </w:p>
    <w:p>
      <w:pPr>
        <w:spacing w:after="0" w:line="18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i w:val="1"/>
          <w:iCs w:val="1"/>
          <w:color w:val="auto"/>
        </w:rPr>
        <w:t xml:space="preserve">Ocean Transportation: </w:t>
      </w:r>
      <w:r>
        <w:rPr>
          <w:rFonts w:ascii="Arial" w:cs="Arial" w:eastAsia="Arial" w:hAnsi="Arial"/>
          <w:sz w:val="18"/>
          <w:szCs w:val="18"/>
          <w:color w:val="auto"/>
        </w:rPr>
        <w:t>Matson’s Ocean Transportation business is conducted through Matson Navigation Company,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also provides services to Okinawa, Japan and various islands in the South Pacific. In addition, subsidiaries of MatNav provide container stevedoring, refrigerated cargo services, inland transportation and other terminal services for MatNav and other ocean carriers on the Hawaiian Islands of Oahu, Hawaii, Maui and Kauai, and in the Alaska locations of Anchorage, Kodiak and Dutch Harbor.</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Matson has a 35 percent ownership interest in SSA Terminals, LLC (“SSAT”), a joint venture between Matson Ventures, Inc., a wholly-owned subsidiary of MatNav, and SSA Ventures, Inc., a subsidiary of Carrix, Inc. SSAT provides terminal and stevedoring services to various carriers at seven terminal facilities on the U.S. West Coast, including four facilities which are used by MatNav (“Terminal Joint Venture”). Matson records its share of income in the Terminal Joint Venture in operating costs in the Condensed Consolidated Statements of Income and Comprehensive Income, and within the Ocean Transportation segment due to the nature of SSAT’s operations.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Logistics: </w:t>
      </w:r>
      <w:r>
        <w:rPr>
          <w:rFonts w:ascii="Arial" w:cs="Arial" w:eastAsia="Arial" w:hAnsi="Arial"/>
          <w:sz w:val="18"/>
          <w:szCs w:val="18"/>
          <w:color w:val="auto"/>
        </w:rPr>
        <w:t>Matson’s Logistics business is conducted through Matson Logistics, Inc. (“Matson Logistics”), a wholly-owned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MatNav. Established in 1987, Matson Logistics is an asset-light business that provides a variety of logistic services to its customers including: (i) multimodal transportation brokerage of domestic and international rail intermodal service,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non-vessel operating common carrier freight forwarding and other services.</w:t>
      </w:r>
    </w:p>
    <w:p>
      <w:pPr>
        <w:spacing w:after="0" w:line="200" w:lineRule="exact"/>
        <w:rPr>
          <w:sz w:val="20"/>
          <w:szCs w:val="20"/>
          <w:color w:val="auto"/>
        </w:rPr>
      </w:pPr>
    </w:p>
    <w:p>
      <w:pPr>
        <w:spacing w:after="0" w:line="204" w:lineRule="exact"/>
        <w:rPr>
          <w:sz w:val="20"/>
          <w:szCs w:val="20"/>
          <w:color w:val="auto"/>
        </w:rPr>
      </w:pPr>
    </w:p>
    <w:p>
      <w:pPr>
        <w:ind w:left="580" w:hanging="577"/>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Condensed Consolidated Financial Statements are unaudited, and include the accounts of Matson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all wholly-owned subsidiaries, after elimination of significant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A controlling financial interest is one in which the Company has a majority voting interest or one in which the Company is the primary beneficiary of a variable interest entity. The Company accounts for its investment in the Terminal Joint Venture using the equity method of accounting.</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Consolidated Financial Statements and notes thereto included in the Company’s Annual Report on Form 10-K for the year ended December 31, 2017, filed with the Securities and Exchange Commission (“SEC”) on February 23,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Fiscal Period: </w:t>
      </w:r>
      <w:r>
        <w:rPr>
          <w:rFonts w:ascii="Arial" w:cs="Arial" w:eastAsia="Arial" w:hAnsi="Arial"/>
          <w:sz w:val="18"/>
          <w:szCs w:val="18"/>
          <w:color w:val="auto"/>
        </w:rPr>
        <w:t>The period end for Matson covered by this report is September 30, 2018. The period end for MatNav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covered by this report occurred on the last Friday in September, or September 28, 2018, for the third quarter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included in Part II, Item 8 of the Company’s Annual Report on Form 10-K for the year ended December 31, 2017.</w:t>
      </w:r>
    </w:p>
    <w:p>
      <w:pPr>
        <w:spacing w:after="0" w:line="181"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b w:val="1"/>
          <w:bCs w:val="1"/>
          <w:i w:val="1"/>
          <w:iCs w:val="1"/>
          <w:color w:val="auto"/>
        </w:rPr>
        <w:t xml:space="preserve">Recognition of Revenues and Expenses: </w:t>
      </w:r>
      <w:r>
        <w:rPr>
          <w:rFonts w:ascii="Arial" w:cs="Arial" w:eastAsia="Arial" w:hAnsi="Arial"/>
          <w:sz w:val="16"/>
          <w:szCs w:val="16"/>
          <w:color w:val="auto"/>
        </w:rPr>
        <w:t>Revenue in the Company’s Condensed Consolidated Financial Statements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presented net of elimination of intercompany transactions. The following is a description of the Company’s principal revenue generating activities by segment, and the Company’s revenue recognition policy for each activity: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76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r>
      <w:tr>
        <w:trPr>
          <w:trHeight w:val="196"/>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Ocean Transportation (in millions) (1)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84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9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7"/>
                <w:szCs w:val="17"/>
                <w:color w:val="auto"/>
              </w:rPr>
            </w:pPr>
          </w:p>
        </w:tc>
      </w:tr>
      <w:tr>
        <w:trPr>
          <w:trHeight w:val="210"/>
        </w:trPr>
        <w:tc>
          <w:tcPr>
            <w:tcW w:w="5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Ocean Transportation services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$ 1,207.3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$ 1,167.3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Terminal and other related services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sales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Ship management services and related costs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r>
      <w:tr>
        <w:trPr>
          <w:trHeight w:val="217"/>
        </w:trPr>
        <w:tc>
          <w:tcPr>
            <w:tcW w:w="53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$ 1,223.2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$ 1,181.9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89" w:lineRule="exact"/>
        <w:rPr>
          <w:sz w:val="20"/>
          <w:szCs w:val="20"/>
          <w:color w:val="auto"/>
        </w:rPr>
      </w:pPr>
    </w:p>
    <w:p>
      <w:pPr>
        <w:ind w:left="320" w:right="360" w:hanging="317"/>
        <w:spacing w:after="0" w:line="253" w:lineRule="auto"/>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Ocean Transportation revenue transactions are primarily denominated in U.S. dollars except for approximately 3 percent of Ocean Transportation revenues and fuel sales which are denominated in foreign currencies.</w:t>
      </w:r>
    </w:p>
    <w:p>
      <w:pPr>
        <w:spacing w:after="0" w:line="111" w:lineRule="exact"/>
        <w:rPr>
          <w:sz w:val="20"/>
          <w:szCs w:val="20"/>
          <w:color w:val="auto"/>
        </w:rPr>
      </w:pPr>
    </w:p>
    <w:p>
      <w:pPr>
        <w:ind w:left="320" w:right="360" w:hanging="317"/>
        <w:spacing w:after="0" w:line="288" w:lineRule="auto"/>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Ocean Transportation services are recognized ratably over the duration of a voyage based on the relative transit time completed in each reporting period. Vessel operating costs and other ocean transportation operating costs, such as terminal operating overhead and general and administrative expenses, are charged to operating costs as incurred.</w:t>
      </w:r>
    </w:p>
    <w:p>
      <w:pPr>
        <w:ind w:left="320" w:hanging="317"/>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Terminal and other related services to third parties are recognized as the services are performed.</w:t>
      </w:r>
    </w:p>
    <w:p>
      <w:pPr>
        <w:spacing w:after="0" w:line="9" w:lineRule="exact"/>
        <w:rPr>
          <w:rFonts w:ascii="Arial" w:cs="Arial" w:eastAsia="Arial" w:hAnsi="Arial"/>
          <w:sz w:val="18"/>
          <w:szCs w:val="18"/>
          <w:color w:val="auto"/>
        </w:rPr>
      </w:pPr>
    </w:p>
    <w:p>
      <w:pPr>
        <w:ind w:left="320" w:right="140" w:hanging="317"/>
        <w:spacing w:after="0" w:line="250"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Fuel sales are recognized when the Company has completed delivery of the product to the customer in accordance with the terms and conditions of the contract.</w:t>
      </w:r>
    </w:p>
    <w:p>
      <w:pPr>
        <w:ind w:left="320" w:hanging="317"/>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Ship management services and related costs are recognized in proportion to the services completed.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Logistics (in millions) (1)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532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Brokerage and Freight Forwarding Services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Warehouse and distribution services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chain management and other services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r>
              <w:rPr>
                <w:rFonts w:ascii="Arial" w:cs="Arial" w:eastAsia="Arial" w:hAnsi="Arial"/>
                <w:sz w:val="18"/>
                <w:szCs w:val="18"/>
                <w:u w:val="single" w:color="auto"/>
                <w:color w:val="auto"/>
              </w:rPr>
              <w:t>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r>
              <w:rPr>
                <w:rFonts w:ascii="Arial" w:cs="Arial" w:eastAsia="Arial" w:hAnsi="Arial"/>
                <w:sz w:val="18"/>
                <w:szCs w:val="18"/>
                <w:u w:val="single" w:color="auto"/>
                <w:color w:val="auto"/>
              </w:rPr>
              <w:t>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r>
              <w:rPr>
                <w:rFonts w:ascii="Arial" w:cs="Arial" w:eastAsia="Arial" w:hAnsi="Arial"/>
                <w:sz w:val="18"/>
                <w:szCs w:val="18"/>
                <w:u w:val="single" w:color="auto"/>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40" w:hanging="317"/>
        <w:spacing w:after="0" w:line="291" w:lineRule="auto"/>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Logistics revenue transactions are primarily denominated in U.S. dollars except for approximately 3 percent of transportation brokerage and freight forwarding services revenue, and supply chain management and other services revenue categories are denominated in foreign currencies.</w:t>
      </w:r>
    </w:p>
    <w:p>
      <w:pPr>
        <w:spacing w:after="0" w:line="88" w:lineRule="exact"/>
        <w:rPr>
          <w:sz w:val="20"/>
          <w:szCs w:val="20"/>
          <w:color w:val="auto"/>
        </w:rPr>
      </w:pPr>
    </w:p>
    <w:p>
      <w:pPr>
        <w:ind w:left="320" w:right="80" w:hanging="317"/>
        <w:spacing w:after="0" w:line="284" w:lineRule="auto"/>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Transportation Brokerage and Freight Forwarding Services consist of amounts billed to customers for services provided. The primary costs include third-party purchased transportation services, labor and equipment costs. Revenue and the related purchased third-party transportation costs are recognized over the duration of a delivery based upon the relative transit time completed in each reporting period. Labor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p>
      <w:pPr>
        <w:spacing w:after="0" w:line="4" w:lineRule="exact"/>
        <w:rPr>
          <w:rFonts w:ascii="Arial" w:cs="Arial" w:eastAsia="Arial" w:hAnsi="Arial"/>
          <w:sz w:val="16"/>
          <w:szCs w:val="16"/>
          <w:color w:val="auto"/>
        </w:rPr>
      </w:pPr>
    </w:p>
    <w:p>
      <w:pPr>
        <w:ind w:left="320" w:right="360" w:hanging="317"/>
        <w:spacing w:after="0" w:line="250"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Warehousing and distribution services consist of amounts billed to customers for storage, handling, and value-added packaging of customer merchandise. Storage revenue is recognized in the month the service is provided to the customer. Storage expenses are recognized as incurred. Other warehousing and distribution services revenue and expense are recognized in proportion to the services performed.</w:t>
      </w:r>
    </w:p>
    <w:p>
      <w:pPr>
        <w:spacing w:after="0" w:line="1" w:lineRule="exact"/>
        <w:rPr>
          <w:rFonts w:ascii="Arial" w:cs="Arial" w:eastAsia="Arial" w:hAnsi="Arial"/>
          <w:sz w:val="18"/>
          <w:szCs w:val="18"/>
          <w:color w:val="auto"/>
        </w:rPr>
      </w:pPr>
    </w:p>
    <w:p>
      <w:pPr>
        <w:ind w:left="320" w:hanging="317"/>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Supply chain management and other services and related costs are recognized in proportion to the services performed.</w:t>
      </w:r>
    </w:p>
    <w:p>
      <w:pPr>
        <w:spacing w:after="0" w:line="234"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Company generally invoices its customers at the commencement of the voyage or the transportation service being provided, or as other services are being performed. Revenue is deferred when services are invoiced in advance by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customer. The Company’s receivables are classified as short-term as collection terms are for periods of less than one year.</w:t>
      </w:r>
    </w:p>
    <w:p>
      <w:pPr>
        <w:spacing w:after="0" w:line="24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Company expenses sales commissions and contract acquisition costs as incurred because the amounts are generally immaterial. These expenses are included in selling, general and administration expenses in the Condensed Consolidated Statements of Income and Comprehensive Income.</w:t>
      </w:r>
    </w:p>
    <w:p>
      <w:pPr>
        <w:spacing w:after="0" w:line="18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b w:val="1"/>
          <w:bCs w:val="1"/>
          <w:i w:val="1"/>
          <w:iCs w:val="1"/>
          <w:color w:val="auto"/>
        </w:rPr>
        <w:t xml:space="preserve">Capital Construction Fund: </w:t>
      </w:r>
      <w:r>
        <w:rPr>
          <w:rFonts w:ascii="Arial" w:cs="Arial" w:eastAsia="Arial" w:hAnsi="Arial"/>
          <w:sz w:val="18"/>
          <w:szCs w:val="18"/>
          <w:color w:val="auto"/>
        </w:rPr>
        <w:t>The Company’s Capital Construction Fund (“CCF”) is described in Note 7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included in Part II, Item 8 of the Company’s Annual Report on Form 10-K for the year ended December 31, 2017. As of September 30, 2018 and December 31, 2017, the following amounts related to the Company’s CCF:</w:t>
      </w:r>
    </w:p>
    <w:tbl>
      <w:tblPr>
        <w:tblLayout w:type="fixed"/>
        <w:tblInd w:w="0" w:type="dxa"/>
        <w:tblCellMar>
          <w:top w:w="0" w:type="dxa"/>
          <w:left w:w="0" w:type="dxa"/>
          <w:bottom w:w="0" w:type="dxa"/>
          <w:right w:w="0" w:type="dxa"/>
        </w:tblCellMar>
      </w:tblPr>
      <w:tr>
        <w:trPr>
          <w:trHeight w:val="142"/>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1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w:t>
            </w:r>
          </w:p>
        </w:tc>
        <w:tc>
          <w:tcPr>
            <w:tcW w:w="10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Construction Fund:</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20"/>
              <w:spacing w:after="0"/>
              <w:rPr>
                <w:sz w:val="20"/>
                <w:szCs w:val="20"/>
                <w:color w:val="auto"/>
              </w:rPr>
            </w:pPr>
            <w:r>
              <w:rPr>
                <w:rFonts w:ascii="Arial" w:cs="Arial" w:eastAsia="Arial" w:hAnsi="Arial"/>
                <w:sz w:val="18"/>
                <w:szCs w:val="18"/>
                <w:color w:val="auto"/>
              </w:rPr>
              <w:t>Cash on deposit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Assigned accounts receivables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Cash on deposit in the CCF is held in a money market account and classified as a long-term asset in the Company’s Condensed Consolidated Balance Sheets, as the Company intends to use qualified cash withdrawals to fund long-term investment in the construction of new vessels. During the nine months ended September 30, 2018 and 2017, the Company deposited $246.6 million and $64.6 million into the CCF, and made qualifying cash withdrawals of $247.5 million and $95.8 million from the CCF, respectively. Eligible accounts receivable that are assigned into the CCF are classified as part of accounts receivable in the Condensed Consolidated Financial Statements due to the nature of the assignment.</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Investment in Terminal Joint Venture: </w:t>
      </w:r>
      <w:r>
        <w:rPr>
          <w:rFonts w:ascii="Arial" w:cs="Arial" w:eastAsia="Arial" w:hAnsi="Arial"/>
          <w:sz w:val="18"/>
          <w:szCs w:val="18"/>
          <w:color w:val="auto"/>
        </w:rPr>
        <w:t>The Company’s investment in the Terminal Joint Venture was $79.1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$93.2 million at September 30, 2018 and December 31, 2017, respectively. Condensed income statement information (unaudited) for the Terminal Joint Venture for the three and nine months ended September 30, 2018 and 2017 consisted of the following:</w:t>
      </w:r>
    </w:p>
    <w:tbl>
      <w:tblPr>
        <w:tblLayout w:type="fixed"/>
        <w:tblInd w:w="0" w:type="dxa"/>
        <w:tblCellMar>
          <w:top w:w="0" w:type="dxa"/>
          <w:left w:w="0" w:type="dxa"/>
          <w:bottom w:w="0" w:type="dxa"/>
          <w:right w:w="0" w:type="dxa"/>
        </w:tblCellMar>
      </w:tblPr>
      <w:tr>
        <w:trPr>
          <w:trHeight w:val="142"/>
        </w:trPr>
        <w:tc>
          <w:tcPr>
            <w:tcW w:w="22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4"/>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42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(581.9)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Net Income (1)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Company Share of Net Income</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20" w:hanging="317"/>
        <w:spacing w:after="0" w:line="224" w:lineRule="auto"/>
        <w:tabs>
          <w:tab w:leader="none" w:pos="320" w:val="left"/>
        </w:tabs>
        <w:numPr>
          <w:ilvl w:val="0"/>
          <w:numId w:val="9"/>
        </w:numPr>
        <w:rPr>
          <w:rFonts w:ascii="Arial" w:cs="Arial" w:eastAsia="Arial" w:hAnsi="Arial"/>
          <w:sz w:val="29"/>
          <w:szCs w:val="29"/>
          <w:color w:val="auto"/>
          <w:vertAlign w:val="superscript"/>
        </w:rPr>
      </w:pPr>
      <w:r>
        <w:rPr>
          <w:rFonts w:ascii="Arial" w:cs="Arial" w:eastAsia="Arial" w:hAnsi="Arial"/>
          <w:sz w:val="14"/>
          <w:szCs w:val="14"/>
          <w:color w:val="auto"/>
        </w:rPr>
        <w:t>Includes earnings from equity method investments held by the Terminal Joint Venture less earnings allocated to non-controlling interests.</w:t>
      </w:r>
    </w:p>
    <w:p>
      <w:pPr>
        <w:spacing w:after="0" w:line="2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 connection with the Tax Cuts and Jobs Act that was signed into law on December 22, 2017 (the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the Company recorded a non-cash tax adjustment of $3.1 million that increased income taxes for the nine months ended September 30, 2018. No amount was recorded during the three months ended September 30, 2018. This adjustment related to the application of an estimated 6.2 percent sequestration on alternative minimum tax (AMT) refunds for the years 2018 to 2021, and was based on new guidance issued by the Internal Revenue Service and emerging interpretations of the Tax Act.</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continues to assess the impact of the Tax Act and any related interpretations, when issued, on the Company’s income tax estimates. These and other factors could materially affect the Company’s financial condition or its future operating results.</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i w:val="1"/>
          <w:iCs w:val="1"/>
          <w:color w:val="auto"/>
        </w:rPr>
        <w:t>Environmental Matters: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Ocean Transportation business has certain risks that could result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expenditures for environmental remediation. The Company believes that based on all information available to it, the Company is currently in compliance, in all material respects, with applicable environmental laws and regulations.</w:t>
      </w:r>
    </w:p>
    <w:p>
      <w:pPr>
        <w:spacing w:after="0" w:line="16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Other Matters: </w:t>
      </w:r>
      <w:r>
        <w:rPr>
          <w:rFonts w:ascii="Arial" w:cs="Arial" w:eastAsia="Arial" w:hAnsi="Arial"/>
          <w:sz w:val="16"/>
          <w:szCs w:val="16"/>
          <w:color w:val="auto"/>
        </w:rPr>
        <w:t>The Company and its subsidiaries are parties to, or may be contingently liable in connection with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arising in the normal course of their businesses, the outcomes of which, in the opinion of management after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consultation with counsel, would not have a material effect on the Company’s financial condition, results of operations, or cash flows.</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New Accounting Pronouncements: </w:t>
      </w:r>
      <w:r>
        <w:rPr>
          <w:rFonts w:ascii="Arial" w:cs="Arial" w:eastAsia="Arial" w:hAnsi="Arial"/>
          <w:sz w:val="16"/>
          <w:szCs w:val="16"/>
          <w:i w:val="1"/>
          <w:iCs w:val="1"/>
          <w:color w:val="auto"/>
        </w:rPr>
        <w:t>Revenues from Contracts with Customers (Topic 606) (“ASU 2014-09”):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adopted ASU 2014-09 during the three months ended March 31, 2018 using the modified retrospective method. This method allowed the Company to recognize the cumulative effect of initially applying ASU 2014-09 as an adjustment to retained earnings as of December 31, 2017. Prior to adopting ASU 2014-09, the Company performed a review of its revenue contracts and evaluated the Company’s current accounting policies and procedures for recognizing revenues in the Company’s Consolidated Financial Statements, and compared these to the new requirements of ASU 2014-09. In addition, the Company identified the performance obligations and consideration applicable under each contract.</w:t>
      </w:r>
    </w:p>
    <w:p>
      <w:pPr>
        <w:spacing w:after="0" w:line="16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Based upon this evaluation, the Company determined that the impact of adopting ASU 2014-09 was immaterial because the analysis of the Company’s contracts under ASU 2014-09 supports the recognition of revenue over time as the service is performed, which is consistent with the Company’s current revenue recognition accounting policy. The majority of the Company’s contracts require the Company to provide ocean and logistics transportation services to its customers. Such services are provided by the Company over a period of time, generally, when cargo is being delivered from source to destination point, or as the service is being performed. Therefore, performance obligations are completed in a short period of time due to the nature of the services provided by the Company. Under the new standard, revenues from the majority of the Company’s contracts will continue to be recognized over time as the customer simultaneously receives and consumes the benefit of these services as described in ASU 2014-09. In addition, the identification of performance obligations and related consideration under the new standard is not materially different from our current accounting treatment.</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Income Statement – Reporting Comprehensive Income (Topic 220) </w:t>
      </w:r>
      <w:r>
        <w:rPr>
          <w:rFonts w:ascii="Arial" w:cs="Arial" w:eastAsia="Arial" w:hAnsi="Arial"/>
          <w:sz w:val="18"/>
          <w:szCs w:val="18"/>
          <w:color w:val="auto"/>
        </w:rPr>
        <w:t>(“ASU 2018-02”): ASU 2018-02 allows a reclassification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accumulated other comprehensive income (loss) to retained earnings for the remeasurement tax effects resulting from the Tax Act. The Company elected to early adopt ASU 2018-02 during the three months ended March 31, 2018, and recorded a reclassification adjustment of $6.0 million between accumulated other comprehensive income (loss) and retained earnings (see Note 7).</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Compensation – Retirement Benefits (Topic 715), Improving the Presentation of Net Periodic Pension Cost and Benefit Cost </w:t>
      </w:r>
      <w:r>
        <w:rPr>
          <w:rFonts w:ascii="Arial" w:cs="Arial" w:eastAsia="Arial" w:hAnsi="Arial"/>
          <w:sz w:val="17"/>
          <w:szCs w:val="17"/>
          <w:color w:val="auto"/>
        </w:rPr>
        <w:t>(“ASU 2017-07”): ASU 2017-07 requires employers that sponsor defined benefit pension and post-retirement plans to present the service cost component of net benefit cost in the same income statement line item as other employee compensation costs arising from services rendered, and that only the service cost component will be eligible for capitalization. The other components of the net periodic benefit cost must be presented separately from the line item that includes the service cost component and outside of the income from operations subtotal.</w:t>
      </w:r>
    </w:p>
    <w:p>
      <w:pPr>
        <w:spacing w:after="0" w:line="17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Company adopted ASU 2017-07 during the three months ended March 31, 2018. To conform prior period amounts to current period presentation as required by ASU 2017-07, the Company recorded retrospective adjustments and reclassified $3.5 million and $1.6 million of expenses from operating costs to other income (expense) in the Condensed Consolidated Statement of Income and Comprehensive Income for the three and nine months ended September 30, 2017,</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respectively. There was no change to income before income taxes for all periods presented as a result of adopting ASU 2017-07.</w:t>
      </w:r>
    </w:p>
    <w:p>
      <w:pPr>
        <w:spacing w:after="0" w:line="18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Leases (Topic 842) </w:t>
      </w:r>
      <w:r>
        <w:rPr>
          <w:rFonts w:ascii="Arial" w:cs="Arial" w:eastAsia="Arial" w:hAnsi="Arial"/>
          <w:sz w:val="16"/>
          <w:szCs w:val="16"/>
          <w:color w:val="auto"/>
        </w:rPr>
        <w:t>(“ASU 2016-02”): ASU 2016-02 requires lessees to record most leases on their balance sheets but</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the expenses in their income statements in a manner similar to current practice. ASU 2016-02 states that a lessee would recognize a lease liability for the obligation to make lease payments, and a right-of-use asset for the underlying leased asset for the period of the lease term. The new standard is effective for interim and annual periods beginning after December 15, 2018 and early adoption is permitted. The Company is in the process of evaluating the implementation of this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80" w:hanging="577"/>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n is available. The Company’s chief operating decision maker is its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consists of two reportable segments, Ocean Transportation and Logistics, which are further described in Note</w:t>
      </w:r>
    </w:p>
    <w:p>
      <w:pPr>
        <w:spacing w:after="0" w:line="46" w:lineRule="exact"/>
        <w:rPr>
          <w:sz w:val="20"/>
          <w:szCs w:val="20"/>
          <w:color w:val="auto"/>
        </w:rPr>
      </w:pPr>
    </w:p>
    <w:p>
      <w:pPr>
        <w:ind w:right="160" w:firstLine="3"/>
        <w:spacing w:after="0" w:line="271" w:lineRule="auto"/>
        <w:tabs>
          <w:tab w:leader="none" w:pos="225"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 The Company’s Terminal Joint Venture segment has been aggregated into the Company’s Ocean Transportation segment due to the operations of the Terminal Joint Venture being an integral part of the Company’s Ocean Transportation business.</w:t>
      </w:r>
    </w:p>
    <w:p>
      <w:pPr>
        <w:spacing w:after="0" w:line="1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Company’s Ocean Transportation segment provides ocean transportation services to the Logistics segment, and the Logistics segment provides logistics services to the Ocean Transportation segment. Accordingly, inter-segment revenue of $27.6 million and $24.1 million for the three months ended September 30, 2018 and 2017, and $72.7 million and $62.7 million for the nine months ended September 30, 2018 and 2017, respectively, have been eliminated from operating revenue in the table below.</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Reportable segment results for the three and nine months ended September 30, 2018 and 2017 consisted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15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56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3"/>
          </w:tcPr>
          <w:p>
            <w:pPr>
              <w:ind w:left="220"/>
              <w:spacing w:after="0"/>
              <w:rPr>
                <w:sz w:val="20"/>
                <w:szCs w:val="20"/>
                <w:color w:val="auto"/>
              </w:rPr>
            </w:pPr>
            <w:r>
              <w:rPr>
                <w:rFonts w:ascii="Arial" w:cs="Arial" w:eastAsia="Arial" w:hAnsi="Arial"/>
                <w:sz w:val="18"/>
                <w:szCs w:val="18"/>
                <w:color w:val="auto"/>
              </w:rPr>
              <w:t>Ocean Transportation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1,223.2</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1,181.9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tcBorders>
              <w:bottom w:val="single" w:sz="8" w:color="CCEEFF"/>
            </w:tcBorders>
            <w:gridSpan w:val="3"/>
          </w:tcPr>
          <w:p>
            <w:pPr>
              <w:ind w:left="440"/>
              <w:spacing w:after="0"/>
              <w:rPr>
                <w:sz w:val="20"/>
                <w:szCs w:val="20"/>
                <w:color w:val="auto"/>
              </w:rPr>
            </w:pPr>
            <w:r>
              <w:rPr>
                <w:rFonts w:ascii="Arial" w:cs="Arial" w:eastAsia="Arial" w:hAnsi="Arial"/>
                <w:sz w:val="18"/>
                <w:szCs w:val="18"/>
                <w:color w:val="auto"/>
              </w:rPr>
              <w:t>Total Operating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1,657.9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1,530.8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3"/>
          </w:tcPr>
          <w:p>
            <w:pPr>
              <w:ind w:left="220"/>
              <w:spacing w:after="0"/>
              <w:rPr>
                <w:sz w:val="20"/>
                <w:szCs w:val="20"/>
                <w:color w:val="auto"/>
              </w:rPr>
            </w:pPr>
            <w:r>
              <w:rPr>
                <w:rFonts w:ascii="Arial" w:cs="Arial" w:eastAsia="Arial" w:hAnsi="Arial"/>
                <w:sz w:val="18"/>
                <w:szCs w:val="18"/>
                <w:color w:val="auto"/>
              </w:rPr>
              <w:t>Ocean Transportation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109.7</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gridSpan w:val="3"/>
          </w:tcPr>
          <w:p>
            <w:pPr>
              <w:ind w:left="440"/>
              <w:spacing w:after="0"/>
              <w:rPr>
                <w:sz w:val="20"/>
                <w:szCs w:val="20"/>
                <w:color w:val="auto"/>
              </w:rPr>
            </w:pPr>
            <w:r>
              <w:rPr>
                <w:rFonts w:ascii="Arial" w:cs="Arial" w:eastAsia="Arial" w:hAnsi="Arial"/>
                <w:sz w:val="18"/>
                <w:szCs w:val="18"/>
                <w:color w:val="auto"/>
              </w:rPr>
              <w:t>Total Operating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556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7"/>
        </w:trPr>
        <w:tc>
          <w:tcPr>
            <w:tcW w:w="55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40" w:hanging="317"/>
        <w:spacing w:after="0" w:line="238" w:lineRule="auto"/>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$9.2 million and $7.5 million of equity in income from the Terminal Joint Venture for the three months ended September 30, 2018 and 2017, and $28.8 million and $19.3 million for the nine months ended September 30, 2018 and 2017, respectively.</w:t>
      </w:r>
    </w:p>
    <w:p>
      <w:pPr>
        <w:spacing w:after="0" w:line="183" w:lineRule="exact"/>
        <w:rPr>
          <w:sz w:val="20"/>
          <w:szCs w:val="20"/>
          <w:color w:val="auto"/>
        </w:rPr>
      </w:pPr>
    </w:p>
    <w:p>
      <w:pPr>
        <w:ind w:left="580" w:hanging="577"/>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September 30, 2018 and December 31, 2017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640" w:type="dxa"/>
            <w:vAlign w:val="bottom"/>
            <w:tcBorders>
              <w:bottom w:val="single" w:sz="8" w:color="auto"/>
            </w:tcBorders>
            <w:vMerge w:val="continue"/>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20"/>
              <w:spacing w:after="0"/>
              <w:rPr>
                <w:sz w:val="20"/>
                <w:szCs w:val="20"/>
                <w:color w:val="auto"/>
              </w:rPr>
            </w:pPr>
            <w:r>
              <w:rPr>
                <w:rFonts w:ascii="Arial" w:cs="Arial" w:eastAsia="Arial" w:hAnsi="Arial"/>
                <w:sz w:val="18"/>
                <w:szCs w:val="18"/>
                <w:color w:val="auto"/>
              </w:rPr>
              <w:t>Vessels</w:t>
            </w:r>
          </w:p>
        </w:tc>
        <w:tc>
          <w:tcPr>
            <w:tcW w:w="336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1,414.5</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Containers and equipment</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20"/>
              <w:spacing w:after="0"/>
              <w:rPr>
                <w:sz w:val="20"/>
                <w:szCs w:val="20"/>
                <w:color w:val="auto"/>
              </w:rPr>
            </w:pPr>
            <w:r>
              <w:rPr>
                <w:rFonts w:ascii="Arial" w:cs="Arial" w:eastAsia="Arial" w:hAnsi="Arial"/>
                <w:sz w:val="18"/>
                <w:szCs w:val="18"/>
                <w:color w:val="auto"/>
              </w:rPr>
              <w:t>Terminal facilities and other property</w:t>
            </w:r>
          </w:p>
        </w:tc>
        <w:tc>
          <w:tcPr>
            <w:tcW w:w="2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Vessel construction in progress</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construction in progress</w:t>
            </w:r>
          </w:p>
        </w:tc>
        <w:tc>
          <w:tcPr>
            <w:tcW w:w="2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w:t>
            </w:r>
          </w:p>
        </w:tc>
        <w:tc>
          <w:tcPr>
            <w:tcW w:w="2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Accumulated Depreciation</w:t>
            </w:r>
          </w:p>
        </w:tc>
        <w:tc>
          <w:tcPr>
            <w:tcW w:w="29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and Equipment, net</w:t>
            </w:r>
          </w:p>
        </w:tc>
        <w:tc>
          <w:tcPr>
            <w:tcW w:w="2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3640" w:type="dxa"/>
            <w:vAlign w:val="bottom"/>
          </w:tcPr>
          <w:p>
            <w:pPr>
              <w:spacing w:after="0"/>
              <w:rPr>
                <w:sz w:val="24"/>
                <w:szCs w:val="24"/>
                <w:color w:val="auto"/>
              </w:rPr>
            </w:pPr>
          </w:p>
        </w:tc>
        <w:tc>
          <w:tcPr>
            <w:tcW w:w="2960" w:type="dxa"/>
            <w:vAlign w:val="bottom"/>
          </w:tcPr>
          <w:p>
            <w:pPr>
              <w:jc w:val="right"/>
              <w:ind w:right="193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4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Vessel construction in progress relates to progress payments for the construction of four new vessels to be used within the Hawaii service, capitalized owners’ items and capitalized interest. Capitalized interest included in vessel construction in progress was $23.8 million and $10.4 million at September 30, 2018 and December 31, 2017, respectively.</w:t>
      </w:r>
    </w:p>
    <w:p>
      <w:pPr>
        <w:spacing w:after="0" w:line="359" w:lineRule="exact"/>
        <w:rPr>
          <w:sz w:val="20"/>
          <w:szCs w:val="20"/>
          <w:color w:val="auto"/>
        </w:rPr>
      </w:pPr>
    </w:p>
    <w:p>
      <w:pPr>
        <w:ind w:left="580" w:hanging="577"/>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at both September 30, 2018 and December 31, 2017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4"/>
          </w:tcPr>
          <w:p>
            <w:pPr>
              <w:jc w:val="right"/>
              <w:ind w:right="182"/>
              <w:spacing w:after="0"/>
              <w:rPr>
                <w:sz w:val="20"/>
                <w:szCs w:val="20"/>
                <w:color w:val="auto"/>
              </w:rPr>
            </w:pPr>
            <w:r>
              <w:rPr>
                <w:rFonts w:ascii="Arial" w:cs="Arial" w:eastAsia="Arial" w:hAnsi="Arial"/>
                <w:sz w:val="14"/>
                <w:szCs w:val="14"/>
                <w:b w:val="1"/>
                <w:bCs w:val="1"/>
                <w:color w:val="auto"/>
              </w:rPr>
              <w:t>Ocean</w:t>
            </w:r>
          </w:p>
        </w:tc>
        <w:tc>
          <w:tcPr>
            <w:tcW w:w="200" w:type="dxa"/>
            <w:vAlign w:val="bottom"/>
          </w:tcPr>
          <w:p>
            <w:pPr>
              <w:spacing w:after="0"/>
              <w:rPr>
                <w:sz w:val="14"/>
                <w:szCs w:val="14"/>
                <w:color w:val="auto"/>
              </w:rPr>
            </w:pPr>
          </w:p>
        </w:tc>
        <w:tc>
          <w:tcPr>
            <w:tcW w:w="6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84"/>
              </w:rPr>
              <w:t>Logistics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80" w:type="dxa"/>
            <w:vAlign w:val="bottom"/>
            <w:gridSpan w:val="2"/>
            <w:vMerge w:val="continue"/>
          </w:tcPr>
          <w:p>
            <w:pPr>
              <w:spacing w:after="0"/>
              <w:rPr>
                <w:sz w:val="14"/>
                <w:szCs w:val="14"/>
                <w:color w:val="auto"/>
              </w:rPr>
            </w:pPr>
          </w:p>
        </w:tc>
        <w:tc>
          <w:tcPr>
            <w:tcW w:w="1120" w:type="dxa"/>
            <w:vAlign w:val="bottom"/>
            <w:gridSpan w:val="6"/>
          </w:tcPr>
          <w:p>
            <w:pPr>
              <w:ind w:left="200"/>
              <w:spacing w:after="0"/>
              <w:rPr>
                <w:sz w:val="20"/>
                <w:szCs w:val="20"/>
                <w:color w:val="auto"/>
              </w:rPr>
            </w:pPr>
            <w:r>
              <w:rPr>
                <w:rFonts w:ascii="Arial" w:cs="Arial" w:eastAsia="Arial" w:hAnsi="Arial"/>
                <w:sz w:val="14"/>
                <w:szCs w:val="14"/>
                <w:b w:val="1"/>
                <w:bCs w:val="1"/>
                <w:color w:val="auto"/>
                <w:w w:val="91"/>
              </w:rPr>
              <w:t>Transportation</w:t>
            </w:r>
          </w:p>
        </w:tc>
        <w:tc>
          <w:tcPr>
            <w:tcW w:w="20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98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  105.2</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323.7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100" w:type="dxa"/>
            <w:vAlign w:val="bottom"/>
            <w:gridSpan w:val="8"/>
          </w:tcPr>
          <w:p>
            <w:pPr>
              <w:spacing w:after="0"/>
              <w:rPr>
                <w:sz w:val="20"/>
                <w:szCs w:val="20"/>
                <w:color w:val="auto"/>
              </w:rPr>
            </w:pPr>
            <w:r>
              <w:rPr>
                <w:rFonts w:ascii="Arial" w:cs="Arial" w:eastAsia="Arial" w:hAnsi="Arial"/>
                <w:sz w:val="18"/>
                <w:szCs w:val="18"/>
                <w:color w:val="auto"/>
                <w:w w:val="96"/>
              </w:rPr>
              <w:t>Intangible assets at September 30, 2018 and December 31, 2017 consisted of the following:</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24"/>
                <w:szCs w:val="24"/>
                <w:color w:val="auto"/>
              </w:rPr>
            </w:pPr>
          </w:p>
        </w:tc>
        <w:tc>
          <w:tcPr>
            <w:tcW w:w="1080" w:type="dxa"/>
            <w:vAlign w:val="bottom"/>
            <w:gridSpan w:val="7"/>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center"/>
              <w:ind w:right="199"/>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Ocean Transportation</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4"/>
          </w:tcPr>
          <w:p>
            <w:pPr>
              <w:jc w:val="right"/>
              <w:ind w:right="142"/>
              <w:spacing w:after="0" w:line="189"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140.6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gridSpan w:val="3"/>
          </w:tcPr>
          <w:p>
            <w:pPr>
              <w:ind w:left="40"/>
              <w:spacing w:after="0" w:line="189"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140.6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Logistics</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90.1</w:t>
            </w: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90.1</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Total</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230.7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230.7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Less: Accumulated Amortization</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(41.2)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Total Customer Relationships, net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189.5</w:t>
            </w:r>
          </w:p>
        </w:tc>
        <w:tc>
          <w:tcPr>
            <w:tcW w:w="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197.9</w:t>
            </w:r>
          </w:p>
        </w:tc>
        <w:tc>
          <w:tcPr>
            <w:tcW w:w="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Trade name - Logistics</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27.3</w:t>
            </w: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27.3</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8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Total Intangible Assets, net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216.8</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225.2</w:t>
            </w: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180" w:type="dxa"/>
            <w:vAlign w:val="bottom"/>
          </w:tcPr>
          <w:p>
            <w:pPr>
              <w:spacing w:after="0"/>
              <w:rPr>
                <w:sz w:val="20"/>
                <w:szCs w:val="20"/>
                <w:color w:val="auto"/>
              </w:rPr>
            </w:pPr>
            <w:r>
              <w:rPr>
                <w:rFonts w:ascii="Arial" w:cs="Arial" w:eastAsia="Arial" w:hAnsi="Arial"/>
                <w:sz w:val="18"/>
                <w:szCs w:val="18"/>
                <w:b w:val="1"/>
                <w:bCs w:val="1"/>
                <w:color w:val="auto"/>
              </w:rPr>
              <w:t>6.</w:t>
            </w:r>
          </w:p>
        </w:tc>
        <w:tc>
          <w:tcPr>
            <w:tcW w:w="5800" w:type="dxa"/>
            <w:vAlign w:val="bottom"/>
          </w:tcPr>
          <w:p>
            <w:pPr>
              <w:ind w:left="40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980" w:type="dxa"/>
            <w:vAlign w:val="bottom"/>
            <w:gridSpan w:val="2"/>
          </w:tcPr>
          <w:p>
            <w:pPr>
              <w:spacing w:after="0"/>
              <w:rPr>
                <w:sz w:val="20"/>
                <w:szCs w:val="20"/>
                <w:color w:val="auto"/>
              </w:rPr>
            </w:pPr>
            <w:r>
              <w:rPr>
                <w:rFonts w:ascii="Arial" w:cs="Arial" w:eastAsia="Arial" w:hAnsi="Arial"/>
                <w:sz w:val="18"/>
                <w:szCs w:val="18"/>
                <w:color w:val="auto"/>
                <w:w w:val="93"/>
              </w:rPr>
              <w:t>Debt at September 30, 2018 and December 31, 2017 consisted of the following:</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5"/>
          </w:tcPr>
          <w:p>
            <w:pPr>
              <w:ind w:left="2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4"/>
                <w:szCs w:val="24"/>
                <w:color w:val="auto"/>
              </w:rPr>
            </w:pPr>
          </w:p>
        </w:tc>
        <w:tc>
          <w:tcPr>
            <w:tcW w:w="1080" w:type="dxa"/>
            <w:vAlign w:val="bottom"/>
            <w:gridSpan w:val="7"/>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right="239"/>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Placement Term Loans: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5.79 %, payable through 2020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4"/>
          </w:tcPr>
          <w:p>
            <w:pPr>
              <w:jc w:val="right"/>
              <w:ind w:right="16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3.66 %, payable through 2023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4.16 %, payable through 2027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3.37 %, payable through 2027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3.14 %, payable through 2031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4.31 %, payable through 2032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4.35 %, payable through 2044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3.92 %, payable through 2045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Title XI Bonds: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5.34 %, payable through 2028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0" w:type="dxa"/>
            <w:vAlign w:val="bottom"/>
          </w:tcPr>
          <w:p>
            <w:pPr>
              <w:ind w:left="40"/>
              <w:spacing w:after="0"/>
              <w:rPr>
                <w:sz w:val="20"/>
                <w:szCs w:val="20"/>
                <w:color w:val="auto"/>
              </w:rPr>
            </w:pPr>
            <w:r>
              <w:rPr>
                <w:rFonts w:ascii="Arial" w:cs="Arial" w:eastAsia="Arial" w:hAnsi="Arial"/>
                <w:sz w:val="18"/>
                <w:szCs w:val="18"/>
                <w:color w:val="auto"/>
              </w:rPr>
              <w:t>5.27 %, payable through 2029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Capital leases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(42.1)</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(30.8)</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Company’s debt is described in Note 8 to the Consolidated Financial Statements included in Part II, Item 8 of the Company’s Annual Report on Form 10-K for the year ended December 31, 2017. Borrowings under the revolving credit facility are classified as long-term debt in the Condensed Consolidated Balance Sheets, as principal payments are not required until the maturity date of June 29, 2022.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September 30, 2018, the Company had $243.2 million of remaining availability under the revolving credit facility. The interest rate on borrowings under the revolving credit facility approximated 3.52 percent during the three months ended September 30, 2018.</w:t>
      </w:r>
    </w:p>
    <w:p>
      <w:pPr>
        <w:spacing w:after="0" w:line="393" w:lineRule="exact"/>
        <w:rPr>
          <w:sz w:val="20"/>
          <w:szCs w:val="20"/>
          <w:color w:val="auto"/>
        </w:rPr>
      </w:pPr>
    </w:p>
    <w:p>
      <w:pPr>
        <w:ind w:left="580" w:hanging="577"/>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8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Changes in accumulated other comprehensive income (loss) by component, net of tax, for the nine months ended September 30, 2018 consisted of the following:</w:t>
      </w: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4"/>
          </w:tcPr>
          <w:p>
            <w:pPr>
              <w:jc w:val="center"/>
              <w:ind w:right="40"/>
              <w:spacing w:after="0" w:line="141"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Post</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Pensions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Qualified</w:t>
            </w: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44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Retirement</w:t>
            </w: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Plans</w:t>
            </w:r>
          </w:p>
        </w:tc>
        <w:tc>
          <w:tcPr>
            <w:tcW w:w="720" w:type="dxa"/>
            <w:vAlign w:val="bottom"/>
            <w:gridSpan w:val="3"/>
            <w:vMerge w:val="continue"/>
          </w:tcPr>
          <w:p>
            <w:pPr>
              <w:spacing w:after="0"/>
              <w:rPr>
                <w:sz w:val="14"/>
                <w:szCs w:val="14"/>
                <w:color w:val="auto"/>
              </w:rPr>
            </w:pPr>
          </w:p>
        </w:tc>
        <w:tc>
          <w:tcPr>
            <w:tcW w:w="1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tcPr>
          <w:p>
            <w:pPr>
              <w:ind w:left="120"/>
              <w:spacing w:after="0"/>
              <w:rPr>
                <w:sz w:val="20"/>
                <w:szCs w:val="20"/>
                <w:color w:val="auto"/>
              </w:rPr>
            </w:pPr>
            <w:r>
              <w:rPr>
                <w:rFonts w:ascii="Arial" w:cs="Arial" w:eastAsia="Arial" w:hAnsi="Arial"/>
                <w:sz w:val="18"/>
                <w:szCs w:val="18"/>
                <w:color w:val="auto"/>
              </w:rPr>
              <w:t>Reclassification adjustment related to the Tax Act (1)</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gridSpan w:val="3"/>
          </w:tcPr>
          <w:p>
            <w:pPr>
              <w:spacing w:after="0"/>
              <w:rPr>
                <w:sz w:val="20"/>
                <w:szCs w:val="20"/>
                <w:color w:val="auto"/>
              </w:rPr>
            </w:pPr>
            <w:r>
              <w:rPr>
                <w:rFonts w:ascii="Arial" w:cs="Arial" w:eastAsia="Arial" w:hAnsi="Arial"/>
                <w:sz w:val="18"/>
                <w:szCs w:val="18"/>
                <w:color w:val="auto"/>
              </w:rPr>
              <w:t>Balance at March 31, 2018</w:t>
            </w: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gridSpan w:val="3"/>
          </w:tcPr>
          <w:p>
            <w:pPr>
              <w:spacing w:after="0"/>
              <w:rPr>
                <w:sz w:val="20"/>
                <w:szCs w:val="20"/>
                <w:color w:val="auto"/>
              </w:rPr>
            </w:pPr>
            <w:r>
              <w:rPr>
                <w:rFonts w:ascii="Arial" w:cs="Arial" w:eastAsia="Arial" w:hAnsi="Arial"/>
                <w:sz w:val="18"/>
                <w:szCs w:val="18"/>
                <w:color w:val="auto"/>
              </w:rPr>
              <w:t>Balance at June 30, 2018</w:t>
            </w: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tcPr>
          <w:p>
            <w:pPr>
              <w:ind w:left="120"/>
              <w:spacing w:after="0"/>
              <w:rPr>
                <w:sz w:val="20"/>
                <w:szCs w:val="20"/>
                <w:color w:val="auto"/>
              </w:rPr>
            </w:pPr>
            <w:r>
              <w:rPr>
                <w:rFonts w:ascii="Arial" w:cs="Arial" w:eastAsia="Arial" w:hAnsi="Arial"/>
                <w:sz w:val="18"/>
                <w:szCs w:val="18"/>
                <w:color w:val="auto"/>
              </w:rPr>
              <w:t>Amortization of net loss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80" w:type="dxa"/>
            <w:vAlign w:val="bottom"/>
            <w:gridSpan w:val="3"/>
          </w:tcPr>
          <w:p>
            <w:pPr>
              <w:spacing w:after="0"/>
              <w:rPr>
                <w:sz w:val="20"/>
                <w:szCs w:val="20"/>
                <w:color w:val="auto"/>
              </w:rPr>
            </w:pPr>
            <w:r>
              <w:rPr>
                <w:rFonts w:ascii="Arial" w:cs="Arial" w:eastAsia="Arial" w:hAnsi="Arial"/>
                <w:sz w:val="18"/>
                <w:szCs w:val="18"/>
                <w:color w:val="auto"/>
              </w:rPr>
              <w:t>Balance at September 30,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r>
              <w:rPr>
                <w:rFonts w:ascii="Arial" w:cs="Arial" w:eastAsia="Arial" w:hAnsi="Arial"/>
                <w:sz w:val="18"/>
                <w:szCs w:val="18"/>
                <w:u w:val="single" w:color="auto"/>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40" w:hanging="317"/>
        <w:spacing w:after="0" w:line="253" w:lineRule="auto"/>
        <w:tabs>
          <w:tab w:leader="none" w:pos="3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Reclassification from accumulated other comprehensive income (loss) to retained earnings for the remeasurement tax effects resulting from the Tax Act in accordance with ASU 2018-02</w:t>
      </w:r>
      <w:r>
        <w:rPr>
          <w:rFonts w:ascii="Arial" w:cs="Arial" w:eastAsia="Arial" w:hAnsi="Arial"/>
          <w:sz w:val="14"/>
          <w:szCs w:val="14"/>
          <w:i w:val="1"/>
          <w:iCs w:val="1"/>
          <w:color w:val="auto"/>
        </w:rPr>
        <w:t>.</w:t>
      </w:r>
    </w:p>
    <w:p>
      <w:pPr>
        <w:spacing w:after="0" w:line="17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Changes in accumulated other comprehensive income (loss) by component, net of tax, for the nine months ended September 30, 2017 consisted of the following:</w:t>
      </w:r>
    </w:p>
    <w:tbl>
      <w:tblPr>
        <w:tblLayout w:type="fixed"/>
        <w:tblInd w:w="0" w:type="dxa"/>
        <w:tblCellMar>
          <w:top w:w="0" w:type="dxa"/>
          <w:left w:w="0" w:type="dxa"/>
          <w:bottom w:w="0" w:type="dxa"/>
          <w:right w:w="0" w:type="dxa"/>
        </w:tblCellMar>
      </w:tblPr>
      <w:tr>
        <w:trPr>
          <w:trHeight w:val="141"/>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Post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86"/>
              </w:rPr>
              <w:t>Pensions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Qualified</w:t>
            </w:r>
          </w:p>
        </w:tc>
        <w:tc>
          <w:tcPr>
            <w:tcW w:w="200" w:type="dxa"/>
            <w:vAlign w:val="bottom"/>
          </w:tcPr>
          <w:p>
            <w:pPr>
              <w:spacing w:after="0"/>
              <w:rPr>
                <w:sz w:val="12"/>
                <w:szCs w:val="12"/>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71"/>
        </w:trPr>
        <w:tc>
          <w:tcPr>
            <w:tcW w:w="43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Retirement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Plans</w:t>
            </w:r>
          </w:p>
        </w:tc>
        <w:tc>
          <w:tcPr>
            <w:tcW w:w="2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adjustments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Net gain in prior service cost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Amortization of net loss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Arial" w:cs="Arial" w:eastAsia="Arial" w:hAnsi="Arial"/>
                <w:sz w:val="18"/>
                <w:szCs w:val="18"/>
                <w:color w:val="auto"/>
              </w:rPr>
              <w:t>Net gain in prior service costs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Amortization of net loss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580" w:hanging="577"/>
        <w:spacing w:after="0"/>
        <w:tabs>
          <w:tab w:leader="none" w:pos="5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liability. If the technique used to measure fair value includes inputs from multiple levels of the fair value hierarchy, the lowest level of significant input determines the placement of the entire fair value measurement in the hierarchy.</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uses Level 1 inputs for the fair values of its cash equivalents, and Level 2 inputs for its CCF – cash on deposit, and variable and fixed rate debt. The fair values of cash and cash equivalents, CCF – cash on deposit, and variable rate debt approximate their carrying values due to the nature of the instruments. The fair value of the Company’s fixed rate debt is calculated based upon interest rates available for debt with terms and maturities similar to the Company’s existing debt arrangements.</w:t>
      </w:r>
    </w:p>
    <w:p>
      <w:pPr>
        <w:spacing w:after="0" w:line="18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carrying value and fair value of the Company’s financial instruments as of September 30, 2018 and December 31, 2017 were as follows:</w:t>
      </w:r>
    </w:p>
    <w:tbl>
      <w:tblPr>
        <w:tblLayout w:type="fixed"/>
        <w:tblInd w:w="0" w:type="dxa"/>
        <w:tblCellMar>
          <w:top w:w="0" w:type="dxa"/>
          <w:left w:w="0" w:type="dxa"/>
          <w:bottom w:w="0" w:type="dxa"/>
          <w:right w:w="0" w:type="dxa"/>
        </w:tblCellMar>
      </w:tblPr>
      <w:tr>
        <w:trPr>
          <w:trHeight w:val="141"/>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2"/>
                <w:szCs w:val="12"/>
                <w:color w:val="auto"/>
              </w:rPr>
            </w:pPr>
          </w:p>
        </w:tc>
        <w:tc>
          <w:tcPr>
            <w:tcW w:w="940" w:type="dxa"/>
            <w:vAlign w:val="bottom"/>
          </w:tcPr>
          <w:p>
            <w:pPr>
              <w:jc w:val="center"/>
              <w:ind w:right="77"/>
              <w:spacing w:after="0" w:line="141" w:lineRule="exact"/>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2"/>
                <w:szCs w:val="12"/>
                <w:color w:val="auto"/>
              </w:rPr>
            </w:pPr>
          </w:p>
        </w:tc>
        <w:tc>
          <w:tcPr>
            <w:tcW w:w="9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5"/>
              </w:rPr>
              <w:t>Carrying Value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92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9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3"/>
              </w:rPr>
              <w:t>September 30, 2018</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240" w:type="dxa"/>
            <w:vAlign w:val="bottom"/>
            <w:tcBorders>
              <w:top w:val="single" w:sz="8" w:color="auto"/>
              <w:bottom w:val="single" w:sz="8" w:color="auto"/>
            </w:tcBorders>
            <w:gridSpan w:val="7"/>
          </w:tcPr>
          <w:p>
            <w:pPr>
              <w:jc w:val="right"/>
              <w:ind w:right="675"/>
              <w:spacing w:after="0" w:line="142" w:lineRule="exact"/>
              <w:rPr>
                <w:sz w:val="20"/>
                <w:szCs w:val="20"/>
                <w:color w:val="auto"/>
              </w:rPr>
            </w:pPr>
            <w:r>
              <w:rPr>
                <w:rFonts w:ascii="Arial" w:cs="Arial" w:eastAsia="Arial" w:hAnsi="Arial"/>
                <w:sz w:val="14"/>
                <w:szCs w:val="14"/>
                <w:b w:val="1"/>
                <w:bCs w:val="1"/>
                <w:color w:val="auto"/>
              </w:rPr>
              <w:t>Fair Value Measurements at September 30, 2018</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12.1</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Variable rate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273.0</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273.0</w:t>
            </w:r>
          </w:p>
        </w:tc>
        <w:tc>
          <w:tcPr>
            <w:tcW w:w="2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600.3</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600.3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29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rPr>
              <w:t>Fair Value Measurements at December 31, 2017</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CCF – cash on deposit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205.0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Fixed rate debt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652.1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651.4</w:t>
            </w:r>
          </w:p>
        </w:tc>
        <w:tc>
          <w:tcPr>
            <w:tcW w:w="300" w:type="dxa"/>
            <w:vAlign w:val="bottom"/>
          </w:tcPr>
          <w:p>
            <w:pPr>
              <w:spacing w:after="0"/>
              <w:rPr>
                <w:sz w:val="20"/>
                <w:szCs w:val="20"/>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651.4</w:t>
            </w:r>
          </w:p>
        </w:tc>
        <w:tc>
          <w:tcPr>
            <w:tcW w:w="240" w:type="dxa"/>
            <w:vAlign w:val="bottom"/>
          </w:tcPr>
          <w:p>
            <w:pPr>
              <w:spacing w:after="0"/>
              <w:rPr>
                <w:sz w:val="20"/>
                <w:szCs w:val="20"/>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580" w:hanging="577"/>
        <w:spacing w:after="0"/>
        <w:tabs>
          <w:tab w:leader="none" w:pos="5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PER-SHARE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number of shares used to compute basic and diluted earnings per-share for the three and nine months ended September 30, 2018 and 2017,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9"/>
          </w:tcPr>
          <w:p>
            <w:pPr>
              <w:jc w:val="center"/>
              <w:ind w:left="224"/>
              <w:spacing w:after="0"/>
              <w:rPr>
                <w:sz w:val="20"/>
                <w:szCs w:val="20"/>
                <w:color w:val="auto"/>
              </w:rPr>
            </w:pPr>
            <w:r>
              <w:rPr>
                <w:rFonts w:ascii="Arial" w:cs="Arial" w:eastAsia="Arial" w:hAnsi="Arial"/>
                <w:sz w:val="14"/>
                <w:szCs w:val="14"/>
                <w:b w:val="1"/>
                <w:bCs w:val="1"/>
                <w:color w:val="auto"/>
                <w:w w:val="88"/>
              </w:rPr>
              <w:t>Three Months Ended</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9"/>
          </w:tcPr>
          <w:p>
            <w:pPr>
              <w:jc w:val="center"/>
              <w:ind w:left="224"/>
              <w:spacing w:after="0"/>
              <w:rPr>
                <w:sz w:val="20"/>
                <w:szCs w:val="20"/>
                <w:color w:val="auto"/>
              </w:rPr>
            </w:pPr>
            <w:r>
              <w:rPr>
                <w:rFonts w:ascii="Arial" w:cs="Arial" w:eastAsia="Arial" w:hAnsi="Arial"/>
                <w:sz w:val="14"/>
                <w:szCs w:val="14"/>
                <w:b w:val="1"/>
                <w:bCs w:val="1"/>
                <w:color w:val="auto"/>
                <w:w w:val="88"/>
              </w:rPr>
              <w:t>Nine Months Ended</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9"/>
          </w:tcPr>
          <w:p>
            <w:pPr>
              <w:jc w:val="center"/>
              <w:ind w:left="244"/>
              <w:spacing w:after="0"/>
              <w:rPr>
                <w:sz w:val="20"/>
                <w:szCs w:val="20"/>
                <w:color w:val="auto"/>
              </w:rPr>
            </w:pPr>
            <w:r>
              <w:rPr>
                <w:rFonts w:ascii="Arial" w:cs="Arial" w:eastAsia="Arial" w:hAnsi="Arial"/>
                <w:sz w:val="14"/>
                <w:szCs w:val="14"/>
                <w:b w:val="1"/>
                <w:bCs w:val="1"/>
                <w:color w:val="auto"/>
                <w:w w:val="85"/>
              </w:rPr>
              <w:t>September 30, 2018</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9"/>
          </w:tcPr>
          <w:p>
            <w:pPr>
              <w:jc w:val="center"/>
              <w:ind w:left="224"/>
              <w:spacing w:after="0"/>
              <w:rPr>
                <w:sz w:val="20"/>
                <w:szCs w:val="20"/>
                <w:color w:val="auto"/>
              </w:rPr>
            </w:pPr>
            <w:r>
              <w:rPr>
                <w:rFonts w:ascii="Arial" w:cs="Arial" w:eastAsia="Arial" w:hAnsi="Arial"/>
                <w:sz w:val="14"/>
                <w:szCs w:val="14"/>
                <w:b w:val="1"/>
                <w:bCs w:val="1"/>
                <w:color w:val="auto"/>
                <w:w w:val="85"/>
              </w:rPr>
              <w:t>September 30, 2018</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4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center"/>
              <w:ind w:right="77"/>
              <w:spacing w:after="0" w:line="129" w:lineRule="exact"/>
              <w:rPr>
                <w:sz w:val="20"/>
                <w:szCs w:val="20"/>
                <w:color w:val="auto"/>
              </w:rPr>
            </w:pPr>
            <w:r>
              <w:rPr>
                <w:rFonts w:ascii="Arial" w:cs="Arial" w:eastAsia="Arial" w:hAnsi="Arial"/>
                <w:sz w:val="14"/>
                <w:szCs w:val="14"/>
                <w:b w:val="1"/>
                <w:bCs w:val="1"/>
                <w:color w:val="auto"/>
                <w:w w:val="88"/>
              </w:rPr>
              <w:t>Per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jc w:val="center"/>
              <w:ind w:right="97"/>
              <w:spacing w:after="0" w:line="129" w:lineRule="exact"/>
              <w:rPr>
                <w:sz w:val="20"/>
                <w:szCs w:val="20"/>
                <w:color w:val="auto"/>
              </w:rPr>
            </w:pPr>
            <w:r>
              <w:rPr>
                <w:rFonts w:ascii="Arial" w:cs="Arial" w:eastAsia="Arial" w:hAnsi="Arial"/>
                <w:sz w:val="14"/>
                <w:szCs w:val="14"/>
                <w:b w:val="1"/>
                <w:bCs w:val="1"/>
                <w:color w:val="auto"/>
                <w:w w:val="88"/>
              </w:rPr>
              <w:t>Per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6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Common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7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Common</w:t>
            </w:r>
          </w:p>
        </w:tc>
        <w:tc>
          <w:tcPr>
            <w:tcW w:w="20" w:type="dxa"/>
            <w:vAlign w:val="bottom"/>
          </w:tcPr>
          <w:p>
            <w:pPr>
              <w:spacing w:after="0"/>
              <w:rPr>
                <w:sz w:val="12"/>
                <w:szCs w:val="12"/>
                <w:color w:val="auto"/>
              </w:rPr>
            </w:pPr>
          </w:p>
        </w:tc>
      </w:tr>
      <w:tr>
        <w:trPr>
          <w:trHeight w:val="149"/>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Net</w:t>
            </w:r>
          </w:p>
        </w:tc>
        <w:tc>
          <w:tcPr>
            <w:tcW w:w="6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Net</w:t>
            </w:r>
          </w:p>
        </w:tc>
        <w:tc>
          <w:tcPr>
            <w:tcW w:w="6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Share</w:t>
            </w:r>
          </w:p>
        </w:tc>
        <w:tc>
          <w:tcPr>
            <w:tcW w:w="20" w:type="dxa"/>
            <w:vAlign w:val="bottom"/>
          </w:tcPr>
          <w:p>
            <w:pPr>
              <w:spacing w:after="0"/>
              <w:rPr>
                <w:sz w:val="12"/>
                <w:szCs w:val="12"/>
                <w:color w:val="auto"/>
              </w:rPr>
            </w:pPr>
          </w:p>
        </w:tc>
      </w:tr>
      <w:tr>
        <w:trPr>
          <w:trHeight w:val="161"/>
        </w:trPr>
        <w:tc>
          <w:tcPr>
            <w:tcW w:w="4320" w:type="dxa"/>
            <w:vAlign w:val="bottom"/>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14"/>
                <w:szCs w:val="14"/>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Income</w:t>
            </w:r>
          </w:p>
        </w:tc>
        <w:tc>
          <w:tcPr>
            <w:tcW w:w="60" w:type="dxa"/>
            <w:vAlign w:val="bottom"/>
          </w:tcPr>
          <w:p>
            <w:pPr>
              <w:spacing w:after="0"/>
              <w:rPr>
                <w:sz w:val="14"/>
                <w:szCs w:val="14"/>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6"/>
              </w:rPr>
              <w:t>41.6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6"/>
              </w:rPr>
              <w:t>88.4</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(0.01)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6"/>
              </w:rPr>
              <w:t>41.6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6"/>
              </w:rPr>
              <w:t>88.4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365"/>
        </w:trPr>
        <w:tc>
          <w:tcPr>
            <w:tcW w:w="4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11"/>
          </w:tcPr>
          <w:p>
            <w:pPr>
              <w:jc w:val="center"/>
              <w:ind w:right="80"/>
              <w:spacing w:after="0"/>
              <w:rPr>
                <w:sz w:val="20"/>
                <w:szCs w:val="20"/>
                <w:color w:val="auto"/>
              </w:rPr>
            </w:pPr>
            <w:r>
              <w:rPr>
                <w:rFonts w:ascii="Arial" w:cs="Arial" w:eastAsia="Arial" w:hAnsi="Arial"/>
                <w:sz w:val="14"/>
                <w:szCs w:val="14"/>
                <w:b w:val="1"/>
                <w:bCs w:val="1"/>
                <w:color w:val="auto"/>
                <w:w w:val="88"/>
              </w:rPr>
              <w:t>Three Months Ended</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9"/>
          </w:tcPr>
          <w:p>
            <w:pPr>
              <w:jc w:val="center"/>
              <w:ind w:left="324"/>
              <w:spacing w:after="0"/>
              <w:rPr>
                <w:sz w:val="20"/>
                <w:szCs w:val="20"/>
                <w:color w:val="auto"/>
              </w:rPr>
            </w:pPr>
            <w:r>
              <w:rPr>
                <w:rFonts w:ascii="Arial" w:cs="Arial" w:eastAsia="Arial" w:hAnsi="Arial"/>
                <w:sz w:val="14"/>
                <w:szCs w:val="14"/>
                <w:b w:val="1"/>
                <w:bCs w:val="1"/>
                <w:color w:val="auto"/>
                <w:w w:val="87"/>
              </w:rPr>
              <w:t>Nine Months Ended</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1"/>
        </w:trPr>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9"/>
          </w:tcPr>
          <w:p>
            <w:pPr>
              <w:jc w:val="center"/>
              <w:ind w:left="344"/>
              <w:spacing w:after="0"/>
              <w:rPr>
                <w:sz w:val="20"/>
                <w:szCs w:val="20"/>
                <w:color w:val="auto"/>
              </w:rPr>
            </w:pPr>
            <w:r>
              <w:rPr>
                <w:rFonts w:ascii="Arial" w:cs="Arial" w:eastAsia="Arial" w:hAnsi="Arial"/>
                <w:sz w:val="14"/>
                <w:szCs w:val="14"/>
                <w:b w:val="1"/>
                <w:bCs w:val="1"/>
                <w:color w:val="auto"/>
                <w:w w:val="87"/>
              </w:rPr>
              <w:t>September 30, 2017</w:t>
            </w: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9"/>
          </w:tcPr>
          <w:p>
            <w:pPr>
              <w:jc w:val="center"/>
              <w:ind w:left="324"/>
              <w:spacing w:after="0"/>
              <w:rPr>
                <w:sz w:val="20"/>
                <w:szCs w:val="20"/>
                <w:color w:val="auto"/>
              </w:rPr>
            </w:pPr>
            <w:r>
              <w:rPr>
                <w:rFonts w:ascii="Arial" w:cs="Arial" w:eastAsia="Arial" w:hAnsi="Arial"/>
                <w:sz w:val="14"/>
                <w:szCs w:val="14"/>
                <w:b w:val="1"/>
                <w:bCs w:val="1"/>
                <w:color w:val="auto"/>
                <w:w w:val="87"/>
              </w:rPr>
              <w:t>September 30, 2017</w:t>
            </w: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4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7"/>
              </w:rPr>
              <w:t>Per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Per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Common</w:t>
            </w:r>
          </w:p>
        </w:tc>
        <w:tc>
          <w:tcPr>
            <w:tcW w:w="20" w:type="dxa"/>
            <w:vAlign w:val="bottom"/>
          </w:tcPr>
          <w:p>
            <w:pPr>
              <w:spacing w:after="0"/>
              <w:rPr>
                <w:sz w:val="12"/>
                <w:szCs w:val="12"/>
                <w:color w:val="auto"/>
              </w:rPr>
            </w:pPr>
          </w:p>
        </w:tc>
      </w:tr>
      <w:tr>
        <w:trPr>
          <w:trHeight w:val="149"/>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Share</w:t>
            </w:r>
          </w:p>
        </w:tc>
        <w:tc>
          <w:tcPr>
            <w:tcW w:w="20" w:type="dxa"/>
            <w:vAlign w:val="bottom"/>
          </w:tcPr>
          <w:p>
            <w:pPr>
              <w:spacing w:after="0"/>
              <w:rPr>
                <w:sz w:val="12"/>
                <w:szCs w:val="12"/>
                <w:color w:val="auto"/>
              </w:rPr>
            </w:pPr>
          </w:p>
        </w:tc>
      </w:tr>
      <w:tr>
        <w:trPr>
          <w:trHeight w:val="161"/>
        </w:trPr>
        <w:tc>
          <w:tcPr>
            <w:tcW w:w="4320" w:type="dxa"/>
            <w:vAlign w:val="bottom"/>
          </w:tcPr>
          <w:p>
            <w:pPr>
              <w:spacing w:after="0"/>
              <w:rPr>
                <w:sz w:val="20"/>
                <w:szCs w:val="20"/>
                <w:color w:val="auto"/>
              </w:rPr>
            </w:pPr>
            <w:r>
              <w:rPr>
                <w:rFonts w:ascii="Arial" w:cs="Arial" w:eastAsia="Arial" w:hAnsi="Arial"/>
                <w:sz w:val="14"/>
                <w:szCs w:val="14"/>
                <w:b w:val="1"/>
                <w:bCs w:val="1"/>
                <w:color w:val="auto"/>
              </w:rPr>
              <w:t>(In millions, except per-share amounts)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rPr>
                <w:sz w:val="14"/>
                <w:szCs w:val="14"/>
                <w:color w:val="auto"/>
              </w:rPr>
            </w:pP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(0.01)</w:t>
            </w:r>
          </w:p>
        </w:tc>
        <w:tc>
          <w:tcPr>
            <w:tcW w:w="20" w:type="dxa"/>
            <w:vAlign w:val="bottom"/>
          </w:tcPr>
          <w:p>
            <w:pPr>
              <w:spacing w:after="0"/>
              <w:rPr>
                <w:sz w:val="18"/>
                <w:szCs w:val="18"/>
                <w:color w:val="auto"/>
              </w:rPr>
            </w:pPr>
          </w:p>
        </w:tc>
      </w:tr>
      <w:tr>
        <w:trPr>
          <w:trHeight w:val="217"/>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Basic earnings per-share is determined by dividing net income by the weighted-average common shares outstanding during the period. The calculation of diluted earnings per-share includes the dilutive effect of unexercised non-qualified stock options and non-vested restricted stock units.</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computation of weighted-average dilutive shares outstanding excludes certain non-qualified stock options to purchase shares of common stock where the options’ exercise prices were greater than the average market price of the Company’s common stock for the periods presented and, therefore, the effect would be anti-dilutive. The number of such shares excluded was nominal.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80" w:hanging="677"/>
        <w:spacing w:after="0"/>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three and nine months ended September 30, 2018, the Company granted approximately 2,700 and 383,700 in total of time-based restricted stock units and performance-based shares to certain of its employees at a weighted-average grant date fair value of $36.58 and $31.21, respectively.</w:t>
      </w:r>
    </w:p>
    <w:p>
      <w:pPr>
        <w:spacing w:after="0" w:line="18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Total share-based compensation cost recognized in the Condensed Consolidated Statements of Income and Comprehensive Income as a component of selling, general and administrative expenses was $2.7 million and $2.9 million for the three months ended September 30, 2018 and 2017, and $8.2 million and $7.8 million for the nine months ended September 30, 2018 and 2017, respectively. Total unrecognized compensation cost related to unvested share-based compensation arrangements was $14.9 million at September 30, 2018, and is expected to be recognized over a weighted-average period of 1.8 years. Total unrecognized compensation cost may be adjusted for any unearned performance shares or forfeited shares.</w:t>
      </w:r>
    </w:p>
    <w:p>
      <w:pPr>
        <w:spacing w:after="0" w:line="377" w:lineRule="exact"/>
        <w:rPr>
          <w:sz w:val="20"/>
          <w:szCs w:val="20"/>
          <w:color w:val="auto"/>
        </w:rPr>
      </w:pPr>
    </w:p>
    <w:p>
      <w:pPr>
        <w:ind w:left="660" w:hanging="657"/>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Company’s pension and post-retirement plans are described in Note 11 to the Consolidated Financial Statements included in Part II, Item 8 of the Company’s Annual Report on Form 10-K for the year ended December 31, 2017. The following tables provide the components of net periodic benefit cost for the Company’s qualified defined benefit pension and post-retirement plans for the three and nine months ended September 30, 2018 and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Pension Benefits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center"/>
              <w:ind w:right="72"/>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5"/>
          </w:tcPr>
          <w:p>
            <w:pPr>
              <w:jc w:val="center"/>
              <w:ind w:right="72"/>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297"/>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132"/>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 (benefit):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Service cost</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5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55"/>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Pension Benefits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5"/>
          </w:tcPr>
          <w:p>
            <w:pPr>
              <w:jc w:val="center"/>
              <w:ind w:right="72"/>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5"/>
          </w:tcPr>
          <w:p>
            <w:pPr>
              <w:jc w:val="center"/>
              <w:ind w:right="92"/>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297"/>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132"/>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Components of net periodic benefit cost (benefit):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Service cost</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5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net loss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Amortization of prior service credit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adjustments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5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ind w:right="120"/>
        <w:spacing w:after="0" w:line="224" w:lineRule="exact"/>
        <w:rPr>
          <w:sz w:val="20"/>
          <w:szCs w:val="20"/>
          <w:color w:val="auto"/>
        </w:rPr>
      </w:pPr>
      <w:r>
        <w:rPr>
          <w:rFonts w:ascii="Arial" w:cs="Arial" w:eastAsia="Arial" w:hAnsi="Arial"/>
          <w:sz w:val="16"/>
          <w:szCs w:val="16"/>
          <w:color w:val="auto"/>
        </w:rPr>
        <w:t>The following discussion and analysis should be read in conjunction with the Condensed Consolidated Financial Statements and related notes, and other financial information appearing elsewhere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cautions that forward-looking statements are subject to numerous assumptions, risks and uncertainties, which change over time, including, but not limited to, the risk factors that are described in Part II, Item 1A, “Risk Factors” of this Quarterly Report and Part I, Item 1A, “Risk Factors” of Matson’s Annual Report on Form 10-K for the year ended December 31, 2017.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on Form 10-K for the year ended December 31, 2017, the Company’s reports on Forms 10-Q and 8-K, and other publicly available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Ocean Transportation: </w:t>
      </w:r>
      <w:r>
        <w:rPr>
          <w:rFonts w:ascii="Arial" w:cs="Arial" w:eastAsia="Arial" w:hAnsi="Arial"/>
          <w:sz w:val="18"/>
          <w:szCs w:val="18"/>
          <w:color w:val="auto"/>
        </w:rPr>
        <w:t>The Company’s container volume in the Hawaii service in the third quarter 2018 was 1.1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lower year-over-year primarily due to one less sailing. The Hawaii economy continues to be strong, supported primarily by healthy tourism activity and low unemployment. The Company expects volume in 2018 to approximate the level achieved in 2017, reflecting a solid Hawaii economy and stable market share.</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China, the Company’s container volume in the third quarter 2018 was 3.3 percent lower year-over-year largely due to a dry-dock return sailing in the year ago period. Matson continued to realize a sizeable rate premium in the third quarter 2018 and achieved average freight rates higher than the third quarter 2017. For 2018, the Company expects freight rates to be higher than the average rate achieved in 2017 and volume to be modestly lower than the level achieved in 2017.</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Guam, the Company’s container volume in the third quarter 2018 was flat on a year-over-year and sequential basis. For 2018, the Company continues to expect a heightened competitive environment and lower volume than the levels achieved in 2017.</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Alaska, the Company’s container volume for the third quarter 2018 was 2.0 percent lower year-over-year, primarily due to lower southbound volume as a result of a weaker-than-expected seafood season compared with the very strong seafood harvest levels in 2017, partially offset by an increase in northbound volume. For 2018, the Company expects volume to be modestly higher than the level achieved in 2017 with improvement in northbound volume largely due to the dry-docking of a competitor’s vessel, partially offset by lower southbound volume primarily due to a weaker-than-expected seafood season compared with the very strong seafood harvest levels in 2017.</w:t>
      </w:r>
    </w:p>
    <w:p>
      <w:pPr>
        <w:spacing w:after="0" w:line="178"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As a result of the performance in the first nine months and the outlook trends noted above, the Company expects full year 2018 Ocean Transportation operating income to be modestly higher than the $126.4 million achieved in 2017.</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In the third quarter 2018, operating income for the Company’s Logistics segment was $2.6 million higher than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2017 due to improved performance across all of the service lines. The Company continues to expect Logistics’ operating income for the full year 2018 to approximate $30 million.</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For the full year 2018, the Company expects depreciation and amortization expense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$132 million, inclusive of dry-docking amortization of approximately $36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The Company expects full year 2018 EBITDA to be modestly higher than the $296.0 million achieved in 2017.</w:t>
      </w:r>
    </w:p>
    <w:p>
      <w:pPr>
        <w:spacing w:after="0" w:line="23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The Company expects full year 2018 other income (expense) to be approximately $2.5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income, which is attributable to other component costs related to the Company’s pension and post-retirement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interest expense for the full year 2018 to be approximately $19 million.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 the third quarter 2018, the Company’s effective tax rate was 24.2 percent. For the fourth quarter of 2018,</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expects its effective tax rate to be approximately 26.0 percent.</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Capital and Vessel Dry-docking Expenditures: </w:t>
      </w:r>
      <w:r>
        <w:rPr>
          <w:rFonts w:ascii="Arial" w:cs="Arial" w:eastAsia="Arial" w:hAnsi="Arial"/>
          <w:sz w:val="17"/>
          <w:szCs w:val="17"/>
          <w:color w:val="auto"/>
        </w:rPr>
        <w:t>In the third quarter 2018, the Company made maintenance capital expenditure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of $19.2 million, capitalized vessel construction expenditures of $55.8 million, and dry-docking payments of $5.4 million. For the full year 2018, the Company expects to make maintenance capital expenditure payments of approximately $77 million, vessel construction expenditures (inclusive of capitalized interest and owner’s items) of approximately $350 million, and dry-docking payments of approximately $19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 months ended September 30, 2018, compared with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40" w:type="dxa"/>
            <w:vAlign w:val="bottom"/>
          </w:tcPr>
          <w:p>
            <w:pPr>
              <w:spacing w:after="0"/>
              <w:rPr>
                <w:sz w:val="14"/>
                <w:szCs w:val="14"/>
                <w:color w:val="auto"/>
              </w:rPr>
            </w:pPr>
          </w:p>
        </w:tc>
        <w:tc>
          <w:tcPr>
            <w:tcW w:w="3000" w:type="dxa"/>
            <w:vAlign w:val="bottom"/>
            <w:gridSpan w:val="10"/>
          </w:tcPr>
          <w:p>
            <w:pPr>
              <w:jc w:val="right"/>
              <w:ind w:right="47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592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(530.8)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(485.6)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(45.2)</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(29.0)%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(80.0)%</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(38.1)%</w:t>
            </w:r>
          </w:p>
        </w:tc>
        <w:tc>
          <w:tcPr>
            <w:tcW w:w="0" w:type="dxa"/>
            <w:vAlign w:val="bottom"/>
          </w:tcPr>
          <w:p>
            <w:pPr>
              <w:spacing w:after="0"/>
              <w:rPr>
                <w:sz w:val="1"/>
                <w:szCs w:val="1"/>
                <w:color w:val="auto"/>
              </w:rPr>
            </w:pPr>
          </w:p>
        </w:tc>
      </w:tr>
      <w:tr>
        <w:trPr>
          <w:trHeight w:val="217"/>
        </w:trPr>
        <w:tc>
          <w:tcPr>
            <w:tcW w:w="5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Diluted earnings per-share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0.97</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0.79</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decrease in interest expense for the three months ended September 30, 2018, compared to the three months ended September 30, 2017, was due to increased interest expense offset by a higher amount of capitalized interest.</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Income tax expense was $13.3 million or 24.2 percent of income before income taxes for the three months ended September 30, 2018, compared to $21.5 million or 38.7 percent of income before income taxes for the three months ended September 30, 2017. The decrease in the effective income tax rate during the three months ended September 30, 2018, was primarily due to applying the tax law changes resulting from the Tax Act which lowered the federal income tax rate from 35% to 21% commencing January 1, 2018. The effective tax rate for the three months ended September 30, 2017 was also impacted by non-deductible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Nine months ended September 30, 2018, compared with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9"/>
          </w:tcPr>
          <w:p>
            <w:pPr>
              <w:ind w:left="460"/>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w w:val="85"/>
              </w:rPr>
              <w:t>Change</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(1,524.6)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(1,408.3)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(116.3)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(23.4)%</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10"/>
        </w:trPr>
        <w:tc>
          <w:tcPr>
            <w:tcW w:w="55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(19.4)%</w:t>
            </w:r>
          </w:p>
        </w:tc>
        <w:tc>
          <w:tcPr>
            <w:tcW w:w="0" w:type="dxa"/>
            <w:vAlign w:val="bottom"/>
          </w:tcPr>
          <w:p>
            <w:pPr>
              <w:spacing w:after="0"/>
              <w:rPr>
                <w:sz w:val="1"/>
                <w:szCs w:val="1"/>
                <w:color w:val="auto"/>
              </w:rPr>
            </w:pPr>
          </w:p>
        </w:tc>
      </w:tr>
      <w:tr>
        <w:trPr>
          <w:trHeight w:val="217"/>
        </w:trPr>
        <w:tc>
          <w:tcPr>
            <w:tcW w:w="5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Diluted earnings per-share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37.3 %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Changes in operating revenue, and operating costs and expenses are further described below in the Analysis of Operating Revenue and Income by Segment.</w:t>
      </w:r>
    </w:p>
    <w:p>
      <w:pPr>
        <w:spacing w:after="0" w:line="17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decrease in interest expense for the nine months ended September 30, 2018, compared to the nine months ended September 30, 2017, was due to increased interest expense offset by a higher amount of capitalized interest.</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income (expense) relates to the amortization of certain components of net periodic benefit costs or gains related to the Company’s pension and post-retirement plans.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Income tax expense was $32.4 million or 26.8 percent of income before income taxes for the nine months ended September 30, 2018, compared to $40.2 million or 38.2 percent of income before income taxes for the nine months ended September 30, 2017. The decrease in the effective income tax rate during the nine months ended September 30, 2018, was primarily due to applying the tax law changes resulting from the Tax Act which lowered the federal income tax rate from 35% to 21% commencing January 1, 2018. The effective tax rate for the nine months ended September 30, 2018 was also impacted by the recording of a non-cash tax expense of $3.1 million due to the application of an estimated 6.2 percent sequestration on alternative minimum tax (AMT) refunds based on new guidance issued by the Internal Revenue Service and emerging interpretations of the Tax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Three months ended September 30, 2018, compared with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gridSpan w:val="10"/>
          </w:tcPr>
          <w:p>
            <w:pPr>
              <w:jc w:val="right"/>
              <w:ind w:right="49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5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(388.6)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(368.2)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11.1 %</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12.2 %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13,900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(3,500)</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17,600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18,200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Other containers (2)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right="300" w:hanging="317"/>
        <w:spacing w:after="0" w:line="248" w:lineRule="auto"/>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20" w:hanging="317"/>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in Okinawa, Japan.</w:t>
      </w:r>
    </w:p>
    <w:p>
      <w:pPr>
        <w:spacing w:after="0" w:line="19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Ocean Transportation revenue increased $18.1 million, or 4.3 percent, during the three months ended September 30, 2018, compared with the three months ended September 30, 2017. This increase was primarily due to higher fuel surcharge revenue and higher average freight rates in China.</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a year-over-year FEU basis, Hawaii container volume decreased 1.1 percent due to one fewer sailing; Alaska volume decreased by 2.0 percent primarily due to lower southbound volume as a result of a weaker-than-expected seafood season compared with the very strong seafood harvest levels in 2017, partially offset by an increase in northbound volume; China volume was 3.3 percent lower primarily due to an additional sailing in the year ago period; Guam volume was flat; and Other volume increased 36.4 percent largely due to the new Okinawa, Japan service.</w:t>
      </w:r>
    </w:p>
    <w:p>
      <w:pPr>
        <w:spacing w:after="0" w:line="17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Ocean Transportation operating income decreased $2.3 million, or 4.5 percent, during the three months ended September 30, 2018, compared with the three months ended September 30, 2017. This decrease was primarily due to the unfavorable timing of fuel surcharge collections and higher terminal handling costs, partially offset by higher rates in China and Hawaii.</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Company’s SSAT terminal joint venture investment contributed $9.2 million during the three months ended September 30, 2018, compared to a $7.5 million contribution during the three months ended September 30, 2017. The increase was primarily attributable to higher lift volume.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Nine months ended September 30, 2018, compared with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w w:val="96"/>
              </w:rPr>
              <w:t>Nine Months Ended September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(1,113.5)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(1,075.6)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9.0 %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(1,100)</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(5,000)</w:t>
            </w: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(1,100)</w:t>
            </w: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Other containers (2)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3,400</w:t>
            </w:r>
          </w:p>
        </w:tc>
        <w:tc>
          <w:tcPr>
            <w:tcW w:w="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9"/>
              </w:rPr>
              <w:t>43.0 %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right="300" w:hanging="317"/>
        <w:spacing w:after="0" w:line="248" w:lineRule="auto"/>
        <w:tabs>
          <w:tab w:leader="none" w:pos="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320" w:hanging="317"/>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containers from services in various islands in Micronesia and the South Pacific, and in Okinawa, Japan.</w:t>
      </w:r>
    </w:p>
    <w:p>
      <w:pPr>
        <w:spacing w:after="0" w:line="19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Ocean Transportation revenue increased $41.3 million, or 3.5 percent, during the nine months ended September 30, 2018, compared with the nine months ended September 30, 2017. This increase was primarily due to higher fuel surcharge revenue and higher average freight rates in China, partially offset by lower revenue in Guam.</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a year-over-year FEU basis, Hawaii container volume decreased by 1.0 percent primarily due to lower eastbound volume; Alaska volume increased by 2.1 percent primarily due to an increase in northbound volume related to the dry-docking of a competitor’s vessel, partially offset by a decrease in southbound volume as a result of a weaker-than-expected seafood season compared with the very strong seafood harvest levels in 2017; China volume was 9.9 percent lower primarily due to fewer sailings and lower volume during the Lunar New Year period; Guam volume was 7.1 percent lower due to increased competition; and Other volume increased 43.0 percent largely due to the new Okinawa, Japan service.</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Ocean Transportation operating income increased $3.4 million, or 3.2 percent, during the nine months ended September 30, 2018, compared with the nine months ended September 30, 2017. This increase was primarily due to lower vessel operating costs, higher rates in China and Hawaii and a higher contribution from SSAT, partially offset by higher terminal handling costs and a lower contribution from Guam.</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SSAT terminal joint venture investment contributed $28.8 million during the nine months ended September 30, 2018, compared to a $19.3 million contribution during the nine months ended September 30, 2017. The increase was primarily attributable to higher lift volume.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Three months ended September 30, 2018, compared with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10"/>
          </w:tcPr>
          <w:p>
            <w:pPr>
              <w:jc w:val="right"/>
              <w:ind w:right="390"/>
              <w:spacing w:after="0"/>
              <w:rPr>
                <w:sz w:val="20"/>
                <w:szCs w:val="20"/>
                <w:color w:val="auto"/>
              </w:rPr>
            </w:pPr>
            <w:r>
              <w:rPr>
                <w:rFonts w:ascii="Arial" w:cs="Arial" w:eastAsia="Arial" w:hAnsi="Arial"/>
                <w:sz w:val="14"/>
                <w:szCs w:val="14"/>
                <w:b w:val="1"/>
                <w:bCs w:val="1"/>
                <w:color w:val="auto"/>
                <w:w w:val="99"/>
              </w:rPr>
              <w:t>Three Months Ended September 30,</w:t>
            </w:r>
          </w:p>
        </w:tc>
        <w:tc>
          <w:tcPr>
            <w:tcW w:w="0" w:type="dxa"/>
            <w:vAlign w:val="bottom"/>
          </w:tcPr>
          <w:p>
            <w:pPr>
              <w:spacing w:after="0"/>
              <w:rPr>
                <w:sz w:val="1"/>
                <w:szCs w:val="1"/>
                <w:color w:val="auto"/>
              </w:rPr>
            </w:pPr>
          </w:p>
        </w:tc>
      </w:tr>
      <w:tr>
        <w:trPr>
          <w:trHeight w:val="142"/>
        </w:trPr>
        <w:tc>
          <w:tcPr>
            <w:tcW w:w="59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(24.8)</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6.5 %</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Logistics revenue increased $27.4 million, or 22.0 percent, during the three months ended September 30, 2018, compared with the three months ended September 30, 2017. This increase was primarily due to higher transportation brokerage revenue.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Logistics operating income increased $2.6 million, or 35.6 percent, for the three months ended September 30, 2018 compared with the three months ended September 30, 2017. The increase was due primarily to higher contributions from transportation brokerage.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Nine months ended September 30, 2018, compared with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10"/>
          </w:tcPr>
          <w:p>
            <w:pPr>
              <w:jc w:val="right"/>
              <w:ind w:right="43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42"/>
        </w:trPr>
        <w:tc>
          <w:tcPr>
            <w:tcW w:w="59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(411.1)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(332.7)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(78.4)</w:t>
            </w: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Logistics revenue increased $85.8 million, or 24.6 percent, during the nine months ended September 30, 2018, compared with the nine months ended September 30, 2017. This increase was primarily due to higher transportation brokerage revenue.</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Logistics operating income increased $7.4 million, or 45.7 percent, for the nine months ended September 30, 2018 compared with the nine months ended September 30, 2017. The increase was due primarily to higher contributions from transportation brokerage and freight forwarding.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Sources of liquidity available to the Company at September 30, 2018, compared to December 31,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as follows:</w:t>
      </w:r>
    </w:p>
    <w:tbl>
      <w:tblPr>
        <w:tblLayout w:type="fixed"/>
        <w:tblInd w:w="0" w:type="dxa"/>
        <w:tblCellMar>
          <w:top w:w="0" w:type="dxa"/>
          <w:left w:w="0" w:type="dxa"/>
          <w:bottom w:w="0" w:type="dxa"/>
          <w:right w:w="0" w:type="dxa"/>
        </w:tblCellMar>
      </w:tblPr>
      <w:tr>
        <w:trPr>
          <w:trHeight w:val="141"/>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6"/>
              </w:rPr>
              <w:t>September 30,</w:t>
            </w:r>
          </w:p>
        </w:tc>
        <w:tc>
          <w:tcPr>
            <w:tcW w:w="140" w:type="dxa"/>
            <w:vAlign w:val="bottom"/>
          </w:tcPr>
          <w:p>
            <w:pPr>
              <w:spacing w:after="0"/>
              <w:rPr>
                <w:sz w:val="12"/>
                <w:szCs w:val="12"/>
                <w:color w:val="auto"/>
              </w:rPr>
            </w:pPr>
          </w:p>
        </w:tc>
        <w:tc>
          <w:tcPr>
            <w:tcW w:w="90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2"/>
                <w:szCs w:val="12"/>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Accounts receivable, net (1)</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240.7</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46.1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CCF - cash on deposit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40" w:hanging="317"/>
        <w:spacing w:after="0" w:line="253" w:lineRule="auto"/>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As of September 30, 2018 and December 31, 2017, $77.2 million and $134.8 million, respectively, of eligible accounts receivable were assigned to the CCF (see Note 2 of the Condensed Consolidated Financial Statements).</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changes in the Company’s cash and cash equivalents for the nine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compared to the nine months ended September 30, 2017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8"/>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100" w:type="dxa"/>
            <w:vAlign w:val="bottom"/>
            <w:tcBorders>
              <w:bottom w:val="single" w:sz="8" w:color="auto"/>
            </w:tcBorders>
            <w:gridSpan w:val="2"/>
            <w:vMerge w:val="continue"/>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3"/>
              </w:rPr>
              <w:t>Change</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(1)</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 (2)</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 (3)</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rPr>
                <w:sz w:val="20"/>
                <w:szCs w:val="20"/>
                <w:color w:val="auto"/>
              </w:rPr>
            </w:pPr>
            <w:r>
              <w:rPr>
                <w:rFonts w:ascii="Arial" w:cs="Arial" w:eastAsia="Arial" w:hAnsi="Arial"/>
                <w:sz w:val="18"/>
                <w:szCs w:val="18"/>
                <w:color w:val="auto"/>
                <w:w w:val="95"/>
              </w:rPr>
              <w:t>Net (decrease) increase in cash and cash equivalents</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Cash and cash equivalents, beginning of the period</w:t>
            </w:r>
          </w:p>
        </w:tc>
        <w:tc>
          <w:tcPr>
            <w:tcW w:w="1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00" w:type="dxa"/>
            <w:vAlign w:val="bottom"/>
            <w:gridSpan w:val="2"/>
          </w:tcPr>
          <w:p>
            <w:pPr>
              <w:spacing w:after="0"/>
              <w:rPr>
                <w:sz w:val="20"/>
                <w:szCs w:val="20"/>
                <w:color w:val="auto"/>
              </w:rPr>
            </w:pPr>
            <w:r>
              <w:rPr>
                <w:rFonts w:ascii="Arial" w:cs="Arial" w:eastAsia="Arial" w:hAnsi="Arial"/>
                <w:sz w:val="18"/>
                <w:szCs w:val="18"/>
                <w:color w:val="auto"/>
              </w:rPr>
              <w:t>Cash and cash equivalents, end of the period</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1</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r>
              <w:rPr>
                <w:rFonts w:ascii="Arial" w:cs="Arial" w:eastAsia="Arial" w:hAnsi="Arial"/>
                <w:sz w:val="18"/>
                <w:szCs w:val="18"/>
                <w:u w:val="single" w:color="auto"/>
                <w:color w:val="auto"/>
              </w:rPr>
              <w:t>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820" w:type="dxa"/>
            <w:vAlign w:val="bottom"/>
          </w:tcPr>
          <w:p>
            <w:pPr>
              <w:spacing w:after="0"/>
              <w:rPr>
                <w:sz w:val="10"/>
                <w:szCs w:val="10"/>
                <w:color w:val="auto"/>
              </w:rPr>
            </w:pPr>
          </w:p>
        </w:tc>
        <w:tc>
          <w:tcPr>
            <w:tcW w:w="1960" w:type="dxa"/>
            <w:vAlign w:val="bottom"/>
            <w:vMerge w:val="restart"/>
          </w:tcPr>
          <w:p>
            <w:pPr>
              <w:jc w:val="right"/>
              <w:ind w:right="135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8"/>
        </w:trPr>
        <w:tc>
          <w:tcPr>
            <w:tcW w:w="2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Change in net cash provided by operating activities: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Changes in net cash provided by operating activities for the nine months ended September 30, 2018, compared to the nine months ended September 30, 2017, were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Non-cash 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non-cash related changes,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Distributions from Terminal Joint Venture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dry-docking payments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Accounts payable, accruals and other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r>
      <w:tr>
        <w:trPr>
          <w:trHeight w:val="217"/>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Distributions received from the Company’s Terminal Joint Venture was $42.0 million for the nine months ended September 30, 2018, compared to $14.0 million for the nine months ended September 30, 2017. The increase was primarily due to the distribution of cash in excess of income earned from the Terminal Joint Venture during the nine months ended September 30, 2018. Deferred dry-docking payments decreased from $45.1 million for the nine months ended September 30, 2017, compared to $10.5 million for the nine months ended September 30, 2018, primarily due to fewer vessels in dry-docking during the current year period. Changes in accounts receivable were primarily due to increased receivables resulting from higher revenues during the nine months ended September 30, 2018, and the timing of billings and collections associated with those receivables. Changes in prepaid expenses and other assets primarily relates to the timing of prepayments and other assets. Changes in accounts payable, accruals and other liabilities were due to the increased accounts payables and accrued costs resulting from operations during the nine months ended September 30, 2018, and the timing of payments associated with those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Change in net cash used in investing activities: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Changes in net cash used in investing activities for the nine months ended September 30, 2018, compared to the nine months ended September 30, 2017, were due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Capitalized vessel construction expenditures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Other capital expenditures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property and equipment,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Cash deposits into CCF</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(182.0)</w:t>
            </w:r>
          </w:p>
        </w:tc>
        <w:tc>
          <w:tcPr>
            <w:tcW w:w="14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Withdrawals from CCF</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40" w:type="dxa"/>
            <w:vAlign w:val="bottom"/>
            <w:shd w:val="clear" w:color="auto" w:fill="CCEEFF"/>
          </w:tcPr>
          <w:p>
            <w:pPr>
              <w:spacing w:after="0"/>
              <w:rPr>
                <w:sz w:val="18"/>
                <w:szCs w:val="18"/>
                <w:color w:val="auto"/>
              </w:rPr>
            </w:pPr>
          </w:p>
        </w:tc>
      </w:tr>
      <w:tr>
        <w:trPr>
          <w:trHeight w:val="216"/>
        </w:trPr>
        <w:tc>
          <w:tcPr>
            <w:tcW w:w="7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Surrender of company-owned life insurance</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tcPr>
          <w:p>
            <w:pPr>
              <w:spacing w:after="0"/>
              <w:rPr>
                <w:sz w:val="18"/>
                <w:szCs w:val="18"/>
                <w:color w:val="auto"/>
              </w:rPr>
            </w:pPr>
          </w:p>
        </w:tc>
      </w:tr>
      <w:tr>
        <w:trPr>
          <w:trHeight w:val="217"/>
        </w:trPr>
        <w:tc>
          <w:tcPr>
            <w:tcW w:w="7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Vessel construction expenditures (including capitalized interest) were $222.6 million for the nine months ended September 30, 2018, compared to $172.2 million for the nine months ended September 30, 2017. Vessel construction expenditures relate to progress payments for the construction of four new vessels for the Hawaii service, capitalized interest and owners’ items. Other capital expenditures payments were $44.7 million for the nine months ended September 30, 2018, compared to $43.3 million for the nine months ended September 30, 2017. The increase was primarily due to the timing of other capital projects incurred during 2018 as compared to 2017. Proceeds from the disposal of property and equipment, net, were $31.3 million for the nine months ended September 30, 2018, compared to ($0.3) million for the nine months ended September 30, 2017. Proceeds from the disposal of property and equipment primarily related to the sale and leaseback of certain containers and chassis equipment previously owned by the Company. Changes in cash deposits into CCF, and withdrawals from CCF primarily relate to the timing of when deposits are made into the CCF, and when the subsequent withdrawals are made during the nine months ended September 30, 2018 and 2017.</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Change in net cash used in financing activities: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Changes in net cash provided by financing activities for the nine months ended September 30, 2018, compared to the nine months ended September 30, 2017, were due to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r>
      <w:tr>
        <w:trPr>
          <w:trHeight w:val="210"/>
        </w:trPr>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Repayments of debt and capital leases</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Borrowings under revolving credit facility,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Matson 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other payments, net</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r>
      <w:tr>
        <w:trPr>
          <w:trHeight w:val="217"/>
        </w:trPr>
        <w:tc>
          <w:tcPr>
            <w:tcW w:w="80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r>
              <w:rPr>
                <w:rFonts w:ascii="Arial" w:cs="Arial" w:eastAsia="Arial" w:hAnsi="Arial"/>
                <w:sz w:val="18"/>
                <w:szCs w:val="18"/>
                <w:u w:val="single" w:color="auto"/>
                <w:color w:val="auto"/>
              </w:rPr>
              <w:t>7)</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nine months ended September 30, 2018, the Company paid $17.0 million in scheduled fixed debt and capital lease repayments compared to $19.5 million during the nine months ended September 30, 2017. During the nine months ended September 30, 2018, the Company increased net borrowings under the revolving credit facility by $68.0 million, compared to $120.0 million for the nine months ended September 30, 2017. Borrowings from the Company’s revolving credit facility were primarily used to fund progress payments related to the construction of four new vessels for the Hawaii service. During the nine months ended September 30, 2018, the Company paid $26.3 million in dividends, compared to $25.2 million during the nine months ended September 30, 2017. During the nine months ended September 30, 2017, the Company paid $18.4 million in the repurchase of Matson common stock. There was no repurchase of Matson common stock during the nine months ended September 30,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Total debt as of September 30, 2018 and December 31,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6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Fixed interest debt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Total debt increased by $51.0 million during the nine months ended September 30, 2018. The increase in the Company’s revolving credit facility was primarily due to the funding of progress payments related to the construction of four new vessels for the Hawaii service. The reduction in fixed interest debt was due to scheduled debt repayments.</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of September 30, 2018, the Company had $243.2 million of availability under the revolving credit facility, with a maturity date of June 29, 2022. The Company’s debt is described in Note 6 to the Condensed Consolidated Financial Statements included in Part I, Item 1 of the Company’s Quarterly Report on Form 10-Q for the quarter period ended September 30, 2018, and in Note 8 to the Consolidated Financial Statements included in Part II, Item 8 of the Company’s Annual Report on Form 10-K for the year ended December 31, 2017, which is incorporated herein by reference.</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Company had a working capital deficiency of $24.6 million and $20.3 million at September 30,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December 31, 2017, respectively.</w:t>
      </w:r>
    </w:p>
    <w:p>
      <w:pPr>
        <w:spacing w:after="0" w:line="383"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6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There were no material changes during this quarter to the Company’s contractual obligations, commitments, contingencies and off-balance sheet arrangements that are described in Part II, Item 7 of the Company’s Annual Report on Form 10-K for the year ended December 31, 2017, and Part I, Item 2 of the Company’s Quarterly Report on Form 10-Q for the quarterly period ended March 31, 2018, which is incorporated herein by reference, except as described below.</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 (in millions)</w:t>
            </w: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Payment Due By Period</w:t>
            </w: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5180" w:type="dxa"/>
            <w:vAlign w:val="bottom"/>
            <w:gridSpan w:val="3"/>
            <w:vMerge w:val="continue"/>
          </w:tcPr>
          <w:p>
            <w:pPr>
              <w:spacing w:after="0"/>
              <w:rPr>
                <w:sz w:val="12"/>
                <w:szCs w:val="12"/>
                <w:color w:val="auto"/>
              </w:rPr>
            </w:pPr>
          </w:p>
        </w:tc>
        <w:tc>
          <w:tcPr>
            <w:tcW w:w="62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2019-2020</w:t>
            </w:r>
          </w:p>
        </w:tc>
        <w:tc>
          <w:tcPr>
            <w:tcW w:w="20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2021-2022</w:t>
            </w:r>
          </w:p>
        </w:tc>
        <w:tc>
          <w:tcPr>
            <w:tcW w:w="16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6"/>
              </w:rPr>
              <w:t>Thereafter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Construction of vessels (1)</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$ 317.0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245.5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562.5</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Operating lease obligations (2)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7"/>
        </w:trPr>
        <w:tc>
          <w:tcPr>
            <w:tcW w:w="51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$ 319.0</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256.1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634.4</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line="243" w:lineRule="auto"/>
        <w:tabs>
          <w:tab w:leader="none" w:pos="3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amount shown above for construction of vessels represents the revised timing and amount of the remaining contractual obligations at September 30, 2018 related to the two Aloha Class and two Kanaloa Class vessels to be used in the Hawaii service that are described in Part I, Item 1 “Business” of the Company’s Annual Report on Form 10-K for the year ended December 31, 2017. The 2018 amount includes $205.8 million of capitalized vessel construction expenditures (excluding owners items and capitalized interest) paid by the Company during the nine months ended September 30,</w:t>
      </w:r>
    </w:p>
    <w:p>
      <w:pPr>
        <w:ind w:left="320" w:right="540"/>
        <w:spacing w:after="0" w:line="221" w:lineRule="auto"/>
        <w:rPr>
          <w:rFonts w:ascii="Arial" w:cs="Arial" w:eastAsia="Arial" w:hAnsi="Arial"/>
          <w:sz w:val="13"/>
          <w:szCs w:val="13"/>
          <w:color w:val="auto"/>
        </w:rPr>
      </w:pPr>
      <w:r>
        <w:rPr>
          <w:rFonts w:ascii="Arial" w:cs="Arial" w:eastAsia="Arial" w:hAnsi="Arial"/>
          <w:sz w:val="14"/>
          <w:szCs w:val="14"/>
          <w:color w:val="auto"/>
        </w:rPr>
        <w:t>2018. Actual timing and amounts of future payments are subject to change and may be materially different from the amounts estimated by the Company as shown above.</w:t>
      </w:r>
    </w:p>
    <w:p>
      <w:pPr>
        <w:ind w:left="320" w:right="60" w:hanging="317"/>
        <w:spacing w:after="0" w:line="237" w:lineRule="auto"/>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operating lease obligations shown above relate to the renewal of an operating lease agreement for a terminal facility and new lease agreements for container equipment entered into subsequent to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Part II, Item 7 of the Company’s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Company’s third quarter 2018 cash dividend of $0.21 per-share was paid on September 6, 2018 to shareholders of record as of August 2, 2018. On October 25, 2018, the Company’s Board of Directors declared a cash dividend of $0.21 per-share payable on December 6, 2018 to shareholders of record as of the close of business on November 8,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Company’s market risk position from the information provided under</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Part II, Item 7A, “Quantitative and Qualitative Disclosures About Market Risk,” of our Annual Report on Form 10-K for the year ended December 31, 2017.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September 30, 2018, the Company’s disclosure controls and procedures are effective.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There were no changes in the Company’s internal control over financial reporting (as defined in Rules 13a-15(f) and 15d-15(f) under the Exchange Act) that occurred during the three months ended September 30, 2018, that have materially affected, or are reasonably likely to materially affect, the Company’s internal control over financial reporting.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Environmental Matters: </w:t>
      </w:r>
      <w:r>
        <w:rPr>
          <w:rFonts w:ascii="Arial" w:cs="Arial" w:eastAsia="Arial" w:hAnsi="Arial"/>
          <w:sz w:val="17"/>
          <w:szCs w:val="17"/>
          <w:color w:val="auto"/>
        </w:rPr>
        <w:t>The Company’s Ocean Transportation business has certain risks that could result in expenditures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remediation. The Company believes that based on all information available to it, the Company is currently in compliance, in all material respects, with applicable environmental laws and regulations.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339"/>
        <w:spacing w:after="0" w:line="308" w:lineRule="auto"/>
        <w:rPr>
          <w:sz w:val="20"/>
          <w:szCs w:val="20"/>
          <w:color w:val="auto"/>
        </w:rPr>
      </w:pPr>
      <w:r>
        <w:rPr>
          <w:rFonts w:ascii="Arial" w:cs="Arial" w:eastAsia="Arial" w:hAnsi="Arial"/>
          <w:sz w:val="17"/>
          <w:szCs w:val="17"/>
          <w:color w:val="auto"/>
        </w:rPr>
        <w:t>There were no material changes to the Company’s risk factors that are described in Part I, Item 1A, “Risk Factors” of the Company’s Annual Report on Form 10-K for the year ended December 31, 2017, except as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Shipbuilding Agreements with Philly Shipyard and NASSCO are subject to risks.</w:t>
      </w:r>
    </w:p>
    <w:p>
      <w:pPr>
        <w:spacing w:after="0" w:line="229" w:lineRule="exact"/>
        <w:rPr>
          <w:sz w:val="20"/>
          <w:szCs w:val="20"/>
          <w:color w:val="auto"/>
        </w:rPr>
      </w:pPr>
    </w:p>
    <w:p>
      <w:pPr>
        <w:ind w:right="19"/>
        <w:spacing w:after="0" w:line="283" w:lineRule="auto"/>
        <w:rPr>
          <w:sz w:val="20"/>
          <w:szCs w:val="20"/>
          <w:color w:val="auto"/>
        </w:rPr>
      </w:pPr>
      <w:r>
        <w:rPr>
          <w:rFonts w:ascii="Arial" w:cs="Arial" w:eastAsia="Arial" w:hAnsi="Arial"/>
          <w:sz w:val="16"/>
          <w:szCs w:val="16"/>
          <w:color w:val="auto"/>
        </w:rPr>
        <w:t xml:space="preserve">On November 6, 2013, MatNav and Philly Shipyard entered into definitive agreements pursuant to which Philly Shipyard will construct two new 3,600-TEU Aloha Class dual-fuel capable containerships. The first vessel, </w:t>
      </w:r>
      <w:r>
        <w:rPr>
          <w:rFonts w:ascii="Arial" w:cs="Arial" w:eastAsia="Arial" w:hAnsi="Arial"/>
          <w:sz w:val="16"/>
          <w:szCs w:val="16"/>
          <w:i w:val="1"/>
          <w:iCs w:val="1"/>
          <w:color w:val="auto"/>
        </w:rPr>
        <w:t>Daniel K. Inouye</w:t>
      </w:r>
      <w:r>
        <w:rPr>
          <w:rFonts w:ascii="Arial" w:cs="Arial" w:eastAsia="Arial" w:hAnsi="Arial"/>
          <w:sz w:val="16"/>
          <w:szCs w:val="16"/>
          <w:color w:val="auto"/>
        </w:rPr>
        <w:t>, was delivered on October 31, 2018. It is expected that the second vessel will be delivered in the first quarter of 2019. On August 25, 2016, MatNav and NASSCO entered into a definitive agreement pursuant to which NASSCO will construct two new 3,500-TEU Kanaloa Class dual-fuel capable container and roll-on/roll-off vessels, with expected delivery dates at the end of 2019 and in the fourth quarter of 2020. Failure of any party to the shipbuilding agreements to fulfill its obligations under the agreements could have an adverse effect on the Company’s financial position and results of operations. Such a failure could happen for a variety of reasons, including but not limited to (i) delivery delays, (ii) delivery of vessels that fail to meet any of the required operating specifications (for example, capacity, fuel efficiency or speed), (iii) events in Korea which prevent one or more significant subcontractors to each of, Philly Shipyard or NASSCO from performing, or (iv) the insolvency of, or the refusal or inability to perform for any reason, by Philly Shipyard, NASSCO, or any of their respective</w:t>
      </w:r>
    </w:p>
    <w:p>
      <w:pPr>
        <w:spacing w:after="0" w:line="5" w:lineRule="exact"/>
        <w:rPr>
          <w:sz w:val="20"/>
          <w:szCs w:val="20"/>
          <w:color w:val="auto"/>
        </w:rPr>
      </w:pPr>
    </w:p>
    <w:p>
      <w:pPr>
        <w:ind w:right="259"/>
        <w:spacing w:after="0" w:line="255" w:lineRule="auto"/>
        <w:rPr>
          <w:sz w:val="20"/>
          <w:szCs w:val="20"/>
          <w:color w:val="auto"/>
        </w:rPr>
      </w:pPr>
      <w:r>
        <w:rPr>
          <w:rFonts w:ascii="Arial" w:cs="Arial" w:eastAsia="Arial" w:hAnsi="Arial"/>
          <w:sz w:val="18"/>
          <w:szCs w:val="18"/>
          <w:color w:val="auto"/>
        </w:rPr>
        <w:t>subcontractors. Significant delays in the delivery of the new vessels could limit our ability to replace aging steamships without substantial modifications, which could also have an adverse impact on our business plans, financial condition and results of operations.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right="39"/>
        <w:spacing w:after="0" w:line="293" w:lineRule="auto"/>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On November 4, 2015, the Company announced that Matson’s Board of Directors had approved a share</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program of up to 3.0 million shares of common stock through November 2, 2018. Shares can be repurchased in the open market from time to time, and may be made pursuant to a trading plan in accordance with Rule 10b5-1 of the Securities Exchange Act of 1934. During the quarter ended September 30, 2018, no shares were repurchased, excluding shares withheld for employee taxes upon vesting of share-based awards. The maximum number of remaining shares that may be purchased under the share repurchase program was 1,151,288 as of September 30, 2018.</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16" w:lineRule="exact"/>
        <w:rPr>
          <w:sz w:val="20"/>
          <w:szCs w:val="20"/>
          <w:color w:val="auto"/>
        </w:rPr>
      </w:pPr>
    </w:p>
    <w:p>
      <w:pPr>
        <w:ind w:left="860" w:right="120" w:hanging="863"/>
        <w:spacing w:after="0" w:line="262"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28">
        <w:r>
          <w:rPr>
            <w:rFonts w:ascii="Arial" w:cs="Arial" w:eastAsia="Arial" w:hAnsi="Arial"/>
            <w:sz w:val="18"/>
            <w:szCs w:val="18"/>
            <w:u w:val="single" w:color="auto"/>
            <w:color w:val="0000EE"/>
          </w:rPr>
          <w:t>Certification of Chief Executive Officer pursuant to Rule 13a-14(a) or 15d-14(a) of the Securities Exchange Act</w:t>
        </w:r>
      </w:hyperlink>
      <w:r>
        <w:rPr>
          <w:rFonts w:ascii="Arial" w:cs="Arial" w:eastAsia="Arial" w:hAnsi="Arial"/>
          <w:sz w:val="18"/>
          <w:szCs w:val="18"/>
          <w:u w:val="single" w:color="auto"/>
          <w:color w:val="0000EE"/>
        </w:rPr>
        <w:t xml:space="preserve"> </w:t>
      </w:r>
      <w:hyperlink w:anchor="page28">
        <w:r>
          <w:rPr>
            <w:rFonts w:ascii="Arial" w:cs="Arial" w:eastAsia="Arial" w:hAnsi="Arial"/>
            <w:sz w:val="18"/>
            <w:szCs w:val="18"/>
            <w:u w:val="single" w:color="auto"/>
            <w:color w:val="0000EE"/>
          </w:rPr>
          <w:t>of 1934.</w:t>
        </w:r>
      </w:hyperlink>
    </w:p>
    <w:p>
      <w:pPr>
        <w:spacing w:after="0" w:line="156" w:lineRule="exact"/>
        <w:rPr>
          <w:sz w:val="20"/>
          <w:szCs w:val="20"/>
          <w:color w:val="auto"/>
        </w:rPr>
      </w:pPr>
    </w:p>
    <w:p>
      <w:pPr>
        <w:ind w:left="860" w:right="160" w:hanging="863"/>
        <w:spacing w:after="0" w:line="262"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29">
        <w:r>
          <w:rPr>
            <w:rFonts w:ascii="Arial" w:cs="Arial" w:eastAsia="Arial" w:hAnsi="Arial"/>
            <w:sz w:val="18"/>
            <w:szCs w:val="18"/>
            <w:u w:val="single" w:color="auto"/>
            <w:color w:val="0000EE"/>
          </w:rPr>
          <w:t>Certification of Chief Financial Officer pursuant to Rule 13a-14(a) or 15d-14(a) of the Securities Exchange Act</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of 1934.</w:t>
        </w:r>
      </w:hyperlink>
    </w:p>
    <w:p>
      <w:pPr>
        <w:spacing w:after="0" w:line="156" w:lineRule="exact"/>
        <w:rPr>
          <w:sz w:val="20"/>
          <w:szCs w:val="20"/>
          <w:color w:val="auto"/>
        </w:rPr>
      </w:pPr>
    </w:p>
    <w:p>
      <w:pPr>
        <w:ind w:left="860" w:hanging="857"/>
        <w:spacing w:after="0"/>
        <w:tabs>
          <w:tab w:leader="none" w:pos="860" w:val="left"/>
        </w:tabs>
        <w:numPr>
          <w:ilvl w:val="0"/>
          <w:numId w:val="25"/>
        </w:numPr>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Certification of Chief Executive Officer and Chief Financial Officer pursuant to 18 U.S.C. Section 1350.</w:t>
        </w:r>
      </w:hyperlink>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101.INS</w:t>
            </w:r>
          </w:p>
        </w:tc>
        <w:tc>
          <w:tcPr>
            <w:tcW w:w="828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101.SCH</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101.CAL</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101.DEF</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101.LAB</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101.PRE</w:t>
            </w:r>
          </w:p>
        </w:tc>
        <w:tc>
          <w:tcPr>
            <w:tcW w:w="828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48"/>
        </w:trPr>
        <w:tc>
          <w:tcPr>
            <w:tcW w:w="780" w:type="dxa"/>
            <w:vAlign w:val="bottom"/>
          </w:tcPr>
          <w:p>
            <w:pPr>
              <w:spacing w:after="0"/>
              <w:rPr>
                <w:sz w:val="24"/>
                <w:szCs w:val="24"/>
                <w:color w:val="auto"/>
              </w:rPr>
            </w:pPr>
          </w:p>
        </w:tc>
        <w:tc>
          <w:tcPr>
            <w:tcW w:w="8280" w:type="dxa"/>
            <w:vAlign w:val="bottom"/>
          </w:tcPr>
          <w:p>
            <w:pPr>
              <w:ind w:left="3660"/>
              <w:spacing w:after="0"/>
              <w:rPr>
                <w:sz w:val="20"/>
                <w:szCs w:val="20"/>
                <w:color w:val="auto"/>
              </w:rPr>
            </w:pPr>
            <w:r>
              <w:rPr>
                <w:rFonts w:ascii="Arial" w:cs="Arial" w:eastAsia="Arial" w:hAnsi="Arial"/>
                <w:sz w:val="18"/>
                <w:szCs w:val="18"/>
                <w:color w:val="auto"/>
              </w:rPr>
              <w:t>24</w:t>
            </w:r>
          </w:p>
        </w:tc>
      </w:tr>
      <w:tr>
        <w:trPr>
          <w:trHeight w:val="129"/>
        </w:trPr>
        <w:tc>
          <w:tcPr>
            <w:tcW w:w="780" w:type="dxa"/>
            <w:vAlign w:val="bottom"/>
            <w:tcBorders>
              <w:bottom w:val="single" w:sz="8" w:color="auto"/>
            </w:tcBorders>
          </w:tcPr>
          <w:p>
            <w:pPr>
              <w:spacing w:after="0"/>
              <w:rPr>
                <w:sz w:val="11"/>
                <w:szCs w:val="11"/>
                <w:color w:val="auto"/>
              </w:rPr>
            </w:pPr>
          </w:p>
        </w:tc>
        <w:tc>
          <w:tcPr>
            <w:tcW w:w="82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MATSON,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(Registrant)</w:t>
      </w:r>
    </w:p>
    <w:p>
      <w:pPr>
        <w:spacing w:after="0" w:line="386"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color w:val="auto"/>
        </w:rPr>
        <w:t>Date: November 6, 2018</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Joel M. Wine</w:t>
      </w:r>
    </w:p>
    <w:p>
      <w:pPr>
        <w:jc w:val="center"/>
        <w:ind w:left="4560"/>
        <w:spacing w:after="0" w:line="234" w:lineRule="auto"/>
        <w:rPr>
          <w:sz w:val="20"/>
          <w:szCs w:val="20"/>
          <w:color w:val="auto"/>
        </w:rPr>
      </w:pPr>
      <w:r>
        <w:rPr>
          <w:rFonts w:ascii="Arial" w:cs="Arial" w:eastAsia="Arial" w:hAnsi="Arial"/>
          <w:sz w:val="18"/>
          <w:szCs w:val="18"/>
          <w:color w:val="auto"/>
        </w:rPr>
        <w:t>Senior Vice President and</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Chief Financial Officer</w:t>
      </w:r>
    </w:p>
    <w:p>
      <w:pPr>
        <w:spacing w:after="0" w:line="385"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November 6, 2018</w:t>
      </w:r>
      <w:r>
        <w:rPr>
          <w:sz w:val="20"/>
          <w:szCs w:val="20"/>
          <w:color w:val="auto"/>
        </w:rPr>
        <w:tab/>
      </w:r>
      <w:r>
        <w:rPr>
          <w:rFonts w:ascii="Arial" w:cs="Arial" w:eastAsia="Arial" w:hAnsi="Arial"/>
          <w:sz w:val="17"/>
          <w:szCs w:val="17"/>
          <w:color w:val="auto"/>
        </w:rPr>
        <w:t>/s/ Kevin L. Stuck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Kevin L. Stuck</w:t>
      </w:r>
    </w:p>
    <w:p>
      <w:pPr>
        <w:jc w:val="center"/>
        <w:ind w:left="4560"/>
        <w:spacing w:after="0" w:line="234" w:lineRule="auto"/>
        <w:rPr>
          <w:sz w:val="20"/>
          <w:szCs w:val="20"/>
          <w:color w:val="auto"/>
        </w:rPr>
      </w:pPr>
      <w:r>
        <w:rPr>
          <w:rFonts w:ascii="Arial" w:cs="Arial" w:eastAsia="Arial" w:hAnsi="Arial"/>
          <w:sz w:val="18"/>
          <w:szCs w:val="18"/>
          <w:color w:val="auto"/>
        </w:rPr>
        <w:t>Vice President and Controller</w:t>
      </w:r>
    </w:p>
    <w:p>
      <w:pPr>
        <w:spacing w:after="0" w:line="1" w:lineRule="exact"/>
        <w:rPr>
          <w:sz w:val="20"/>
          <w:szCs w:val="20"/>
          <w:color w:val="auto"/>
        </w:rPr>
      </w:pPr>
    </w:p>
    <w:p>
      <w:pPr>
        <w:jc w:val="center"/>
        <w:ind w:left="45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Executive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Matthew J. Cox, certify that:</w:t>
      </w:r>
    </w:p>
    <w:p>
      <w:pPr>
        <w:spacing w:after="0" w:line="144" w:lineRule="exact"/>
        <w:rPr>
          <w:sz w:val="20"/>
          <w:szCs w:val="20"/>
          <w:color w:val="auto"/>
        </w:rPr>
      </w:pPr>
    </w:p>
    <w:p>
      <w:pPr>
        <w:ind w:left="781" w:hanging="781"/>
        <w:spacing w:after="0"/>
        <w:tabs>
          <w:tab w:leader="none" w:pos="7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61"/>
        <w:spacing w:after="0"/>
        <w:rPr>
          <w:sz w:val="20"/>
          <w:szCs w:val="20"/>
          <w:color w:val="auto"/>
        </w:rPr>
      </w:pPr>
      <w:r>
        <w:rPr>
          <w:rFonts w:ascii="Arial" w:cs="Arial" w:eastAsia="Arial" w:hAnsi="Arial"/>
          <w:sz w:val="18"/>
          <w:szCs w:val="18"/>
          <w:color w:val="auto"/>
        </w:rPr>
        <w:t>By  /s/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-635</wp:posOffset>
            </wp:positionV>
            <wp:extent cx="29584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ind w:left="5401"/>
        <w:spacing w:after="0" w:line="203" w:lineRule="auto"/>
        <w:rPr>
          <w:sz w:val="20"/>
          <w:szCs w:val="20"/>
          <w:color w:val="auto"/>
        </w:rPr>
      </w:pPr>
      <w:r>
        <w:rPr>
          <w:rFonts w:ascii="Arial" w:cs="Arial" w:eastAsia="Arial" w:hAnsi="Arial"/>
          <w:sz w:val="18"/>
          <w:szCs w:val="18"/>
          <w:color w:val="auto"/>
        </w:rPr>
        <w:t>Matthew J. Cox, Chairman and</w:t>
      </w:r>
    </w:p>
    <w:p>
      <w:pPr>
        <w:ind w:left="5401"/>
        <w:spacing w:after="0" w:line="204" w:lineRule="auto"/>
        <w:rPr>
          <w:sz w:val="20"/>
          <w:szCs w:val="20"/>
          <w:color w:val="auto"/>
        </w:rPr>
      </w:pPr>
      <w:r>
        <w:rPr>
          <w:rFonts w:ascii="Arial" w:cs="Arial" w:eastAsia="Arial" w:hAnsi="Arial"/>
          <w:sz w:val="18"/>
          <w:szCs w:val="18"/>
          <w:color w:val="auto"/>
        </w:rPr>
        <w:t>Chief Executive Officer</w:t>
      </w:r>
    </w:p>
    <w:p>
      <w:pPr>
        <w:ind w:left="1"/>
        <w:spacing w:after="0"/>
        <w:rPr>
          <w:sz w:val="20"/>
          <w:szCs w:val="20"/>
          <w:color w:val="auto"/>
        </w:rPr>
      </w:pPr>
      <w:r>
        <w:rPr>
          <w:rFonts w:ascii="Arial" w:cs="Arial" w:eastAsia="Arial" w:hAnsi="Arial"/>
          <w:sz w:val="18"/>
          <w:szCs w:val="18"/>
          <w:color w:val="auto"/>
        </w:rPr>
        <w:t>Date: November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461"/>
        <w:spacing w:after="0"/>
        <w:rPr>
          <w:sz w:val="20"/>
          <w:szCs w:val="20"/>
          <w:color w:val="auto"/>
        </w:rPr>
      </w:pPr>
      <w:r>
        <w:rPr>
          <w:rFonts w:ascii="Arial" w:cs="Arial" w:eastAsia="Arial" w:hAnsi="Arial"/>
          <w:sz w:val="17"/>
          <w:szCs w:val="17"/>
          <w:b w:val="1"/>
          <w:bCs w:val="1"/>
          <w:color w:val="auto"/>
        </w:rPr>
        <w:t>Certification of Chief Financial Officer pursuant to Rule 13a-14(a) or 15d-14(a) of the Securities Exchange Act of 1934.</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Joel M. Wine, certify that:</w:t>
      </w:r>
    </w:p>
    <w:p>
      <w:pPr>
        <w:spacing w:after="0" w:line="144" w:lineRule="exact"/>
        <w:rPr>
          <w:sz w:val="20"/>
          <w:szCs w:val="20"/>
          <w:color w:val="auto"/>
        </w:rPr>
      </w:pPr>
    </w:p>
    <w:p>
      <w:pPr>
        <w:ind w:left="781" w:hanging="781"/>
        <w:spacing w:after="0"/>
        <w:tabs>
          <w:tab w:leader="none" w:pos="7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144" w:lineRule="exact"/>
        <w:rPr>
          <w:rFonts w:ascii="Arial" w:cs="Arial" w:eastAsia="Arial" w:hAnsi="Arial"/>
          <w:sz w:val="18"/>
          <w:szCs w:val="18"/>
          <w:color w:val="auto"/>
        </w:rPr>
      </w:pPr>
    </w:p>
    <w:p>
      <w:pPr>
        <w:ind w:left="1" w:right="80" w:hanging="1"/>
        <w:spacing w:after="0" w:line="224" w:lineRule="auto"/>
        <w:tabs>
          <w:tab w:leader="none" w:pos="7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left="1" w:right="240" w:hanging="1"/>
        <w:spacing w:after="0" w:line="224" w:lineRule="auto"/>
        <w:tabs>
          <w:tab w:leader="none" w:pos="7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1" w:right="640" w:hanging="1"/>
        <w:spacing w:after="0" w:line="224" w:lineRule="auto"/>
        <w:tabs>
          <w:tab w:leader="none" w:pos="78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sz w:val="20"/>
          <w:szCs w:val="20"/>
          <w:color w:val="auto"/>
        </w:rPr>
      </w:pPr>
    </w:p>
    <w:p>
      <w:pPr>
        <w:ind w:left="1" w:right="100" w:hanging="1"/>
        <w:spacing w:after="0" w:line="238" w:lineRule="auto"/>
        <w:tabs>
          <w:tab w:leader="none" w:pos="849"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0" w:lineRule="exact"/>
        <w:rPr>
          <w:rFonts w:ascii="Arial" w:cs="Arial" w:eastAsia="Arial" w:hAnsi="Arial"/>
          <w:sz w:val="17"/>
          <w:szCs w:val="17"/>
          <w:color w:val="auto"/>
        </w:rPr>
      </w:pPr>
    </w:p>
    <w:p>
      <w:pPr>
        <w:ind w:left="1" w:right="120" w:hanging="1"/>
        <w:spacing w:after="0" w:line="224" w:lineRule="auto"/>
        <w:tabs>
          <w:tab w:leader="none" w:pos="8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1" w:right="220" w:hanging="1"/>
        <w:spacing w:after="0" w:line="224" w:lineRule="auto"/>
        <w:tabs>
          <w:tab w:leader="none" w:pos="8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 w:right="80" w:hanging="1"/>
        <w:spacing w:after="0" w:line="224" w:lineRule="auto"/>
        <w:tabs>
          <w:tab w:leader="none" w:pos="8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sz w:val="20"/>
          <w:szCs w:val="20"/>
          <w:color w:val="auto"/>
        </w:rPr>
      </w:pPr>
    </w:p>
    <w:p>
      <w:pPr>
        <w:jc w:val="both"/>
        <w:ind w:left="1" w:right="380" w:hanging="1"/>
        <w:spacing w:after="0" w:line="224" w:lineRule="auto"/>
        <w:tabs>
          <w:tab w:leader="none" w:pos="78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sz w:val="20"/>
          <w:szCs w:val="20"/>
          <w:color w:val="auto"/>
        </w:rPr>
      </w:pPr>
    </w:p>
    <w:p>
      <w:pPr>
        <w:ind w:left="1" w:right="180" w:hanging="1"/>
        <w:spacing w:after="0" w:line="289" w:lineRule="auto"/>
        <w:tabs>
          <w:tab w:leader="none" w:pos="8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 w:hanging="1"/>
        <w:spacing w:after="0" w:line="235" w:lineRule="auto"/>
        <w:tabs>
          <w:tab w:leader="none" w:pos="8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041"/>
        <w:spacing w:after="0"/>
        <w:tabs>
          <w:tab w:leader="none" w:pos="5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-635</wp:posOffset>
            </wp:positionV>
            <wp:extent cx="29502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ind w:left="5421"/>
        <w:spacing w:after="0" w:line="203" w:lineRule="auto"/>
        <w:rPr>
          <w:sz w:val="20"/>
          <w:szCs w:val="20"/>
          <w:color w:val="auto"/>
        </w:rPr>
      </w:pPr>
      <w:r>
        <w:rPr>
          <w:rFonts w:ascii="Arial" w:cs="Arial" w:eastAsia="Arial" w:hAnsi="Arial"/>
          <w:sz w:val="18"/>
          <w:szCs w:val="18"/>
          <w:color w:val="auto"/>
        </w:rPr>
        <w:t>Joel M. Wine, Senior Vice President and</w:t>
      </w:r>
    </w:p>
    <w:p>
      <w:pPr>
        <w:ind w:left="5421"/>
        <w:spacing w:after="0" w:line="204" w:lineRule="auto"/>
        <w:rPr>
          <w:sz w:val="20"/>
          <w:szCs w:val="20"/>
          <w:color w:val="auto"/>
        </w:rPr>
      </w:pPr>
      <w:r>
        <w:rPr>
          <w:rFonts w:ascii="Arial" w:cs="Arial" w:eastAsia="Arial" w:hAnsi="Arial"/>
          <w:sz w:val="18"/>
          <w:szCs w:val="18"/>
          <w:color w:val="auto"/>
        </w:rPr>
        <w:t>Chief Financial Officer</w:t>
      </w:r>
    </w:p>
    <w:p>
      <w:pPr>
        <w:ind w:left="1"/>
        <w:spacing w:after="0"/>
        <w:rPr>
          <w:sz w:val="20"/>
          <w:szCs w:val="20"/>
          <w:color w:val="auto"/>
        </w:rPr>
      </w:pPr>
      <w:r>
        <w:rPr>
          <w:rFonts w:ascii="Arial" w:cs="Arial" w:eastAsia="Arial" w:hAnsi="Arial"/>
          <w:sz w:val="18"/>
          <w:szCs w:val="18"/>
          <w:color w:val="auto"/>
        </w:rPr>
        <w:t>Date: November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236220</wp:posOffset>
            </wp:positionV>
            <wp:extent cx="6388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9" w:name="page30"/>
    <w:bookmarkEnd w:id="29"/>
    <w:p>
      <w:pPr>
        <w:ind w:left="8080"/>
        <w:spacing w:after="0"/>
        <w:rPr>
          <w:sz w:val="20"/>
          <w:szCs w:val="20"/>
          <w:color w:val="auto"/>
        </w:rPr>
      </w:pPr>
      <w:r>
        <w:rPr>
          <w:rFonts w:ascii="Arial" w:cs="Arial" w:eastAsia="Arial" w:hAnsi="Arial"/>
          <w:sz w:val="18"/>
          <w:szCs w:val="18"/>
          <w:b w:val="1"/>
          <w:bCs w:val="1"/>
          <w:color w:val="auto"/>
        </w:rPr>
        <w:t>EXHIBIT 32</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Certification of Chief Executive Officer and Chief Financial Officer pursuant to 18 U.S.C. Section 1350.</w:t>
      </w:r>
    </w:p>
    <w:p>
      <w:pPr>
        <w:spacing w:after="0" w:line="160"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In connection with the Quarterly Report on Form 10-Q of Matson, Inc. (the “Company”) for the quarterly period ended September 30, 2018, as filed with the Securities and Exchange Commission on the date hereof (the “Report”), Matthew J. Cox, as Chairman and Chief Executive Officer of the Company, and Joel M. Wine, as Senior Vice President and Chief Financial Officer of the Company, each hereby certifies, pursuant to 18 U.S.C. Section 1350, that to their knowledge:</w:t>
      </w:r>
    </w:p>
    <w:p>
      <w:pPr>
        <w:spacing w:after="0" w:line="110" w:lineRule="exact"/>
        <w:rPr>
          <w:sz w:val="20"/>
          <w:szCs w:val="20"/>
          <w:color w:val="auto"/>
        </w:rPr>
      </w:pPr>
    </w:p>
    <w:p>
      <w:pPr>
        <w:ind w:left="860" w:hanging="857"/>
        <w:spacing w:after="0"/>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w:t>
      </w:r>
    </w:p>
    <w:p>
      <w:pPr>
        <w:spacing w:after="0"/>
        <w:rPr>
          <w:rFonts w:ascii="Arial" w:cs="Arial" w:eastAsia="Arial" w:hAnsi="Arial"/>
          <w:sz w:val="17"/>
          <w:szCs w:val="17"/>
          <w:color w:val="auto"/>
        </w:rPr>
      </w:pPr>
      <w:r>
        <w:rPr>
          <w:rFonts w:ascii="Arial" w:cs="Arial" w:eastAsia="Arial" w:hAnsi="Arial"/>
          <w:sz w:val="18"/>
          <w:szCs w:val="18"/>
          <w:color w:val="auto"/>
        </w:rPr>
        <w:t>1934; and</w:t>
      </w:r>
    </w:p>
    <w:p>
      <w:pPr>
        <w:spacing w:after="0" w:line="128" w:lineRule="exact"/>
        <w:rPr>
          <w:rFonts w:ascii="Arial" w:cs="Arial" w:eastAsia="Arial" w:hAnsi="Arial"/>
          <w:sz w:val="17"/>
          <w:szCs w:val="17"/>
          <w:color w:val="auto"/>
        </w:rPr>
      </w:pPr>
    </w:p>
    <w:p>
      <w:pPr>
        <w:ind w:right="500" w:firstLine="3"/>
        <w:spacing w:after="0" w:line="235" w:lineRule="auto"/>
        <w:tabs>
          <w:tab w:leader="none" w:pos="8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Matthew J. Cox</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Chairman and Chief Executive Officer</w:t>
      </w:r>
    </w:p>
    <w:p>
      <w:pPr>
        <w:spacing w:after="0"/>
        <w:tabs>
          <w:tab w:leader="none" w:pos="600" w:val="left"/>
        </w:tabs>
        <w:rPr>
          <w:sz w:val="20"/>
          <w:szCs w:val="20"/>
          <w:color w:val="auto"/>
        </w:rPr>
      </w:pPr>
      <w:r>
        <w:rPr>
          <w:rFonts w:ascii="Arial" w:cs="Arial" w:eastAsia="Arial" w:hAnsi="Arial"/>
          <w:sz w:val="18"/>
          <w:szCs w:val="18"/>
          <w:color w:val="auto"/>
        </w:rPr>
        <w:t>Date:</w:t>
        <w:tab/>
        <w:t>November 6, 2018</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Joel M. Wine</w:t>
      </w:r>
    </w:p>
    <w:p>
      <w:pPr>
        <w:spacing w:after="0" w:line="204" w:lineRule="auto"/>
        <w:tabs>
          <w:tab w:leader="none" w:pos="60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tabs>
          <w:tab w:leader="none" w:pos="600" w:val="left"/>
        </w:tabs>
        <w:rPr>
          <w:sz w:val="20"/>
          <w:szCs w:val="20"/>
          <w:color w:val="auto"/>
        </w:rPr>
      </w:pPr>
      <w:r>
        <w:rPr>
          <w:rFonts w:ascii="Arial" w:cs="Arial" w:eastAsia="Arial" w:hAnsi="Arial"/>
          <w:sz w:val="18"/>
          <w:szCs w:val="18"/>
          <w:color w:val="auto"/>
        </w:rPr>
        <w:t>Date:</w:t>
        <w:tab/>
        <w:t>November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3"/>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4"/>
    </w:lvl>
  </w:abstractNum>
  <w:abstractNum w:abstractNumId="13">
    <w:nsid w:val="75A2A8D4"/>
    <w:multiLevelType w:val="hybridMultilevel"/>
    <w:lvl w:ilvl="0">
      <w:lvlJc w:val="left"/>
      <w:lvlText w:val="%1."/>
      <w:numFmt w:val="decimal"/>
      <w:start w:val="5"/>
    </w:lvl>
  </w:abstractNum>
  <w:abstractNum w:abstractNumId="14">
    <w:nsid w:val="8EDBDAB"/>
    <w:multiLevelType w:val="hybridMultilevel"/>
    <w:lvl w:ilvl="0">
      <w:lvlJc w:val="left"/>
      <w:lvlText w:val="%1."/>
      <w:numFmt w:val="decimal"/>
      <w:start w:val="7"/>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8"/>
    </w:lvl>
  </w:abstractNum>
  <w:abstractNum w:abstractNumId="17">
    <w:nsid w:val="B03E0C6"/>
    <w:multiLevelType w:val="hybridMultilevel"/>
    <w:lvl w:ilvl="0">
      <w:lvlJc w:val="left"/>
      <w:lvlText w:val="%1."/>
      <w:numFmt w:val="decimal"/>
      <w:start w:val="9"/>
    </w:lvl>
  </w:abstractNum>
  <w:abstractNum w:abstractNumId="18">
    <w:nsid w:val="189A769B"/>
    <w:multiLevelType w:val="hybridMultilevel"/>
    <w:lvl w:ilvl="0">
      <w:lvlJc w:val="left"/>
      <w:lvlText w:val="%1."/>
      <w:numFmt w:val="decimal"/>
      <w:start w:val="10"/>
    </w:lvl>
  </w:abstractNum>
  <w:abstractNum w:abstractNumId="19">
    <w:nsid w:val="54E49EB4"/>
    <w:multiLevelType w:val="hybridMultilevel"/>
    <w:lvl w:ilvl="0">
      <w:lvlJc w:val="left"/>
      <w:lvlText w:val="%1."/>
      <w:numFmt w:val="decimal"/>
      <w:start w:val="1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32"/>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decimal"/>
      <w:start w:val="5"/>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decimal"/>
      <w:start w:val="5"/>
    </w:lvl>
  </w:abstractNum>
  <w:abstractNum w:abstractNumId="32">
    <w:nsid w:val="3006C83E"/>
    <w:multiLevelType w:val="hybridMultilevel"/>
    <w:lvl w:ilvl="0">
      <w:lvlJc w:val="left"/>
      <w:lvlText w:val="(%1)"/>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2019-12-28T18:13:51Z</dcterms:created>
  <dcterms:modified xsi:type="dcterms:W3CDTF">2019-12-28T18:13:51Z</dcterms:modified>
</cp:coreProperties>
</file>