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4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5320" w:type="dxa"/>
            <w:vAlign w:val="bottom"/>
          </w:tcPr>
          <w:p>
            <w:pPr>
              <w:ind w:left="2540"/>
              <w:spacing w:after="0"/>
              <w:rPr>
                <w:sz w:val="20"/>
                <w:szCs w:val="20"/>
                <w:color w:val="auto"/>
              </w:rPr>
            </w:pPr>
            <w:r>
              <w:rPr>
                <w:rFonts w:ascii="Arial" w:cs="Arial" w:eastAsia="Arial" w:hAnsi="Arial"/>
                <w:sz w:val="18"/>
                <w:szCs w:val="18"/>
                <w:b w:val="1"/>
                <w:bCs w:val="1"/>
                <w:color w:val="auto"/>
              </w:rPr>
              <w:t>For the transition period from</w:t>
            </w:r>
          </w:p>
        </w:tc>
        <w:tc>
          <w:tcPr>
            <w:tcW w:w="2600" w:type="dxa"/>
            <w:vAlign w:val="bottom"/>
          </w:tcPr>
          <w:p>
            <w:pPr>
              <w:ind w:left="120"/>
              <w:spacing w:after="0"/>
              <w:rPr>
                <w:sz w:val="20"/>
                <w:szCs w:val="20"/>
                <w:color w:val="auto"/>
              </w:rPr>
            </w:pPr>
            <w:r>
              <w:rPr>
                <w:rFonts w:ascii="Arial" w:cs="Arial" w:eastAsia="Arial" w:hAnsi="Arial"/>
                <w:sz w:val="18"/>
                <w:szCs w:val="18"/>
                <w:b w:val="1"/>
                <w:bCs w:val="1"/>
                <w:color w:val="auto"/>
              </w:rPr>
              <w:t>to</w:t>
            </w:r>
          </w:p>
        </w:tc>
      </w:tr>
      <w:tr>
        <w:trPr>
          <w:trHeight w:val="432"/>
        </w:trPr>
        <w:tc>
          <w:tcPr>
            <w:tcW w:w="7920" w:type="dxa"/>
            <w:vAlign w:val="bottom"/>
            <w:gridSpan w:val="2"/>
          </w:tcPr>
          <w:p>
            <w:pPr>
              <w:jc w:val="center"/>
              <w:ind w:left="663"/>
              <w:spacing w:after="0"/>
              <w:rPr>
                <w:sz w:val="20"/>
                <w:szCs w:val="20"/>
                <w:color w:val="auto"/>
              </w:rPr>
            </w:pPr>
            <w:r>
              <w:rPr>
                <w:rFonts w:ascii="Arial" w:cs="Arial" w:eastAsia="Arial" w:hAnsi="Arial"/>
                <w:sz w:val="18"/>
                <w:szCs w:val="18"/>
                <w:b w:val="1"/>
                <w:bCs w:val="1"/>
                <w:color w:val="auto"/>
                <w:w w:val="90"/>
              </w:rPr>
              <w:t>Commission file number 001-34187</w:t>
            </w:r>
          </w:p>
        </w:tc>
      </w:tr>
      <w:tr>
        <w:trPr>
          <w:trHeight w:val="566"/>
        </w:trPr>
        <w:tc>
          <w:tcPr>
            <w:tcW w:w="5320" w:type="dxa"/>
            <w:vAlign w:val="bottom"/>
          </w:tcPr>
          <w:p>
            <w:pPr>
              <w:jc w:val="center"/>
              <w:ind w:left="3243"/>
              <w:spacing w:after="0"/>
              <w:rPr>
                <w:sz w:val="20"/>
                <w:szCs w:val="20"/>
                <w:color w:val="auto"/>
              </w:rPr>
            </w:pPr>
            <w:r>
              <w:rPr>
                <w:rFonts w:ascii="Arial" w:cs="Arial" w:eastAsia="Arial" w:hAnsi="Arial"/>
                <w:sz w:val="32"/>
                <w:szCs w:val="32"/>
                <w:b w:val="1"/>
                <w:bCs w:val="1"/>
                <w:color w:val="auto"/>
                <w:w w:val="94"/>
              </w:rPr>
              <w:t>Matson, Inc.</w:t>
            </w:r>
          </w:p>
        </w:tc>
        <w:tc>
          <w:tcPr>
            <w:tcW w:w="2600" w:type="dxa"/>
            <w:vAlign w:val="bottom"/>
          </w:tcPr>
          <w:p>
            <w:pPr>
              <w:spacing w:after="0"/>
              <w:rPr>
                <w:sz w:val="24"/>
                <w:szCs w:val="24"/>
                <w:color w:val="auto"/>
              </w:rPr>
            </w:pPr>
          </w:p>
        </w:tc>
      </w:tr>
      <w:tr>
        <w:trPr>
          <w:trHeight w:val="230"/>
        </w:trPr>
        <w:tc>
          <w:tcPr>
            <w:tcW w:w="7920" w:type="dxa"/>
            <w:vAlign w:val="bottom"/>
            <w:gridSpan w:val="2"/>
          </w:tcPr>
          <w:p>
            <w:pPr>
              <w:jc w:val="center"/>
              <w:ind w:left="663"/>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5320" w:type="dxa"/>
            <w:vAlign w:val="bottom"/>
          </w:tcPr>
          <w:p>
            <w:pPr>
              <w:jc w:val="center"/>
              <w:ind w:right="2363"/>
              <w:spacing w:after="0"/>
              <w:rPr>
                <w:sz w:val="20"/>
                <w:szCs w:val="20"/>
                <w:color w:val="auto"/>
              </w:rPr>
            </w:pPr>
            <w:r>
              <w:rPr>
                <w:rFonts w:ascii="Arial" w:cs="Arial" w:eastAsia="Arial" w:hAnsi="Arial"/>
                <w:sz w:val="18"/>
                <w:szCs w:val="18"/>
                <w:b w:val="1"/>
                <w:bCs w:val="1"/>
                <w:color w:val="auto"/>
                <w:w w:val="94"/>
              </w:rPr>
              <w:t>Hawaii</w:t>
            </w:r>
          </w:p>
        </w:tc>
        <w:tc>
          <w:tcPr>
            <w:tcW w:w="2600" w:type="dxa"/>
            <w:vAlign w:val="bottom"/>
          </w:tcPr>
          <w:p>
            <w:pPr>
              <w:jc w:val="right"/>
              <w:ind w:right="150"/>
              <w:spacing w:after="0"/>
              <w:rPr>
                <w:sz w:val="20"/>
                <w:szCs w:val="20"/>
                <w:color w:val="auto"/>
              </w:rPr>
            </w:pPr>
            <w:r>
              <w:rPr>
                <w:rFonts w:ascii="Arial" w:cs="Arial" w:eastAsia="Arial" w:hAnsi="Arial"/>
                <w:sz w:val="18"/>
                <w:szCs w:val="18"/>
                <w:b w:val="1"/>
                <w:bCs w:val="1"/>
                <w:color w:val="auto"/>
              </w:rPr>
              <w:t>99-0032630</w:t>
            </w:r>
          </w:p>
        </w:tc>
      </w:tr>
      <w:tr>
        <w:trPr>
          <w:trHeight w:val="216"/>
        </w:trPr>
        <w:tc>
          <w:tcPr>
            <w:tcW w:w="5320" w:type="dxa"/>
            <w:vAlign w:val="bottom"/>
          </w:tcPr>
          <w:p>
            <w:pPr>
              <w:jc w:val="center"/>
              <w:ind w:right="2363"/>
              <w:spacing w:after="0"/>
              <w:rPr>
                <w:sz w:val="20"/>
                <w:szCs w:val="20"/>
                <w:color w:val="auto"/>
              </w:rPr>
            </w:pPr>
            <w:r>
              <w:rPr>
                <w:rFonts w:ascii="Arial" w:cs="Arial" w:eastAsia="Arial" w:hAnsi="Arial"/>
                <w:sz w:val="18"/>
                <w:szCs w:val="18"/>
                <w:color w:val="auto"/>
                <w:w w:val="93"/>
              </w:rPr>
              <w:t>(State or other jurisdiction of</w:t>
            </w:r>
          </w:p>
        </w:tc>
        <w:tc>
          <w:tcPr>
            <w:tcW w:w="2600" w:type="dxa"/>
            <w:vAlign w:val="bottom"/>
          </w:tcPr>
          <w:p>
            <w:pPr>
              <w:jc w:val="center"/>
              <w:ind w:left="1150"/>
              <w:spacing w:after="0"/>
              <w:rPr>
                <w:sz w:val="20"/>
                <w:szCs w:val="20"/>
                <w:color w:val="auto"/>
              </w:rPr>
            </w:pPr>
            <w:r>
              <w:rPr>
                <w:rFonts w:ascii="Arial" w:cs="Arial" w:eastAsia="Arial" w:hAnsi="Arial"/>
                <w:sz w:val="18"/>
                <w:szCs w:val="18"/>
                <w:color w:val="auto"/>
                <w:w w:val="93"/>
              </w:rPr>
              <w:t>(I.R.S. Employer</w:t>
            </w:r>
          </w:p>
        </w:tc>
      </w:tr>
      <w:tr>
        <w:trPr>
          <w:trHeight w:val="230"/>
        </w:trPr>
        <w:tc>
          <w:tcPr>
            <w:tcW w:w="5320" w:type="dxa"/>
            <w:vAlign w:val="bottom"/>
          </w:tcPr>
          <w:p>
            <w:pPr>
              <w:jc w:val="center"/>
              <w:ind w:right="2363"/>
              <w:spacing w:after="0"/>
              <w:rPr>
                <w:sz w:val="20"/>
                <w:szCs w:val="20"/>
                <w:color w:val="auto"/>
              </w:rPr>
            </w:pPr>
            <w:r>
              <w:rPr>
                <w:rFonts w:ascii="Arial" w:cs="Arial" w:eastAsia="Arial" w:hAnsi="Arial"/>
                <w:sz w:val="18"/>
                <w:szCs w:val="18"/>
                <w:color w:val="auto"/>
                <w:w w:val="93"/>
              </w:rPr>
              <w:t>incorporation or organization)</w:t>
            </w:r>
          </w:p>
        </w:tc>
        <w:tc>
          <w:tcPr>
            <w:tcW w:w="2600" w:type="dxa"/>
            <w:vAlign w:val="bottom"/>
          </w:tcPr>
          <w:p>
            <w:pPr>
              <w:jc w:val="center"/>
              <w:ind w:left="11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320" w:type="dxa"/>
            <w:vAlign w:val="bottom"/>
          </w:tcPr>
          <w:p>
            <w:pPr>
              <w:jc w:val="center"/>
              <w:ind w:right="2363"/>
              <w:spacing w:after="0"/>
              <w:rPr>
                <w:sz w:val="20"/>
                <w:szCs w:val="20"/>
                <w:color w:val="auto"/>
              </w:rPr>
            </w:pPr>
            <w:r>
              <w:rPr>
                <w:rFonts w:ascii="Arial" w:cs="Arial" w:eastAsia="Arial" w:hAnsi="Arial"/>
                <w:sz w:val="18"/>
                <w:szCs w:val="18"/>
                <w:b w:val="1"/>
                <w:bCs w:val="1"/>
                <w:color w:val="auto"/>
                <w:w w:val="91"/>
              </w:rPr>
              <w:t>1411 Sand Island Parkway</w:t>
            </w:r>
          </w:p>
        </w:tc>
        <w:tc>
          <w:tcPr>
            <w:tcW w:w="2600" w:type="dxa"/>
            <w:vAlign w:val="bottom"/>
          </w:tcPr>
          <w:p>
            <w:pPr>
              <w:spacing w:after="0"/>
              <w:rPr>
                <w:sz w:val="24"/>
                <w:szCs w:val="24"/>
                <w:color w:val="auto"/>
              </w:rPr>
            </w:pPr>
          </w:p>
        </w:tc>
      </w:tr>
      <w:tr>
        <w:trPr>
          <w:trHeight w:val="220"/>
        </w:trPr>
        <w:tc>
          <w:tcPr>
            <w:tcW w:w="5320" w:type="dxa"/>
            <w:vAlign w:val="bottom"/>
          </w:tcPr>
          <w:p>
            <w:pPr>
              <w:jc w:val="center"/>
              <w:ind w:right="2363"/>
              <w:spacing w:after="0"/>
              <w:rPr>
                <w:sz w:val="20"/>
                <w:szCs w:val="20"/>
                <w:color w:val="auto"/>
              </w:rPr>
            </w:pPr>
            <w:r>
              <w:rPr>
                <w:rFonts w:ascii="Arial" w:cs="Arial" w:eastAsia="Arial" w:hAnsi="Arial"/>
                <w:sz w:val="18"/>
                <w:szCs w:val="18"/>
                <w:b w:val="1"/>
                <w:bCs w:val="1"/>
                <w:color w:val="auto"/>
                <w:w w:val="96"/>
              </w:rPr>
              <w:t>Honolulu, HI</w:t>
            </w:r>
          </w:p>
        </w:tc>
        <w:tc>
          <w:tcPr>
            <w:tcW w:w="2600" w:type="dxa"/>
            <w:vAlign w:val="bottom"/>
          </w:tcPr>
          <w:p>
            <w:pPr>
              <w:jc w:val="right"/>
              <w:ind w:right="370"/>
              <w:spacing w:after="0"/>
              <w:rPr>
                <w:sz w:val="20"/>
                <w:szCs w:val="20"/>
                <w:color w:val="auto"/>
              </w:rPr>
            </w:pPr>
            <w:r>
              <w:rPr>
                <w:rFonts w:ascii="Arial" w:cs="Arial" w:eastAsia="Arial" w:hAnsi="Arial"/>
                <w:sz w:val="18"/>
                <w:szCs w:val="18"/>
                <w:b w:val="1"/>
                <w:bCs w:val="1"/>
                <w:color w:val="auto"/>
              </w:rPr>
              <w:t>96819</w:t>
            </w:r>
          </w:p>
        </w:tc>
      </w:tr>
      <w:tr>
        <w:trPr>
          <w:trHeight w:val="230"/>
        </w:trPr>
        <w:tc>
          <w:tcPr>
            <w:tcW w:w="5320" w:type="dxa"/>
            <w:vAlign w:val="bottom"/>
          </w:tcPr>
          <w:p>
            <w:pPr>
              <w:jc w:val="center"/>
              <w:ind w:right="2363"/>
              <w:spacing w:after="0"/>
              <w:rPr>
                <w:sz w:val="20"/>
                <w:szCs w:val="20"/>
                <w:color w:val="auto"/>
              </w:rPr>
            </w:pPr>
            <w:r>
              <w:rPr>
                <w:rFonts w:ascii="Arial" w:cs="Arial" w:eastAsia="Arial" w:hAnsi="Arial"/>
                <w:sz w:val="18"/>
                <w:szCs w:val="18"/>
                <w:color w:val="auto"/>
                <w:w w:val="92"/>
              </w:rPr>
              <w:t>(Address of principal executive offices)</w:t>
            </w:r>
          </w:p>
        </w:tc>
        <w:tc>
          <w:tcPr>
            <w:tcW w:w="2600" w:type="dxa"/>
            <w:vAlign w:val="bottom"/>
          </w:tcPr>
          <w:p>
            <w:pPr>
              <w:jc w:val="center"/>
              <w:ind w:left="11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fiscal year, if changed since last report)</w:t>
      </w:r>
    </w:p>
    <w:p>
      <w:pPr>
        <w:spacing w:after="0" w:line="21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44" w:right="239" w:bottom="0" w:gutter="0" w:footer="0" w:header="0"/>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544" w:right="23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544" w:right="239" w:bottom="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Number of shares of common stock outstanding as of March 31, 2016: </w:t>
      </w:r>
      <w:r>
        <w:rPr>
          <w:rFonts w:ascii="Arial" w:cs="Arial" w:eastAsia="Arial" w:hAnsi="Arial"/>
          <w:sz w:val="18"/>
          <w:szCs w:val="18"/>
          <w:b w:val="1"/>
          <w:bCs w:val="1"/>
          <w:color w:val="auto"/>
        </w:rPr>
        <w:t>43,258,098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4"/>
          <w:szCs w:val="24"/>
          <w:color w:val="auto"/>
        </w:rPr>
      </w:pPr>
    </w:p>
    <w:p>
      <w:pPr>
        <w:jc w:val="center"/>
        <w:ind w:left="2560" w:right="500"/>
        <w:spacing w:after="0" w:line="266"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(In millions, except per-share amounts) (Unaudited)</w:t>
      </w:r>
    </w:p>
    <w:p>
      <w:pPr>
        <w:sectPr>
          <w:pgSz w:w="11900" w:h="16838" w:orient="portrait"/>
          <w:cols w:equalWidth="0" w:num="1">
            <w:col w:w="11420"/>
          </w:cols>
          <w:pgMar w:left="240" w:top="544" w:right="239" w:bottom="0" w:gutter="0" w:footer="0" w:header="0"/>
          <w:type w:val="continuous"/>
        </w:sectPr>
      </w:pPr>
    </w:p>
    <w:bookmarkStart w:id="1" w:name="page2"/>
    <w:bookmarkEnd w:id="1"/>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5"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Ocean Transportation</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366.1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Logistics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Revenue</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454.2</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costs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Equity in income of related party Terminal Joint Venture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419.6</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Other Comprehensive Income (Loss), Net of Income Taxes: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gain (loss) in prior service cost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540"/>
              <w:spacing w:after="0"/>
              <w:rPr>
                <w:sz w:val="20"/>
                <w:szCs w:val="20"/>
                <w:color w:val="auto"/>
              </w:rPr>
            </w:pPr>
            <w:r>
              <w:rPr>
                <w:rFonts w:ascii="Arial" w:cs="Arial" w:eastAsia="Arial" w:hAnsi="Arial"/>
                <w:sz w:val="18"/>
                <w:szCs w:val="18"/>
                <w:color w:val="auto"/>
              </w:rPr>
              <w:t>Amortization of prior service cost included in net periodic pension cost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Amortization of net loss included in net periodic pension cost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54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Other Comprehensive Income</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80" w:type="dxa"/>
            <w:vAlign w:val="bottom"/>
          </w:tcPr>
          <w:p>
            <w:pPr>
              <w:jc w:val="center"/>
              <w:ind w:left="3210"/>
              <w:spacing w:after="0"/>
              <w:rPr>
                <w:sz w:val="20"/>
                <w:szCs w:val="20"/>
                <w:color w:val="auto"/>
              </w:rPr>
            </w:pPr>
            <w:r>
              <w:rPr>
                <w:rFonts w:ascii="Arial" w:cs="Arial" w:eastAsia="Arial" w:hAnsi="Arial"/>
                <w:sz w:val="18"/>
                <w:szCs w:val="18"/>
                <w:color w:val="auto"/>
                <w:w w:val="88"/>
              </w:rPr>
              <w:t>See Notes to Condensed Consolidated Financial Statements.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jc w:val="center"/>
              <w:ind w:left="3230"/>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0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808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MATSON, INC. AND SUBSIDIARIES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80" w:type="dxa"/>
            <w:vAlign w:val="bottom"/>
          </w:tcPr>
          <w:p>
            <w:pPr>
              <w:jc w:val="center"/>
              <w:ind w:left="32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jc w:val="center"/>
              <w:ind w:left="3210"/>
              <w:spacing w:after="0"/>
              <w:rPr>
                <w:sz w:val="20"/>
                <w:szCs w:val="20"/>
                <w:color w:val="auto"/>
              </w:rPr>
            </w:pPr>
            <w:r>
              <w:rPr>
                <w:rFonts w:ascii="Arial" w:cs="Arial" w:eastAsia="Arial" w:hAnsi="Arial"/>
                <w:sz w:val="18"/>
                <w:szCs w:val="18"/>
                <w:color w:val="auto"/>
                <w:w w:val="95"/>
              </w:rPr>
              <w:t>(In millions) (Unaudited)</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4"/>
                <w:szCs w:val="2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210.4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Investment in related party Terminal Joint Venture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69.0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857.4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241.6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Capital Construction Fund - cash on deposit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dry-docking costs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debt</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150.7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Payroll and vacation benefits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Uninsured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and other liabilities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Liabilities: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-4606925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-4606925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459.5</w:t>
            </w:r>
          </w:p>
        </w:tc>
        <w:tc>
          <w:tcPr>
            <w:tcW w:w="5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407.9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Employee benefit plans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106.7</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Uninsured and other liabilities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38.4</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Multi-employer withdrawal liabilities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55.5</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Pr>
          <w:p>
            <w:pPr>
              <w:spacing w:after="0" w:line="196" w:lineRule="exact"/>
              <w:rPr>
                <w:sz w:val="20"/>
                <w:szCs w:val="20"/>
                <w:color w:val="auto"/>
              </w:rPr>
            </w:pPr>
            <w:r>
              <w:rPr>
                <w:rFonts w:ascii="Arial" w:cs="Arial" w:eastAsia="Arial" w:hAnsi="Arial"/>
                <w:sz w:val="18"/>
                <w:szCs w:val="18"/>
                <w:color w:val="auto"/>
              </w:rPr>
              <w:t>Commitments and Contingencies (Note 2)</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Capital stock</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32.4</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 in capital</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(45.6)</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439.7</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1,674.3</w:t>
            </w:r>
          </w:p>
        </w:tc>
        <w:tc>
          <w:tcPr>
            <w:tcW w:w="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tcPr>
          <w:p>
            <w:pPr>
              <w:jc w:val="center"/>
              <w:ind w:left="3210"/>
              <w:spacing w:after="0"/>
              <w:rPr>
                <w:sz w:val="20"/>
                <w:szCs w:val="20"/>
                <w:color w:val="auto"/>
              </w:rPr>
            </w:pPr>
            <w:r>
              <w:rPr>
                <w:rFonts w:ascii="Arial" w:cs="Arial" w:eastAsia="Arial" w:hAnsi="Arial"/>
                <w:sz w:val="18"/>
                <w:szCs w:val="18"/>
                <w:color w:val="auto"/>
                <w:w w:val="88"/>
              </w:rPr>
              <w:t>See Notes to Condensed Consolidated Financial Statements.</w:t>
            </w: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jc w:val="center"/>
              <w:ind w:left="3230"/>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0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808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MATSON, INC. AND SUBSIDIARIES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80" w:type="dxa"/>
            <w:vAlign w:val="bottom"/>
          </w:tcPr>
          <w:p>
            <w:pPr>
              <w:jc w:val="center"/>
              <w:ind w:left="323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jc w:val="center"/>
              <w:ind w:left="3210"/>
              <w:spacing w:after="0"/>
              <w:rPr>
                <w:sz w:val="20"/>
                <w:szCs w:val="20"/>
                <w:color w:val="auto"/>
              </w:rPr>
            </w:pPr>
            <w:r>
              <w:rPr>
                <w:rFonts w:ascii="Arial" w:cs="Arial" w:eastAsia="Arial" w:hAnsi="Arial"/>
                <w:sz w:val="18"/>
                <w:szCs w:val="18"/>
                <w:color w:val="auto"/>
                <w:w w:val="95"/>
              </w:rPr>
              <w:t>(In millions) (Unaudited)</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18.1</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Reconciling adjustments: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23.8</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income of related party Terminal Joint Venture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dry-docking payments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Deferred dry-docking amortization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8.1</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deposits into Capital Construction Fund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Withdrawals from Capital Construction Fund</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Excess tax benefit from stock-based compensation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debt and capital leases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Proceeds from revolving credit facility</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97.0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revolving credit facility</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Proceeds from issuance of capital stock</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withholding related to net share settlements of restricted stock units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for shares repurchased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17.4</w:t>
            </w:r>
          </w:p>
        </w:tc>
        <w:tc>
          <w:tcPr>
            <w:tcW w:w="2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the period</w:t>
            </w:r>
          </w:p>
        </w:tc>
        <w:tc>
          <w:tcPr>
            <w:tcW w:w="20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1040" w:type="dxa"/>
            <w:vAlign w:val="bottom"/>
            <w:gridSpan w:val="2"/>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Income tax (refund) paid</w:t>
            </w:r>
          </w:p>
        </w:tc>
        <w:tc>
          <w:tcPr>
            <w:tcW w:w="104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Non-cash Information: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 included in accounts payable and accrued liabilities</w:t>
            </w:r>
          </w:p>
        </w:tc>
        <w:tc>
          <w:tcPr>
            <w:tcW w:w="1040" w:type="dxa"/>
            <w:vAlign w:val="bottom"/>
            <w:gridSpan w:val="2"/>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-7487920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-7487920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60"/>
          </w:cols>
          <w:pgMar w:left="240" w:top="125" w:right="199" w:bottom="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 The Company consists of two segments, Ocean Transportation and Logistics:</w:t>
      </w:r>
    </w:p>
    <w:p>
      <w:pPr>
        <w:spacing w:after="0" w:line="170"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b w:val="1"/>
          <w:bCs w:val="1"/>
          <w:i w:val="1"/>
          <w:iCs w:val="1"/>
          <w:color w:val="auto"/>
        </w:rPr>
        <w:t xml:space="preserve">Ocean Transportation: </w:t>
      </w:r>
      <w:r>
        <w:rPr>
          <w:rFonts w:ascii="Arial" w:cs="Arial" w:eastAsia="Arial" w:hAnsi="Arial"/>
          <w:sz w:val="17"/>
          <w:szCs w:val="17"/>
          <w:color w:val="auto"/>
        </w:rPr>
        <w:t>Matson’s Ocean Transportation business is conducted through Matson Navigation Company, Inc. (“MatNav”),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Matson, Inc. Founded in 1882, MatNav is an asset-based business that provides a vital lifeline of ocean freight transportation services to the domestic offshore economies of Hawaii, Alaska, and Guam, and to other island economies including Micronesia and various islands in the South Pacific. MatNav also operates a premium, expedited service from China to Long Beach, California. In addition, subsidiaries of MatNav provides container stevedoring, container equipment maintenance and other terminal services for MatNav and other ocean carriers on the Hawaiian islands of Oahu, Hawaii, Maui and Kauai, and in the Alaska locations of Anchorage, Kodiak, Dutch Harbor and Akutan.</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a 35 percent ownership interest in SSA Terminals, LLC (“SSAT”), a joint venture between Matson Ventures, Inc., a wholly-owned subsidiary of MatNav, and SSA Ventures, Inc., a subsidiary of Carrix, Inc. SSAT provides terminal and stevedoring services to various carriers at six terminal facilities on the West Coast of the United States of America (“U.S.”), including to MatNav at several of those facilities. Matson records its share of income or loss in the joint venture in operating costs in the Condensed Consolidated Statements of Income and Comprehensive Income, and within the Ocean Transportation segment due to the nature of SSAT’s operations.</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 xml:space="preserve">Logistics: </w:t>
      </w:r>
      <w:r>
        <w:rPr>
          <w:rFonts w:ascii="Arial" w:cs="Arial" w:eastAsia="Arial" w:hAnsi="Arial"/>
          <w:sz w:val="17"/>
          <w:szCs w:val="17"/>
          <w:color w:val="auto"/>
        </w:rPr>
        <w:t>The Company’s logistics business is conducted through Matson Logistics, Inc. (“Matson Logistics”), a wholly-owned subsidiary of MatNav.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Established in 1987, Matson Logistics is an asset-light business that provides multimodal transportation services, including domestic and international rail intermodal service (“Intermodal”); long-haul and regional highway brokerage, specialized hauling, flat-bed and project services, less-than-truckload services, and expedited freight services (collectively “Highway”); supply chain management, and warehousing and distribution services.</w:t>
      </w:r>
    </w:p>
    <w:p>
      <w:pPr>
        <w:spacing w:after="0" w:line="167"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SIGNIFICANT ACCOUNTING POLICIES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Condensed Consolidated Financial Statements are unaudited. Due to the nature of the Company’s operations and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 of Horizon Lines, Inc. (“Horizon”) during 2015,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financial statements. The Condensed Consolidated Financial Statements should be read in conjunction with the Consolidated Financial Statements and notes thereto included in the Company’s Annual Report filed on Form 10-K for the year ended December 31, 2015, filed with the Securities and Exchange Commission (“SEC”) on February 26, 2016.</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 xml:space="preserve">Fiscal Period: </w:t>
      </w:r>
      <w:r>
        <w:rPr>
          <w:rFonts w:ascii="Arial" w:cs="Arial" w:eastAsia="Arial" w:hAnsi="Arial"/>
          <w:sz w:val="18"/>
          <w:szCs w:val="18"/>
          <w:color w:val="auto"/>
        </w:rPr>
        <w:t>The period end for Matson, Inc. covered by this report is March 31, 2016. The period end for MatNav and its subsidiaries covered by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 occurred on the last Friday in March, or March 25, 2016.</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 Consolidated Financial Statements included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Item 8 of the Company’s Annual Report filed on Form 10-K for the year ended December 31, 2015.</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Property and Equipment: </w:t>
      </w:r>
      <w:r>
        <w:rPr>
          <w:rFonts w:ascii="Arial" w:cs="Arial" w:eastAsia="Arial" w:hAnsi="Arial"/>
          <w:sz w:val="18"/>
          <w:szCs w:val="18"/>
          <w:color w:val="auto"/>
        </w:rPr>
        <w:t>Property and equipment is stated at cost, net of accumulated depreciation of $1,147.9 million and $1,128.6 million at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and December 31, 2015, respectively.</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 xml:space="preserve">Intangible Assets, Net: </w:t>
      </w:r>
      <w:r>
        <w:rPr>
          <w:rFonts w:ascii="Arial" w:cs="Arial" w:eastAsia="Arial" w:hAnsi="Arial"/>
          <w:sz w:val="18"/>
          <w:szCs w:val="18"/>
          <w:color w:val="auto"/>
        </w:rPr>
        <w:t>Intangible assets are recorded net of accumulated amortization of $14.2 million and $12.3 million at March 31, 2016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2015,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Capital Construction Fund: </w:t>
      </w:r>
      <w:r>
        <w:rPr>
          <w:rFonts w:ascii="Arial" w:cs="Arial" w:eastAsia="Arial" w:hAnsi="Arial"/>
          <w:sz w:val="18"/>
          <w:szCs w:val="18"/>
          <w:color w:val="auto"/>
        </w:rPr>
        <w:t>The Company’s Capital Construction Fund (“CCF”) is described in Note 7 to the Consolidated Financial Statements included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Item 8 of the Company’s Annual Report filed on Form 10-K for the year ended December 31, 2015. As of March 31, 2016 and December 31, 2015, the Company had $12.5 million and a nominal amount, respectively, on deposit in the CCF. These amounts are held in a money market account and classified as long-term assets in the Company’s Condensed Consolidated Balance Sheets, as the Company intends to use qualified cash withdrawals to fund the vessel construction costs. During the three months ended March 31, 2016, the Company made cash deposits of $12.5 million into the CCF, and there were no qualified cash withdrawals from the CCF.</w:t>
      </w:r>
    </w:p>
    <w:p>
      <w:pPr>
        <w:spacing w:after="0" w:line="193"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As of March 31, 2016 and December 31, 2015, $164.4 million and $176.6 million, respectively, of eligible accounts receivable were assigned to the CCF. Due to the nature of the assignment of eligible accounts receivable into the CCF, such assigned amounts are classified as part of accounts receivable in the Condensed Consolidated Balance Sheets.</w:t>
      </w:r>
    </w:p>
    <w:p>
      <w:pPr>
        <w:spacing w:after="0" w:line="181"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The Company’s Ocean Transportation business has certain risks that could result in expenditures for environmental remediation.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believes that based on all information available to it, the Company is currently in compliance, in all material respects, with applicable environmental laws and regulations.</w:t>
      </w:r>
    </w:p>
    <w:p>
      <w:pPr>
        <w:spacing w:after="0" w:line="18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b w:val="1"/>
          <w:bCs w:val="1"/>
          <w:i w:val="1"/>
          <w:iCs w:val="1"/>
          <w:color w:val="auto"/>
        </w:rPr>
        <w:t xml:space="preserve">New Accounting Pronouncements: </w:t>
      </w:r>
      <w:r>
        <w:rPr>
          <w:rFonts w:ascii="Arial" w:cs="Arial" w:eastAsia="Arial" w:hAnsi="Arial"/>
          <w:sz w:val="16"/>
          <w:szCs w:val="16"/>
          <w:i w:val="1"/>
          <w:iCs w:val="1"/>
          <w:color w:val="auto"/>
        </w:rPr>
        <w:t>Leases: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February 2016, the Financial Accounting Standards Board (“FASB”) issued Accounting Standards Update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(“ASU”) No. 2016-02, “Leases (Topic 842)” (“ASU 2016-02”), which requires lessees to record most leases on their balance sheets but recognize the expenses on their income statements in a manner similar to current practice. ASU 2016-02 states that a lessee would recognize a lease liability for the</w:t>
      </w:r>
    </w:p>
    <w:p>
      <w:pPr>
        <w:sectPr>
          <w:pgSz w:w="11900" w:h="16838" w:orient="portrait"/>
          <w:cols w:equalWidth="0" w:num="1">
            <w:col w:w="11400"/>
          </w:cols>
          <w:pgMar w:left="240" w:top="125" w:right="259" w:bottom="0" w:gutter="0" w:footer="0" w:header="0"/>
        </w:sectPr>
      </w:pPr>
    </w:p>
    <w:bookmarkStart w:id="4" w:name="page5"/>
    <w:bookmarkEnd w:id="4"/>
    <w:p>
      <w:pPr>
        <w:spacing w:after="0" w:line="6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obligation to make lease payments and a right-to-use asset for the right to use the underlying asset for the lease term. The new standard is effective for interim and annual periods beginning after December 15, 2018 and early adoption is permitted. The Company is in the process of evaluating this guidance.</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Share-Based Awards: </w:t>
      </w:r>
      <w:r>
        <w:rPr>
          <w:rFonts w:ascii="Arial" w:cs="Arial" w:eastAsia="Arial" w:hAnsi="Arial"/>
          <w:sz w:val="18"/>
          <w:szCs w:val="18"/>
          <w:color w:val="auto"/>
        </w:rPr>
        <w:t>In March 2016, the FASB issued ASU 2016-09, “Compensation - Stock Compensation (Topic 718): Improvements to Employee Share-Based Payment Accounting. The amendments are effective for public companies for annual periods beginning after December 15, 2016, and interim periods within those annual periods. Several aspects of the accounting for share-based payment award transactions are simplified, including: (a) income tax consequences; (b) classification of awards as either equity or liabilities; and (c) classification on the statement of cash flows. Early adoption is permitted. The Company is in the process of evaluating this guidance.</w:t>
      </w:r>
    </w:p>
    <w:p>
      <w:pPr>
        <w:spacing w:after="0" w:line="184"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i w:val="1"/>
          <w:iCs w:val="1"/>
          <w:color w:val="auto"/>
        </w:rPr>
        <w:t xml:space="preserve">Horizon Acquisition: </w:t>
      </w:r>
      <w:r>
        <w:rPr>
          <w:rFonts w:ascii="Arial" w:cs="Arial" w:eastAsia="Arial" w:hAnsi="Arial"/>
          <w:sz w:val="18"/>
          <w:szCs w:val="18"/>
          <w:color w:val="auto"/>
        </w:rPr>
        <w:t>On May 29, 2015 (the “Effective Date”), Matson completed its acquisition of Horizon pursuant to which MatNav acquired Horizon’s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Alaska operations and assumed all of Horizon’s non-Hawaii assets and liabilities. Immediately before the completion of the Horizon Acquisition, Horizon sold certain of its subsidiaries to the Pasha Group that: (i) conducted Horizon’s Hawaii operations (including owning the assets used to conduct such Hawaii operations and being responsible for the liabilities related thereto), and (ii) that employed the Horizon employees who conducted its Hawaii operations (the “Pasha Transaction”). Horizon also completed the termination of its Puerto Rico operations during the first quarter of 2015. The Alaska operations are recorded within the Ocean Transportation segment of the Company.</w:t>
      </w:r>
    </w:p>
    <w:p>
      <w:pPr>
        <w:spacing w:after="0" w:line="193"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On the Effective Date, a subsidiary of the Company merged with Horizon and as a result, the Company acquired 100 percent of Horizon’s outstanding shares and warrants for a cash price of $0.72 per-share. As a result of the Horizon Acquisition the Company thereby acquired Horizon’s assets and thereby assumed its liabilities including Horizon’s debt (net of proceeds from the Pasha Transaction). Immediately following the Horizon Acquisition, the Company repaid the assumed debt which included accrued interest and breakage fees, and redeemed all of Horizon’s outstanding warrants. Total consideration including debt paid and warrants redeemed by the Company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Total Consideration</w:t>
            </w: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top w:val="single" w:sz="8" w:color="CCEEFF"/>
            </w:tcBorders>
            <w:shd w:val="clear" w:color="auto" w:fill="CCEEFF"/>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Warrants</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37.1</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Horizon’s debt (including accrued interest and breakage fees)</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428.9</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495.4</w:t>
            </w: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180" w:type="dxa"/>
            <w:vAlign w:val="bottom"/>
            <w:vMerge w:val="restart"/>
          </w:tcPr>
          <w:p>
            <w:pPr>
              <w:jc w:val="right"/>
              <w:ind w:right="39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6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06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Horizon’s assets and liabilities acquired pursuant to the Horizon Acquisition were recorded based on fair value estimates as of the Effective Date, with the remaining unallocated purchase price recorded as goodwill. The following table summarizes the estimated fair values assigned to Horizon’s assets acquired and liabilities assumed as a result of the Horizon Acquisition as of March 31, 2016 and December 31, 2015: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Intangibles - Customer relationships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Accruals and other current liabilities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Multi-employer withdrawal liabilities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Horizon’s debt and warrants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(467.5)</w:t>
            </w:r>
          </w:p>
        </w:tc>
        <w:tc>
          <w:tcPr>
            <w:tcW w:w="0" w:type="dxa"/>
            <w:vAlign w:val="bottom"/>
          </w:tcPr>
          <w:p>
            <w:pPr>
              <w:spacing w:after="0"/>
              <w:rPr>
                <w:sz w:val="1"/>
                <w:szCs w:val="1"/>
                <w:color w:val="auto"/>
              </w:rPr>
            </w:pPr>
          </w:p>
        </w:tc>
      </w:tr>
      <w:tr>
        <w:trPr>
          <w:trHeight w:val="20"/>
        </w:trPr>
        <w:tc>
          <w:tcPr>
            <w:tcW w:w="5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identifiable assets less liabilities</w:t>
            </w: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Total cash paid for common shares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Such fair value estimates require significant judgment including the valuation of property and equipment, intangible assets, debt and warrants, the assumptions used in calculating the multi-employer withdrawal pension liabilities, and the determination of net deferred tax assets. The Company’s fair value estimates are subject to revision pending the Company’s final fair value analysis and purchase price calculations. Consequently, the fair value amounts presented are preliminary and are subject to revision. Final estimates of fair value, including the estimated fair value of multi-employer withdrawal liability may be significantly different from those reflected in the Company’s Consolidated Financial Statements as of March 31, 2016, and December 31, 2015.</w:t>
      </w:r>
    </w:p>
    <w:p>
      <w:pPr>
        <w:spacing w:after="0" w:line="15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Company’s Consolidated Statements of Income and Comprehensive Income for the quarter ended March 31, 2016, include operating revenue of $70.7 million, and net income before income taxes of $4.2 million, respectively, from Horizon’s operations. There were no one-time acquisition related costs incurred post December 31, 2015.</w:t>
      </w:r>
    </w:p>
    <w:p>
      <w:pPr>
        <w:spacing w:after="0" w:line="18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b w:val="1"/>
          <w:bCs w:val="1"/>
          <w:i w:val="1"/>
          <w:iCs w:val="1"/>
          <w:color w:val="auto"/>
        </w:rPr>
        <w:t xml:space="preserve">Pro Forma Financial Information (Unaudited): </w:t>
      </w:r>
      <w:r>
        <w:rPr>
          <w:rFonts w:ascii="Arial" w:cs="Arial" w:eastAsia="Arial" w:hAnsi="Arial"/>
          <w:sz w:val="17"/>
          <w:szCs w:val="17"/>
          <w:color w:val="auto"/>
        </w:rPr>
        <w:t>The following unaudited pro forma financial information presents the combined operating results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and those of Horizon excluding its Hawaii operations, as if the Horizon Acquisition had been completed at the beginning of each period presented below. The unaudited pro forma financial information includes the accounting effects of the business combination, including the amortization of intangible assets, depreciation of property and equipment, and interest expense. The unaudited pro forma financial information is presented for informational purposes only and is not indicative of the result of operations that would have been achieved if the Horizon Acquisition had taken place at the beginning of the periods presented, nor should it be taken as an indication of our future consolidated results of operations.</w:t>
      </w:r>
    </w:p>
    <w:p>
      <w:pPr>
        <w:spacing w:after="0" w:line="170" w:lineRule="exact"/>
        <w:rPr>
          <w:sz w:val="20"/>
          <w:szCs w:val="20"/>
          <w:color w:val="auto"/>
        </w:rPr>
      </w:pPr>
    </w:p>
    <w:p>
      <w:pPr>
        <w:jc w:val="center"/>
        <w:ind w:left="5000"/>
        <w:spacing w:after="0"/>
        <w:rPr>
          <w:sz w:val="20"/>
          <w:szCs w:val="20"/>
          <w:color w:val="auto"/>
        </w:rPr>
      </w:pPr>
      <w:r>
        <w:rPr>
          <w:rFonts w:ascii="Arial" w:cs="Arial" w:eastAsia="Arial" w:hAnsi="Arial"/>
          <w:sz w:val="14"/>
          <w:szCs w:val="14"/>
          <w:b w:val="1"/>
          <w:bCs w:val="1"/>
          <w:color w:val="auto"/>
        </w:rPr>
        <w:t>(Unaudited)</w:t>
      </w:r>
    </w:p>
    <w:p>
      <w:pPr>
        <w:jc w:val="center"/>
        <w:ind w:left="5000"/>
        <w:spacing w:after="0" w:line="226" w:lineRule="auto"/>
        <w:rPr>
          <w:sz w:val="20"/>
          <w:szCs w:val="20"/>
          <w:color w:val="auto"/>
        </w:rPr>
      </w:pPr>
      <w:r>
        <w:rPr>
          <w:rFonts w:ascii="Arial" w:cs="Arial" w:eastAsia="Arial" w:hAnsi="Arial"/>
          <w:sz w:val="14"/>
          <w:szCs w:val="14"/>
          <w:b w:val="1"/>
          <w:bCs w:val="1"/>
          <w:color w:val="auto"/>
        </w:rPr>
        <w:t>Three Months Ended</w:t>
      </w:r>
    </w:p>
    <w:p>
      <w:pPr>
        <w:jc w:val="center"/>
        <w:ind w:left="5000"/>
        <w:spacing w:after="0" w:line="232"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Pro Forma Combined: (in millions, except per-share amount)</w:t>
            </w:r>
          </w:p>
        </w:tc>
        <w:tc>
          <w:tcPr>
            <w:tcW w:w="1380" w:type="dxa"/>
            <w:vAlign w:val="bottom"/>
            <w:tcBorders>
              <w:top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210"/>
        </w:trPr>
        <w:tc>
          <w:tcPr>
            <w:tcW w:w="6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84"/>
        </w:trPr>
        <w:tc>
          <w:tcPr>
            <w:tcW w:w="64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r>
    </w:tbl>
    <w:p>
      <w:pPr>
        <w:sectPr>
          <w:pgSz w:w="11900" w:h="16900" w:orient="portrait"/>
          <w:cols w:equalWidth="0" w:num="1">
            <w:col w:w="11460"/>
          </w:cols>
          <w:pgMar w:left="240" w:top="125" w:right="1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454.2</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473.4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2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18.1</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0.42</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0.23</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0.41</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0.23</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2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Basic</w:t>
            </w:r>
          </w:p>
        </w:tc>
        <w:tc>
          <w:tcPr>
            <w:tcW w:w="25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43.4</w:t>
            </w:r>
          </w:p>
        </w:tc>
        <w:tc>
          <w:tcPr>
            <w:tcW w:w="6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43.4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43.8</w:t>
            </w: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580" w:type="dxa"/>
            <w:vAlign w:val="bottom"/>
          </w:tcPr>
          <w:p>
            <w:pPr>
              <w:jc w:val="right"/>
              <w:ind w:right="1390"/>
              <w:spacing w:after="0"/>
              <w:rPr>
                <w:sz w:val="20"/>
                <w:szCs w:val="20"/>
                <w:color w:val="auto"/>
              </w:rPr>
            </w:pPr>
            <w:r>
              <w:rPr>
                <w:rFonts w:ascii="Arial" w:cs="Arial" w:eastAsia="Arial" w:hAnsi="Arial"/>
                <w:sz w:val="18"/>
                <w:szCs w:val="18"/>
                <w:color w:val="auto"/>
              </w:rPr>
              <w:t>6</w:t>
            </w: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64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2016 and December 31, 2015, the Company’s debt consisted of the following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7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196"/>
        </w:trPr>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Term Loans:</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5.79%, payable through 2020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3.66%, payable through 2023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68.4</w:t>
            </w: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4.16%, payable through 2027</w:t>
            </w:r>
          </w:p>
        </w:tc>
        <w:tc>
          <w:tcPr>
            <w:tcW w:w="2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4.31%, payable through 2032</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4.35%, payable through 2044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3.92%, payable through 2045</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Title XI Bonds: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5.34%, payable through 2028</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5.27%, payable through 2029</w:t>
            </w:r>
          </w:p>
        </w:tc>
        <w:tc>
          <w:tcPr>
            <w:tcW w:w="2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Capital leases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r>
      <w:tr>
        <w:trPr>
          <w:trHeight w:val="210"/>
        </w:trPr>
        <w:tc>
          <w:tcPr>
            <w:tcW w:w="71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r>
      <w:tr>
        <w:trPr>
          <w:trHeight w:val="210"/>
        </w:trPr>
        <w:tc>
          <w:tcPr>
            <w:tcW w:w="71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Long-term Debt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Debt is described in Note 8 to the Consolidated Financial Statements included in Item 8 of the Company’s Annual Report filed on Form 10-K for the year ended December 31, 2015.</w:t>
      </w:r>
    </w:p>
    <w:p>
      <w:pPr>
        <w:spacing w:after="0" w:line="1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Borrowings under the revolving credit facility are classified as long-term debt in the Condensed Consolidated Balance Sheet, as</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payments are not required until maturity date of July 30, 2020. As of March 31, 2016, the Company had $335.0 million of availability under the revolving credit facility. The interest rate on borrowings under the revolving credit facility approximated 1.73 percent during the three months ended March 31, 2016.</w:t>
      </w:r>
    </w:p>
    <w:p>
      <w:pPr>
        <w:spacing w:after="0" w:line="183" w:lineRule="exact"/>
        <w:rPr>
          <w:sz w:val="20"/>
          <w:szCs w:val="20"/>
          <w:color w:val="auto"/>
        </w:rPr>
      </w:pPr>
    </w:p>
    <w:p>
      <w:pPr>
        <w:ind w:left="480" w:hanging="472"/>
        <w:spacing w:after="0"/>
        <w:tabs>
          <w:tab w:leader="none" w:pos="4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sponsors qualified defined-benefit pension and post-retirement plans (collectively, the “Plans”). The following table provides the components of net periodic benefit cost (benefit) for the Plans for the three months ended March 31, 2016 and 2015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Pension Benefits</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6"/>
          </w:tcPr>
          <w:p>
            <w:pPr>
              <w:ind w:left="280"/>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71"/>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Components of Net Periodic Benefit Costs:</w:t>
            </w: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Amortization of net loss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4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three months ended March 31, 2016, the Company contributed $3.1 million to its defined benefit pension plans, out of total expected contributions of $7.5 million for 2016.</w:t>
      </w:r>
    </w:p>
    <w:p>
      <w:pPr>
        <w:spacing w:after="0" w:line="166"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three months ended March 31, 2016, the Company granted approximately 289,802 in total of time-based and performance-based shares to certain of its employees at a $37.64 weighted-average grant date fair value.</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Total stock-based compensation cost recognized in the Condensed Consolidated Statements of Income and Comprehensive Income as a component of selling, general and administrative expenses was $2.8 million for both the three months ended March 31, 2016 and 2015. Total unrecognized compensation cost related to unvested share-based compensation arrangements was $17.3 million at March 31, 2016, and is expected to be recognized over a weighted-average period of 2.3 years. Total unrecognized compensation cost may be adjusted for any unearned performance shares or forfeited shares.</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40" w:right="199" w:bottom="505" w:gutter="0" w:footer="0" w:header="0"/>
        </w:sectPr>
      </w:pPr>
    </w:p>
    <w:bookmarkStart w:id="6" w:name="page7"/>
    <w:bookmarkEnd w:id="6"/>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PER-SHARE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number of shares used to compute basic and diluted earnings per-share for the three months ended March 31, 2016 and 2015, is as follows (in millions, except per-share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60" w:type="dxa"/>
            <w:vAlign w:val="bottom"/>
            <w:gridSpan w:val="8"/>
          </w:tcPr>
          <w:p>
            <w:pPr>
              <w:jc w:val="center"/>
              <w:ind w:right="960"/>
              <w:spacing w:after="0"/>
              <w:rPr>
                <w:sz w:val="20"/>
                <w:szCs w:val="20"/>
                <w:color w:val="auto"/>
              </w:rPr>
            </w:pPr>
            <w:r>
              <w:rPr>
                <w:rFonts w:ascii="Arial" w:cs="Arial" w:eastAsia="Arial" w:hAnsi="Arial"/>
                <w:sz w:val="14"/>
                <w:szCs w:val="14"/>
                <w:b w:val="1"/>
                <w:bCs w:val="1"/>
                <w:color w:val="auto"/>
                <w:w w:val="95"/>
              </w:rPr>
              <w:t>Three Months Ended March 31, 2016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2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5"/>
              </w:rPr>
              <w:t>Three Months Ended March 31, 2015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21"/>
              <w:spacing w:after="0" w:line="119" w:lineRule="exact"/>
              <w:rPr>
                <w:sz w:val="20"/>
                <w:szCs w:val="20"/>
                <w:color w:val="auto"/>
              </w:rPr>
            </w:pPr>
            <w:r>
              <w:rPr>
                <w:rFonts w:ascii="Arial" w:cs="Arial" w:eastAsia="Arial" w:hAnsi="Arial"/>
                <w:sz w:val="13"/>
                <w:szCs w:val="13"/>
                <w:b w:val="1"/>
                <w:bCs w:val="1"/>
                <w:color w:val="auto"/>
                <w:w w:val="95"/>
              </w:rPr>
              <w:t>Per</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01"/>
              <w:spacing w:after="0" w:line="119" w:lineRule="exact"/>
              <w:rPr>
                <w:sz w:val="20"/>
                <w:szCs w:val="20"/>
                <w:color w:val="auto"/>
              </w:rPr>
            </w:pPr>
            <w:r>
              <w:rPr>
                <w:rFonts w:ascii="Arial" w:cs="Arial" w:eastAsia="Arial" w:hAnsi="Arial"/>
                <w:sz w:val="13"/>
                <w:szCs w:val="13"/>
                <w:b w:val="1"/>
                <w:bCs w:val="1"/>
                <w:color w:val="auto"/>
              </w:rPr>
              <w:t>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0" w:type="dxa"/>
            <w:vAlign w:val="bottom"/>
            <w:vMerge w:val="restart"/>
          </w:tcPr>
          <w:p>
            <w:pPr>
              <w:jc w:val="right"/>
              <w:ind w:right="47"/>
              <w:spacing w:after="0"/>
              <w:rPr>
                <w:sz w:val="20"/>
                <w:szCs w:val="20"/>
                <w:color w:val="auto"/>
              </w:rPr>
            </w:pPr>
            <w:r>
              <w:rPr>
                <w:rFonts w:ascii="Arial" w:cs="Arial" w:eastAsia="Arial" w:hAnsi="Arial"/>
                <w:sz w:val="14"/>
                <w:szCs w:val="14"/>
                <w:b w:val="1"/>
                <w:bCs w:val="1"/>
                <w:color w:val="auto"/>
              </w:rPr>
              <w:t>Net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Net</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Share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Income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Income</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800" w:type="dxa"/>
            <w:vAlign w:val="bottom"/>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18.1</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0.42</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800" w:type="dxa"/>
            <w:vAlign w:val="bottom"/>
            <w:tcBorders>
              <w:top w:val="single" w:sz="8" w:color="auto"/>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18.1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Basic earnings per-share is determined by dividing net income by the weighted-average common shares outstanding during the period. The calculation of diluted earnings per-share includes the dilutive effect of unexercised non-qualified stock options and non-vested restricted stock units.</w:t>
      </w:r>
    </w:p>
    <w:p>
      <w:pPr>
        <w:spacing w:after="0" w:line="14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computation of weighted average dilutive shares outstanding excludes certain non-qualified stock options to purchase shares of common stock where the options’ exercise prices were greater than the average market price of the Company’s common stock for the periods presented and, therefore, the effect would be anti-dilutive.</w:t>
      </w:r>
    </w:p>
    <w:p>
      <w:pPr>
        <w:spacing w:after="0" w:line="177" w:lineRule="exact"/>
        <w:rPr>
          <w:sz w:val="20"/>
          <w:szCs w:val="20"/>
          <w:color w:val="auto"/>
        </w:rPr>
      </w:pPr>
    </w:p>
    <w:p>
      <w:pPr>
        <w:ind w:left="480" w:hanging="472"/>
        <w:spacing w:after="0"/>
        <w:tabs>
          <w:tab w:leader="none" w:pos="4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uses Level 1 inputs for the fair values of its cash equivalents, and Level 2 inputs for its accounts receivable, variable rate debt and fixed rate debt. The fair values of cash and cash equivalents, accounts receivable and variable rate debt approximate their carrying values due to the nature of the instruments. The fair value of the Company’s fixed rate debt is calculated based upon interest rates available for debt with terms and maturities similar to the Company’s existing debt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and fair value of the Company’s financial instruments as of March 31, 2016 and December 31, 2015 are as follows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Total Carrying</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center"/>
              <w:ind w:right="237"/>
              <w:spacing w:after="0"/>
              <w:rPr>
                <w:sz w:val="20"/>
                <w:szCs w:val="20"/>
                <w:color w:val="auto"/>
              </w:rPr>
            </w:pPr>
            <w:r>
              <w:rPr>
                <w:rFonts w:ascii="Arial" w:cs="Arial" w:eastAsia="Arial" w:hAnsi="Arial"/>
                <w:sz w:val="14"/>
                <w:szCs w:val="14"/>
                <w:b w:val="1"/>
                <w:bCs w:val="1"/>
                <w:color w:val="auto"/>
                <w:w w:val="91"/>
              </w:rPr>
              <w:t>Quoted Prices in</w:t>
            </w:r>
          </w:p>
        </w:tc>
        <w:tc>
          <w:tcPr>
            <w:tcW w:w="280" w:type="dxa"/>
            <w:vAlign w:val="bottom"/>
          </w:tcPr>
          <w:p>
            <w:pPr>
              <w:spacing w:after="0"/>
              <w:rPr>
                <w:sz w:val="14"/>
                <w:szCs w:val="14"/>
                <w:color w:val="auto"/>
              </w:rPr>
            </w:pPr>
          </w:p>
        </w:tc>
        <w:tc>
          <w:tcPr>
            <w:tcW w:w="1500" w:type="dxa"/>
            <w:vAlign w:val="bottom"/>
          </w:tcPr>
          <w:p>
            <w:pPr>
              <w:jc w:val="center"/>
              <w:ind w:right="195"/>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146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280" w:type="dxa"/>
            <w:vAlign w:val="bottom"/>
          </w:tcPr>
          <w:p>
            <w:pPr>
              <w:spacing w:after="0"/>
              <w:rPr>
                <w:sz w:val="12"/>
                <w:szCs w:val="12"/>
                <w:color w:val="auto"/>
              </w:rPr>
            </w:pPr>
          </w:p>
        </w:tc>
        <w:tc>
          <w:tcPr>
            <w:tcW w:w="150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0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Value at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center"/>
              <w:ind w:right="237"/>
              <w:spacing w:after="0"/>
              <w:rPr>
                <w:sz w:val="20"/>
                <w:szCs w:val="20"/>
                <w:color w:val="auto"/>
              </w:rPr>
            </w:pPr>
            <w:r>
              <w:rPr>
                <w:rFonts w:ascii="Arial" w:cs="Arial" w:eastAsia="Arial" w:hAnsi="Arial"/>
                <w:sz w:val="14"/>
                <w:szCs w:val="14"/>
                <w:b w:val="1"/>
                <w:bCs w:val="1"/>
                <w:color w:val="auto"/>
                <w:w w:val="94"/>
              </w:rPr>
              <w:t>(Level 1)</w:t>
            </w:r>
          </w:p>
        </w:tc>
        <w:tc>
          <w:tcPr>
            <w:tcW w:w="280" w:type="dxa"/>
            <w:vAlign w:val="bottom"/>
          </w:tcPr>
          <w:p>
            <w:pPr>
              <w:spacing w:after="0"/>
              <w:rPr>
                <w:sz w:val="14"/>
                <w:szCs w:val="14"/>
                <w:color w:val="auto"/>
              </w:rPr>
            </w:pPr>
          </w:p>
        </w:tc>
        <w:tc>
          <w:tcPr>
            <w:tcW w:w="1500" w:type="dxa"/>
            <w:vAlign w:val="bottom"/>
          </w:tcPr>
          <w:p>
            <w:pPr>
              <w:jc w:val="center"/>
              <w:ind w:right="195"/>
              <w:spacing w:after="0"/>
              <w:rPr>
                <w:sz w:val="20"/>
                <w:szCs w:val="20"/>
                <w:color w:val="auto"/>
              </w:rPr>
            </w:pPr>
            <w:r>
              <w:rPr>
                <w:rFonts w:ascii="Arial" w:cs="Arial" w:eastAsia="Arial" w:hAnsi="Arial"/>
                <w:sz w:val="14"/>
                <w:szCs w:val="14"/>
                <w:b w:val="1"/>
                <w:bCs w:val="1"/>
                <w:color w:val="auto"/>
                <w:w w:val="94"/>
              </w:rPr>
              <w:t>(Level 2)</w:t>
            </w:r>
          </w:p>
        </w:tc>
        <w:tc>
          <w:tcPr>
            <w:tcW w:w="30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 (Level 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96"/>
              </w:rPr>
              <w:t>March 31, 2016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324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Fair Value Measurements at March 31, 2016</w:t>
            </w:r>
          </w:p>
        </w:tc>
        <w:tc>
          <w:tcPr>
            <w:tcW w:w="3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210.4</w:t>
            </w:r>
          </w:p>
        </w:tc>
        <w:tc>
          <w:tcPr>
            <w:tcW w:w="300" w:type="dxa"/>
            <w:vAlign w:val="bottom"/>
          </w:tcPr>
          <w:p>
            <w:pPr>
              <w:spacing w:after="0"/>
              <w:rPr>
                <w:sz w:val="18"/>
                <w:szCs w:val="18"/>
                <w:color w:val="auto"/>
              </w:rPr>
            </w:pPr>
          </w:p>
        </w:tc>
        <w:tc>
          <w:tcPr>
            <w:tcW w:w="146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500" w:type="dxa"/>
            <w:vAlign w:val="bottom"/>
          </w:tcPr>
          <w:p>
            <w:pPr>
              <w:jc w:val="right"/>
              <w:ind w:right="75"/>
              <w:spacing w:after="0"/>
              <w:rPr>
                <w:sz w:val="20"/>
                <w:szCs w:val="20"/>
                <w:color w:val="auto"/>
              </w:rPr>
            </w:pPr>
            <w:r>
              <w:rPr>
                <w:rFonts w:ascii="Arial" w:cs="Arial" w:eastAsia="Arial" w:hAnsi="Arial"/>
                <w:sz w:val="18"/>
                <w:szCs w:val="18"/>
                <w:color w:val="auto"/>
              </w:rPr>
              <w:t>210.4</w:t>
            </w:r>
          </w:p>
        </w:tc>
        <w:tc>
          <w:tcPr>
            <w:tcW w:w="300" w:type="dxa"/>
            <w:vAlign w:val="bottom"/>
          </w:tcPr>
          <w:p>
            <w:pPr>
              <w:spacing w:after="0"/>
              <w:rPr>
                <w:sz w:val="18"/>
                <w:szCs w:val="18"/>
                <w:color w:val="auto"/>
              </w:rPr>
            </w:pPr>
          </w:p>
        </w:tc>
        <w:tc>
          <w:tcPr>
            <w:tcW w:w="14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54.0</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54.0</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Fixed rate debt</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427.2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447.6</w:t>
            </w:r>
          </w:p>
        </w:tc>
        <w:tc>
          <w:tcPr>
            <w:tcW w:w="300" w:type="dxa"/>
            <w:vAlign w:val="bottom"/>
          </w:tcPr>
          <w:p>
            <w:pPr>
              <w:spacing w:after="0"/>
              <w:rPr>
                <w:sz w:val="20"/>
                <w:szCs w:val="20"/>
                <w:color w:val="auto"/>
              </w:rPr>
            </w:pPr>
          </w:p>
        </w:tc>
        <w:tc>
          <w:tcPr>
            <w:tcW w:w="146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500" w:type="dxa"/>
            <w:vAlign w:val="bottom"/>
          </w:tcPr>
          <w:p>
            <w:pPr>
              <w:jc w:val="right"/>
              <w:ind w:right="75"/>
              <w:spacing w:after="0"/>
              <w:rPr>
                <w:sz w:val="20"/>
                <w:szCs w:val="20"/>
                <w:color w:val="auto"/>
              </w:rPr>
            </w:pPr>
            <w:r>
              <w:rPr>
                <w:rFonts w:ascii="Arial" w:cs="Arial" w:eastAsia="Arial" w:hAnsi="Arial"/>
                <w:sz w:val="18"/>
                <w:szCs w:val="18"/>
                <w:color w:val="auto"/>
              </w:rPr>
              <w:t>447.6</w:t>
            </w:r>
          </w:p>
        </w:tc>
        <w:tc>
          <w:tcPr>
            <w:tcW w:w="300" w:type="dxa"/>
            <w:vAlign w:val="bottom"/>
          </w:tcPr>
          <w:p>
            <w:pPr>
              <w:spacing w:after="0"/>
              <w:rPr>
                <w:sz w:val="20"/>
                <w:szCs w:val="20"/>
                <w:color w:val="auto"/>
              </w:rPr>
            </w:pPr>
          </w:p>
        </w:tc>
        <w:tc>
          <w:tcPr>
            <w:tcW w:w="14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Fair Value Measurements at December 31, 2015</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25.5</w:t>
            </w:r>
          </w:p>
        </w:tc>
        <w:tc>
          <w:tcPr>
            <w:tcW w:w="3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25.5</w:t>
            </w:r>
          </w:p>
        </w:tc>
        <w:tc>
          <w:tcPr>
            <w:tcW w:w="28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214.3</w:t>
            </w:r>
          </w:p>
        </w:tc>
        <w:tc>
          <w:tcPr>
            <w:tcW w:w="300" w:type="dxa"/>
            <w:vAlign w:val="bottom"/>
          </w:tcPr>
          <w:p>
            <w:pPr>
              <w:spacing w:after="0"/>
              <w:rPr>
                <w:sz w:val="18"/>
                <w:szCs w:val="18"/>
                <w:color w:val="auto"/>
              </w:rPr>
            </w:pPr>
          </w:p>
        </w:tc>
        <w:tc>
          <w:tcPr>
            <w:tcW w:w="146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500" w:type="dxa"/>
            <w:vAlign w:val="bottom"/>
          </w:tcPr>
          <w:p>
            <w:pPr>
              <w:jc w:val="right"/>
              <w:ind w:right="75"/>
              <w:spacing w:after="0"/>
              <w:rPr>
                <w:sz w:val="20"/>
                <w:szCs w:val="20"/>
                <w:color w:val="auto"/>
              </w:rPr>
            </w:pPr>
            <w:r>
              <w:rPr>
                <w:rFonts w:ascii="Arial" w:cs="Arial" w:eastAsia="Arial" w:hAnsi="Arial"/>
                <w:sz w:val="18"/>
                <w:szCs w:val="18"/>
                <w:color w:val="auto"/>
              </w:rPr>
              <w:t>214.3</w:t>
            </w:r>
          </w:p>
        </w:tc>
        <w:tc>
          <w:tcPr>
            <w:tcW w:w="300" w:type="dxa"/>
            <w:vAlign w:val="bottom"/>
          </w:tcPr>
          <w:p>
            <w:pPr>
              <w:spacing w:after="0"/>
              <w:rPr>
                <w:sz w:val="18"/>
                <w:szCs w:val="18"/>
                <w:color w:val="auto"/>
              </w:rPr>
            </w:pPr>
          </w:p>
        </w:tc>
        <w:tc>
          <w:tcPr>
            <w:tcW w:w="14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443.8</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443.8</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4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Company consists of two reportable segments, Ocean Transportation and Logistics, which are further described in Note 1. Reportable segments are measured based on operating profit, exclusive of interest expense, general corporate expenses, and income taxes. In arrangements where the customer purchases ocean transportation and logistics services, the revenues are allocated to each reportable segment based upon the contractual amounts for each type of service. The Company’s Terminal Joint Venture segment has been aggregated into the Company’s Ocean Transportation segment due to the operations of the Terminal Joint Venture being an integral part of the Company’s Ocean Transportation business and has similar economic characteristics.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Reportable segment results for the three months ended March 31, 2016 and 2015 were as follows (in millions):</w:t>
      </w:r>
    </w:p>
    <w:p>
      <w:pPr>
        <w:spacing w:after="0" w:line="217" w:lineRule="exact"/>
        <w:rPr>
          <w:sz w:val="20"/>
          <w:szCs w:val="20"/>
          <w:color w:val="auto"/>
        </w:rPr>
      </w:pPr>
    </w:p>
    <w:p>
      <w:pPr>
        <w:jc w:val="center"/>
        <w:ind w:left="2000"/>
        <w:spacing w:after="0"/>
        <w:rPr>
          <w:sz w:val="20"/>
          <w:szCs w:val="20"/>
          <w:color w:val="auto"/>
        </w:rPr>
      </w:pPr>
      <w:r>
        <w:rPr>
          <w:rFonts w:ascii="Arial" w:cs="Arial" w:eastAsia="Arial" w:hAnsi="Arial"/>
          <w:sz w:val="14"/>
          <w:szCs w:val="14"/>
          <w:b w:val="1"/>
          <w:bCs w:val="1"/>
          <w:color w:val="auto"/>
        </w:rPr>
        <w:t>Three Months Ended</w:t>
      </w:r>
    </w:p>
    <w:p>
      <w:pPr>
        <w:jc w:val="center"/>
        <w:ind w:left="20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80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r>
      <w:tr>
        <w:trPr>
          <w:trHeight w:val="196"/>
        </w:trPr>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w:t>
            </w:r>
          </w:p>
        </w:tc>
        <w:tc>
          <w:tcPr>
            <w:tcW w:w="1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3800" w:type="dxa"/>
            <w:vAlign w:val="bottom"/>
          </w:tcPr>
          <w:p>
            <w:pPr>
              <w:ind w:left="380"/>
              <w:spacing w:after="0"/>
              <w:rPr>
                <w:sz w:val="20"/>
                <w:szCs w:val="20"/>
                <w:color w:val="auto"/>
              </w:rPr>
            </w:pPr>
            <w:r>
              <w:rPr>
                <w:rFonts w:ascii="Arial" w:cs="Arial" w:eastAsia="Arial" w:hAnsi="Arial"/>
                <w:sz w:val="18"/>
                <w:szCs w:val="18"/>
                <w:color w:val="auto"/>
              </w:rPr>
              <w:t>Ocean Transportation</w:t>
            </w:r>
          </w:p>
        </w:tc>
        <w:tc>
          <w:tcPr>
            <w:tcW w:w="230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366.1</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305.5</w:t>
            </w:r>
          </w:p>
        </w:tc>
      </w:tr>
      <w:tr>
        <w:trPr>
          <w:trHeight w:val="216"/>
        </w:trPr>
        <w:tc>
          <w:tcPr>
            <w:tcW w:w="3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Logistics</w:t>
            </w:r>
          </w:p>
        </w:tc>
        <w:tc>
          <w:tcPr>
            <w:tcW w:w="1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w:t>
            </w:r>
          </w:p>
        </w:tc>
      </w:tr>
      <w:tr>
        <w:trPr>
          <w:trHeight w:val="250"/>
        </w:trPr>
        <w:tc>
          <w:tcPr>
            <w:tcW w:w="38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Operating Revenue</w:t>
            </w:r>
          </w:p>
        </w:tc>
        <w:tc>
          <w:tcPr>
            <w:tcW w:w="142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398.2</w:t>
            </w:r>
          </w:p>
        </w:tc>
        <w:tc>
          <w:tcPr>
            <w:tcW w:w="120" w:type="dxa"/>
            <w:vAlign w:val="bottom"/>
            <w:tcBorders>
              <w:bottom w:val="single" w:sz="8" w:color="CCEEFF"/>
            </w:tcBorders>
          </w:tcPr>
          <w:p>
            <w:pPr>
              <w:spacing w:after="0"/>
              <w:rPr>
                <w:sz w:val="21"/>
                <w:szCs w:val="21"/>
                <w:color w:val="auto"/>
              </w:rPr>
            </w:pPr>
          </w:p>
        </w:tc>
      </w:tr>
      <w:tr>
        <w:trPr>
          <w:trHeight w:val="170"/>
        </w:trPr>
        <w:tc>
          <w:tcPr>
            <w:tcW w:w="38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Income:</w:t>
            </w:r>
          </w:p>
        </w:tc>
        <w:tc>
          <w:tcPr>
            <w:tcW w:w="1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16"/>
        </w:trPr>
        <w:tc>
          <w:tcPr>
            <w:tcW w:w="3800" w:type="dxa"/>
            <w:vAlign w:val="bottom"/>
          </w:tcPr>
          <w:p>
            <w:pPr>
              <w:ind w:left="380"/>
              <w:spacing w:after="0"/>
              <w:rPr>
                <w:sz w:val="20"/>
                <w:szCs w:val="20"/>
                <w:color w:val="auto"/>
              </w:rPr>
            </w:pPr>
            <w:r>
              <w:rPr>
                <w:rFonts w:ascii="Arial" w:cs="Arial" w:eastAsia="Arial" w:hAnsi="Arial"/>
                <w:sz w:val="18"/>
                <w:szCs w:val="18"/>
                <w:color w:val="auto"/>
              </w:rPr>
              <w:t>Ocean Transportation</w:t>
            </w:r>
          </w:p>
        </w:tc>
        <w:tc>
          <w:tcPr>
            <w:tcW w:w="230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r>
      <w:tr>
        <w:trPr>
          <w:trHeight w:val="216"/>
        </w:trPr>
        <w:tc>
          <w:tcPr>
            <w:tcW w:w="3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Logistics</w:t>
            </w:r>
          </w:p>
        </w:tc>
        <w:tc>
          <w:tcPr>
            <w:tcW w:w="1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r>
      <w:tr>
        <w:trPr>
          <w:trHeight w:val="20"/>
        </w:trPr>
        <w:tc>
          <w:tcPr>
            <w:tcW w:w="3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60"/>
          </w:cols>
          <w:pgMar w:left="240" w:top="121" w:right="19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jc w:val="center"/>
              <w:ind w:right="910"/>
              <w:spacing w:after="0"/>
              <w:rPr>
                <w:sz w:val="20"/>
                <w:szCs w:val="20"/>
                <w:color w:val="auto"/>
              </w:rPr>
            </w:pPr>
            <w:r>
              <w:rPr>
                <w:rFonts w:ascii="Arial" w:cs="Arial" w:eastAsia="Arial" w:hAnsi="Arial"/>
                <w:sz w:val="18"/>
                <w:szCs w:val="18"/>
                <w:color w:val="auto"/>
                <w:w w:val="91"/>
              </w:rPr>
              <w:t>Total Operating Income</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44.9</w:t>
            </w:r>
          </w:p>
        </w:tc>
        <w:tc>
          <w:tcPr>
            <w:tcW w:w="3140" w:type="dxa"/>
            <w:vAlign w:val="bottom"/>
          </w:tcPr>
          <w:p>
            <w:pPr>
              <w:spacing w:after="0"/>
              <w:rPr>
                <w:sz w:val="20"/>
                <w:szCs w:val="20"/>
                <w:color w:val="auto"/>
              </w:rPr>
            </w:pPr>
          </w:p>
        </w:tc>
      </w:tr>
      <w:tr>
        <w:trPr>
          <w:trHeight w:val="216"/>
        </w:trPr>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3140" w:type="dxa"/>
            <w:vAlign w:val="bottom"/>
          </w:tcPr>
          <w:p>
            <w:pPr>
              <w:spacing w:after="0"/>
              <w:rPr>
                <w:sz w:val="18"/>
                <w:szCs w:val="18"/>
                <w:color w:val="auto"/>
              </w:rPr>
            </w:pPr>
          </w:p>
        </w:tc>
      </w:tr>
      <w:tr>
        <w:trPr>
          <w:trHeight w:val="210"/>
        </w:trPr>
        <w:tc>
          <w:tcPr>
            <w:tcW w:w="3840" w:type="dxa"/>
            <w:vAlign w:val="bottom"/>
          </w:tcPr>
          <w:p>
            <w:pPr>
              <w:jc w:val="center"/>
              <w:ind w:right="910"/>
              <w:spacing w:after="0"/>
              <w:rPr>
                <w:sz w:val="20"/>
                <w:szCs w:val="20"/>
                <w:color w:val="auto"/>
              </w:rPr>
            </w:pPr>
            <w:r>
              <w:rPr>
                <w:rFonts w:ascii="Arial" w:cs="Arial" w:eastAsia="Arial" w:hAnsi="Arial"/>
                <w:sz w:val="18"/>
                <w:szCs w:val="18"/>
                <w:color w:val="auto"/>
                <w:w w:val="89"/>
              </w:rPr>
              <w:t>Income before Income Taxes</w:t>
            </w:r>
          </w:p>
        </w:tc>
        <w:tc>
          <w:tcPr>
            <w:tcW w:w="1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3140" w:type="dxa"/>
            <w:vAlign w:val="bottom"/>
          </w:tcPr>
          <w:p>
            <w:pPr>
              <w:spacing w:after="0"/>
              <w:rPr>
                <w:sz w:val="18"/>
                <w:szCs w:val="18"/>
                <w:color w:val="auto"/>
              </w:rPr>
            </w:pPr>
          </w:p>
        </w:tc>
      </w:tr>
      <w:tr>
        <w:trPr>
          <w:trHeight w:val="210"/>
        </w:trPr>
        <w:tc>
          <w:tcPr>
            <w:tcW w:w="384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413"/>
        </w:trPr>
        <w:tc>
          <w:tcPr>
            <w:tcW w:w="3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73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32"/>
        </w:trPr>
        <w:tc>
          <w:tcPr>
            <w:tcW w:w="38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the Condensed Consolidated Financial Statements and related notes, and other financial information appearing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Securities and Exchange Commission (“SEC”) filings, such as the Forms 10-K, 10-Q and 8-K, the Annual Report to Shareholders, press releases made by the Company, the Company’s Internet Web sites (including Web sites of its subsidiaries), and oral statements made by the officers of the Company.</w:t>
      </w:r>
    </w:p>
    <w:p>
      <w:pPr>
        <w:spacing w:after="0" w:line="17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This report, and other statements that the Company may make, may contain forward-looking statements with respect to the Company’s future financial or business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or similar expressions, or future or conditional verbs such as “will,” “would,” “should,” “could,” “may” or similar expressions.</w:t>
      </w:r>
    </w:p>
    <w:p>
      <w:pPr>
        <w:spacing w:after="0" w:line="18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 cautions that forward-looking statements are subject to numerous assumptions, risks and uncertainties, which change over time, including, but not limited to, the factors that are described in Part I, Item 1A under the caption of “Risk Factors” of Matson’s Annual Report on Form 10-K for the year ended December 31, 2015, filed with the SEC on February 26, 2016. Forward-looking statements speak only as of the date they are made, and the Company assumes no duty to and does not undertake to update forward-looking statements. Actual results could differ materially from those anticipated in forward-looking statements and future results could differ materially from historical performance.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 period, the primary factors that accounted for those changes, and how certain accounting principles, policies and estimates affect the Company’s financial statements. MD&amp;A is provided as a supplement to the Condensed Consolidated Financial Statements and notes herein, and should be read in conjunction with the Company’s Annual Report filed on Form 10-K for the year ended December 31, 2015, and the Company’s reports filed on Forms 10-Q and 8-K, and other publicly available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Ocean Transportation: </w:t>
      </w:r>
      <w:r>
        <w:rPr>
          <w:rFonts w:ascii="Arial" w:cs="Arial" w:eastAsia="Arial" w:hAnsi="Arial"/>
          <w:sz w:val="18"/>
          <w:szCs w:val="18"/>
          <w:color w:val="auto"/>
        </w:rPr>
        <w:t>In the first quarter 2016, the Company’s Hawaii service achieved 8.4 percent container volume growth compared to the first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2015, the result of competitive gains and modest market growth. The Company believes that the Hawaii economy is healthy and expects construction activity to be a primary driver of market growth. For the full year 2016, the Company continues to expect its Hawaii container volume to be moderately higher than 2015 with substantially all of the relative increase occurring in the first half of 2016.</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China, the Company’s container volume in the first quarter 2016 was 18.1 percent lower year-over year due to the absence of the exceptionally high demand experienced in the first quarter 2015 during the U.S. West Coast labor disruptions and continued market softness amid a slower than normal post-lunar new year recovery. The Company continued to realize a sizeable rate premium for its expedited service in the first quarter 2016, but as expected, average freight rates were significantly lower than the first quarter 2015. For the remainder of 2016, the Company expects increasingly challenging market conditions in the transpacific trade with underlying market rates at historic lows amid chronic over-capacity. As a result, the Company expects its China rates to trend lower than the declines factored into its previous outlook.</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Guam, a new competitor launched its bi-weekly U.S. flagged containership service at the beginning of the first quarter 2016, resulting in modest competitive volume losses for the Company compared to the first quarter 2015. For the full year 2016, the Company expects to experience continued modest competitive volume losses to this new service.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Alaska, the Company’s container volume for the first quarter 2016 approximated the level carried by Horizon Lines in the first quarter 2015, primarily due to muted economic activity. For the full year 2016, the Company expects Alaska volume to be modestly lower than the total 67,300 containers carried by Horizon and Matson in 2015.</w:t>
      </w:r>
    </w:p>
    <w:p>
      <w:pPr>
        <w:spacing w:after="0" w:line="18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For the full year 2016, the Company’s terminal joint venture, SSAT, is expected to contribute modestly lower profits than the $16.5 million contributed in 2015, primarily due to the absence of factors related to the clearing of international cargo backlog in the first half of 2015 that resulted from the U.S. West Coast labor disruptions.</w:t>
      </w:r>
    </w:p>
    <w:p>
      <w:pPr>
        <w:sectPr>
          <w:pgSz w:w="11900" w:h="16838" w:orient="portrait"/>
          <w:cols w:equalWidth="0" w:num="1">
            <w:col w:w="11460"/>
          </w:cols>
          <w:pgMar w:left="240" w:top="125" w:right="199" w:bottom="137" w:gutter="0" w:footer="0" w:header="0"/>
        </w:sectPr>
      </w:pPr>
    </w:p>
    <w:bookmarkStart w:id="8" w:name="page9"/>
    <w:bookmarkEnd w:id="8"/>
    <w:p>
      <w:pPr>
        <w:jc w:val="both"/>
        <w:ind w:right="40"/>
        <w:spacing w:after="0" w:line="302" w:lineRule="auto"/>
        <w:rPr>
          <w:sz w:val="20"/>
          <w:szCs w:val="20"/>
          <w:color w:val="auto"/>
        </w:rPr>
      </w:pPr>
      <w:r>
        <w:rPr>
          <w:rFonts w:ascii="Arial" w:cs="Arial" w:eastAsia="Arial" w:hAnsi="Arial"/>
          <w:sz w:val="16"/>
          <w:szCs w:val="16"/>
          <w:color w:val="auto"/>
        </w:rPr>
        <w:t>As a result, the Company expects full year 2016 Ocean Transportation operating income to be approximately 15 to 20 percent lower than the $187.8 million achieved in 2015. In the second quarter 2016, the Company expects operating income to approximate the second quarter 2015 level of $31.4 million, which was negatively impacted by $13.5 million of additional selling, general and administrative expenses related to the Company’s acquisition of Horizon Lines in excess of the Company’s incremental run-rate target and by $11.4 million of costs related to the Company’s settlement with the State of Hawaii.</w:t>
      </w:r>
    </w:p>
    <w:p>
      <w:pPr>
        <w:spacing w:after="0" w:line="1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The Company expects 2016 operating income to modestly exceed the 2015 level of $8.5 million, driven by volume growth and continued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Company expects its interest expense in 2016 to be approximately $19.0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The Company expects its effective tax rate for the full year 2016 to be approximately 39.0 percent.</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i w:val="1"/>
          <w:iCs w:val="1"/>
          <w:color w:val="auto"/>
        </w:rPr>
        <w:t xml:space="preserve">Capital Spending and Vessel Dry-docking: </w:t>
      </w:r>
      <w:r>
        <w:rPr>
          <w:rFonts w:ascii="Arial" w:cs="Arial" w:eastAsia="Arial" w:hAnsi="Arial"/>
          <w:sz w:val="17"/>
          <w:szCs w:val="17"/>
          <w:color w:val="auto"/>
        </w:rPr>
        <w:t>In the first quarter 2016, the Company made maintenance capital expenditures of $30.6 million and dry-docking</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of $13.2 million. For the full year 2016, the Company expects to make maintenance capital expenditures of approximately $65 million, scheduled new vessel construction progress payments of $67.2 million, and dry-docking payments of approximately $60 million. For the full year 2016, the Company expects depreciation and amortization to total approximately $133 million compared to $105.8 million in 2015, inclusive of dry-docking amortization of approximately $35.0 million expected in 2016 and $23.1 million in 2015.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Three months ended March 31, 2016 compared with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280" w:type="dxa"/>
            <w:vAlign w:val="bottom"/>
            <w:vMerge w:val="restart"/>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ind w:left="760"/>
              <w:spacing w:after="0"/>
              <w:rPr>
                <w:sz w:val="20"/>
                <w:szCs w:val="20"/>
                <w:color w:val="auto"/>
              </w:rPr>
            </w:pPr>
            <w:r>
              <w:rPr>
                <w:rFonts w:ascii="Arial" w:cs="Arial" w:eastAsia="Arial" w:hAnsi="Arial"/>
                <w:sz w:val="14"/>
                <w:szCs w:val="14"/>
                <w:b w:val="1"/>
                <w:bCs w:val="1"/>
                <w:color w:val="auto"/>
                <w:w w:val="98"/>
              </w:rPr>
              <w:t>Three Months Ended March 31,</w:t>
            </w: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(419.6)</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(353.3)</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48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48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48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gridSpan w:val="2"/>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0.42</w:t>
            </w:r>
          </w:p>
        </w:tc>
        <w:tc>
          <w:tcPr>
            <w:tcW w:w="28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0.58</w:t>
            </w:r>
          </w:p>
        </w:tc>
        <w:tc>
          <w:tcPr>
            <w:tcW w:w="2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0.57</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Consolidated operating revenue for the first quarter 2016 increased $56.0 million, or 14.1 percent, compared to the first quarter 2015. This increase was due to $60.6 million higher revenue from Ocean Transportation, offset by $4.6 million lower revenue from Logistics.</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Operating costs and expenses for the first quarter 2016 increased $66.3 million, or 18.8 percent, compared to the first quarter 2015. The increase was due to a $71.5 million increase, offset by a $5.2 million decrease in operating costs and expenses from Ocean Transportation and Logistics segments, respectively. Changes in operating revenue, and operating costs and expense are further described below in the Analysis of Operating Revenue and Income by Segment.</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Interest expense increased $0.6 million to $4.9 million for the first quarter of 2016 compared to $4.3 million in 2015, due to increased long-term borrowings completed early the fourth quarter 2015 and increased revolver borrowings in the first quarter of 2016.</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Income tax expense was $11.6 million, or 39.1 percent of income before income taxes, for the first quarter 2016, compared to $15.6 million, or 38.4 percent of income before income taxes, for the first quarter 2015. The change in the income tax rate was primarily due to the benefit of tax deductible transaction costs related to the Horizon Acquisition recorded in the first quarter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Three months ended March 31, 2016 compared with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ind w:left="740"/>
              <w:spacing w:after="0"/>
              <w:rPr>
                <w:sz w:val="20"/>
                <w:szCs w:val="20"/>
                <w:color w:val="auto"/>
              </w:rPr>
            </w:pPr>
            <w:r>
              <w:rPr>
                <w:rFonts w:ascii="Arial" w:cs="Arial" w:eastAsia="Arial" w:hAnsi="Arial"/>
                <w:sz w:val="14"/>
                <w:szCs w:val="14"/>
                <w:b w:val="1"/>
                <w:bCs w:val="1"/>
                <w:color w:val="auto"/>
                <w:w w:val="99"/>
              </w:rPr>
              <w:t>Three Months Ended March 31,</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Volume (Units) (1)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Hawaii containers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36,200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33,400</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Hawaii automobiles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17,300</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15,900</w:t>
            </w: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Alaska containers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15,500</w:t>
            </w: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China containers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14,400</w:t>
            </w: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Guam containers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5,500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5,700</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Micronesia/South Pacific containers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3,300</w:t>
            </w: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2,600</w:t>
            </w:r>
          </w:p>
        </w:tc>
        <w:tc>
          <w:tcPr>
            <w:tcW w:w="2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40" w:right="60" w:hanging="332"/>
        <w:spacing w:after="0" w:line="342" w:lineRule="auto"/>
        <w:tabs>
          <w:tab w:leader="none" w:pos="347" w:val="left"/>
        </w:tabs>
        <w:numPr>
          <w:ilvl w:val="0"/>
          <w:numId w:val="12"/>
        </w:numPr>
        <w:rPr>
          <w:rFonts w:ascii="Arial" w:cs="Arial" w:eastAsia="Arial" w:hAnsi="Arial"/>
          <w:sz w:val="16"/>
          <w:szCs w:val="16"/>
          <w:color w:val="auto"/>
        </w:rPr>
      </w:pPr>
      <w:r>
        <w:rPr>
          <w:rFonts w:ascii="Arial" w:cs="Arial" w:eastAsia="Arial" w:hAnsi="Arial"/>
          <w:sz w:val="16"/>
          <w:szCs w:val="16"/>
          <w:color w:val="auto"/>
        </w:rPr>
        <w:t>Approximate container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sectPr>
          <w:pgSz w:w="11900" w:h="16838" w:orient="portrait"/>
          <w:cols w:equalWidth="0" w:num="1">
            <w:col w:w="11400"/>
          </w:cols>
          <w:pgMar w:left="240" w:top="125" w:right="259" w:bottom="106" w:gutter="0" w:footer="0" w:header="0"/>
        </w:sectPr>
      </w:pPr>
    </w:p>
    <w:bookmarkStart w:id="9" w:name="page10"/>
    <w:bookmarkEnd w:id="9"/>
    <w:p>
      <w:pPr>
        <w:jc w:val="both"/>
        <w:ind w:right="100"/>
        <w:spacing w:after="0" w:line="264" w:lineRule="auto"/>
        <w:rPr>
          <w:sz w:val="20"/>
          <w:szCs w:val="20"/>
          <w:color w:val="auto"/>
        </w:rPr>
      </w:pPr>
      <w:r>
        <w:rPr>
          <w:rFonts w:ascii="Arial" w:cs="Arial" w:eastAsia="Arial" w:hAnsi="Arial"/>
          <w:sz w:val="18"/>
          <w:szCs w:val="18"/>
          <w:color w:val="auto"/>
        </w:rPr>
        <w:t>Ocean Transportation revenue increased $60.6 million, or 19.8 percent, during the first quarter 2016 compared with the first quarter 2015. This increase was primarily due to the inclusion of revenue from the Company’s acquired Alaska service, higher container volume and yield in Hawaii, partially offset by lower container volume and freight rates in the Company’s China service and lower fuel surcharge revenue.</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Alaska volume included in the Company’s first quarter results reflects the third full quarter of operations post-closing of the acquisition on May 29, 2015. On a year over year basis, Hawaii container volume increased by 8.4 percent due to competitive gains and modest market growth; China volume was 18.1 percent lower due to the absence of the extraordinarily high demand experienced in the first quarter 2015 during the U.S. West Coast labor disruptions and continued market softness; and Guam volume decreased by 3.5 percent due primarily to competitive losses associated with the launch of a competitor’s bi-weekly U.S. flagged containership service in January 2016.</w:t>
      </w:r>
    </w:p>
    <w:p>
      <w:pPr>
        <w:spacing w:after="0" w:line="18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Ocean Transportation operating income decreased $10.9 million, or 24.8 percent, during the first quarter 2016 compared with the first quarter 2015. The decrease was primarily due to lower freight rates and volume in the China service, increased depreciation and amortization expense, higher vessel operating expenses related to the deployment of an additional vessel in the Hawaii service, additional selling, general and administrative expenses related to the Alaska acquisition, and higher terminal handling expenses. Partially offsetting these unfavorable items were higher container volume and yield improvements in Hawaii, and the inclusion of operating results from the Company’s acquired Alaska service.</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SSAT terminal joint venture investment contributed $2.6 million during the first quarter 2016, compared to a $3.4 million contribution in the first quarter 2015. The decrease was primarily attributable to modestly lower lift volume.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Three months ended March 31, 2016 compared with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ind w:left="740"/>
              <w:spacing w:after="0"/>
              <w:rPr>
                <w:sz w:val="20"/>
                <w:szCs w:val="20"/>
                <w:color w:val="auto"/>
              </w:rPr>
            </w:pPr>
            <w:r>
              <w:rPr>
                <w:rFonts w:ascii="Arial" w:cs="Arial" w:eastAsia="Arial" w:hAnsi="Arial"/>
                <w:sz w:val="14"/>
                <w:szCs w:val="14"/>
                <w:b w:val="1"/>
                <w:bCs w:val="1"/>
                <w:color w:val="auto"/>
                <w:w w:val="98"/>
              </w:rPr>
              <w:t>Three Months Ended March 31,</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Intermodal revenue</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49.4</w:t>
            </w: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Highway revenue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38.7</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43.1</w:t>
            </w: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3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Logistics Revenue</w:t>
            </w: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88.1</w:t>
            </w:r>
          </w:p>
        </w:tc>
        <w:tc>
          <w:tcPr>
            <w:tcW w:w="280" w:type="dxa"/>
            <w:vAlign w:val="bottom"/>
            <w:tcBorders>
              <w:right w:val="single" w:sz="8" w:color="CCEEFF"/>
            </w:tcBorders>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2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86.5</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91.7</w:t>
            </w: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3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79"/>
              </w:rPr>
              <w:t>1.6</w:t>
            </w:r>
          </w:p>
        </w:tc>
        <w:tc>
          <w:tcPr>
            <w:tcW w:w="280" w:type="dxa"/>
            <w:vAlign w:val="bottom"/>
            <w:tcBorders>
              <w:right w:val="single" w:sz="8" w:color="CCEEFF"/>
            </w:tcBorders>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ind w:left="64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Logistics revenue decreased $4.6 million, or 5.0 percent during the first quarter 2016 compared with the first quarter 2015. This decrease was primarily the result of lower fuel surcharge revenue, partially offset by higher intermodal volume.</w:t>
      </w:r>
    </w:p>
    <w:p>
      <w:pPr>
        <w:spacing w:after="0" w:line="17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Logistics operating income increased $0.6 million, during the first quarter 2016 compared with the first quarter 2015, primarily due to higher intermodal volume, warehouse operating improvements and highway yield improvements, partially offset by higher G&amp;A and lower intermodal yield.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Sources of Liquidity: </w:t>
      </w:r>
      <w:r>
        <w:rPr>
          <w:rFonts w:ascii="Arial" w:cs="Arial" w:eastAsia="Arial" w:hAnsi="Arial"/>
          <w:sz w:val="18"/>
          <w:szCs w:val="18"/>
          <w:color w:val="auto"/>
        </w:rPr>
        <w:t>Sources of liquidity available to the Company at March 31, 2016, compared to December 31, 2015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Sources of Liquidity (in millions)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9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Accounts receivable, net (1)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Capital Construction Fund - cash on deposit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80" w:hanging="332"/>
        <w:spacing w:after="0" w:line="277" w:lineRule="auto"/>
        <w:tabs>
          <w:tab w:leader="none" w:pos="3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March 31, 2016 and December 31, 2015, $164.4 million and $176.6 million, respectively, of eligible accounts receivable were assigned to the CCF (see Note 2 of the interim condensed consolidated financial statements).</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As of March 31, 2016, the Company had $335.0 million of availability under the revolving credit facility, with a maturity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July 30, 2020. The Company’s revolving credit facility is described in Note 8 to the Consolidated Financial Statements included in Item 8 of the Company’s Annual Report filed on Form 10-K for the year ended December 31, 2015.</w:t>
      </w:r>
    </w:p>
    <w:p>
      <w:pPr>
        <w:spacing w:after="0" w:line="17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i w:val="1"/>
          <w:iCs w:val="1"/>
          <w:color w:val="auto"/>
        </w:rPr>
        <w:t>Changes in Cash and Cash Equivalents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changes in the Company’s cash and cash equivalents for the quarter ended March 31, 2016,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quarter ended March 31, 2015,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Cash Flow Information (in millions)</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Three Months Ended March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6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3"/>
              </w:rPr>
              <w:t>2016 to 2015</w:t>
            </w:r>
          </w:p>
        </w:tc>
        <w:tc>
          <w:tcPr>
            <w:tcW w:w="120" w:type="dxa"/>
            <w:vAlign w:val="bottom"/>
            <w:tcBorders>
              <w:bottom w:val="single" w:sz="8" w:color="CCEEFF"/>
            </w:tcBorders>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(1)</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Net cash used in investing activities (2)</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(42.6)</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 (3)</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Cash and cash equivalents, end of the period</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6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Change in net cash provided by (used in) operating activities:</w:t>
      </w:r>
    </w:p>
    <w:p>
      <w:pPr>
        <w:sectPr>
          <w:pgSz w:w="11900" w:h="16838" w:orient="portrait"/>
          <w:cols w:equalWidth="0" w:num="1">
            <w:col w:w="11460"/>
          </w:cols>
          <w:pgMar w:left="240" w:top="125" w:right="199" w:bottom="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Net cash provided by operating activities decreased by $26.5 million from in the first quarter 2016 compared to first quarter 2015 due to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58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 to 2015</w:t>
            </w:r>
          </w:p>
        </w:tc>
        <w:tc>
          <w:tcPr>
            <w:tcW w:w="12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Decrease in net income from operations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Change in adjustments for non-cash related charges, net</w:t>
            </w: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accounts receivable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Increase in deferred dry-docking payments</w:t>
            </w:r>
          </w:p>
        </w:tc>
        <w:tc>
          <w:tcPr>
            <w:tcW w:w="18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prepaid expenses and other assets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Change in accounts payable and accrued liabilities</w:t>
            </w:r>
          </w:p>
        </w:tc>
        <w:tc>
          <w:tcPr>
            <w:tcW w:w="18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other liabilities</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Changes in accounts receivable, and prepaid expenses and other assets in first quarter 2016 compared to first quarter 2015 are due to the timing of collections and payments. Increase in deferred dry-docking payments was due to an increased number of vessels in dry docking during the first quarter 2016 compared to first quarter 2015. Changes in accounts payable and accrued liabilities, and other liabilities are due to increased payments of employee incentives and other benefits, and payments related to the Horizon Acquisition in first quarter 2016 compared to first quarter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Change in net cash provided by (used in)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increased by $39.6 million from in the first quarter 2016 compared to first quarter 2015 due to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58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2016 to 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Increase in capital expenditures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Increase in cash deposits into CCF</w:t>
            </w: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 cash withdrawals from CCF</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Increase in proceeds from disposal of property and equipment</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68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Capital expenditures increased from $3.3 million in the first quarter 2015 to $30.6 million in the first quarter 2016. The increase was due primarily to new equipment additions and the installation of scrubbers on vessels acquired as part of the Horizon Acquisition. Deposits into the CCF increased during the first quarter 2016 due to expected future qualified withdrawals related to new vessel progress payments.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Change in net cash provided by (used in)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financing activities increased by $28.3 million from in the first quarter 2016 compared to first quarter 2015 due to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86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2016 to 2015</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 in borrowings under revolving credit facility, net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Share repurchase payments</w:t>
            </w:r>
          </w:p>
        </w:tc>
        <w:tc>
          <w:tcPr>
            <w:tcW w:w="18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 other payments, net</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During the first quarter 2016, the Company increased its net borrowings under its revolving credit facility primarily to fund increased capital expenditure, share repurchases, and cash deposits into the CCF. During first quarter 2016, the Company paid $20.8 million in share repurchases. There were no share repurchases during the first quarter 2015.</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Company had a working capital deficiency of $2.3 million at March 31, 2016, compared to $19.7 million deficiency at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Except for additional borrowings under the Company’s revolving credit facility of $54.0 million at March 31, 2016 (see Note 4 of the interim condensed consolidated financial statements), there were no material changes during this quarter to the Company’s contractual obligations, commitments, contingencies and off-balance sheet arrangements that are described in Item 7 of the Company’s Annual Report filed on Form 10-K for the year ended December 31, 2015, which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changes during this quarter to the Company’s critical accounting estimates as discussed in Item 7 of the Company’s Annual Report filed on Form 10-K for the year ended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Company’s first quarter 2016 cash dividend of $0.18 per-share was paid on March 3, 2016 to shareholders of record as of February 11, 2016. On April 28, 2016, the Company’s Board of Directors declared a cash dividend of $0.18 per-share payable on June 2, 2016 to shareholders of record as of the close of business on May 12,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ectPr>
          <w:pgSz w:w="11900" w:h="16838" w:orient="portrait"/>
          <w:cols w:equalWidth="0" w:num="1">
            <w:col w:w="11420"/>
          </w:cols>
          <w:pgMar w:left="240" w:top="125" w:right="239" w:bottom="23" w:gutter="0" w:footer="0" w:header="0"/>
        </w:sectPr>
      </w:pPr>
    </w:p>
    <w:bookmarkStart w:id="11" w:name="page12"/>
    <w:bookmarkEnd w:id="11"/>
    <w:p>
      <w:pPr>
        <w:ind w:right="640"/>
        <w:spacing w:after="0" w:line="342" w:lineRule="auto"/>
        <w:rPr>
          <w:sz w:val="20"/>
          <w:szCs w:val="20"/>
          <w:color w:val="auto"/>
        </w:rPr>
      </w:pPr>
      <w:r>
        <w:rPr>
          <w:rFonts w:ascii="Arial" w:cs="Arial" w:eastAsia="Arial" w:hAnsi="Arial"/>
          <w:sz w:val="16"/>
          <w:szCs w:val="16"/>
          <w:color w:val="auto"/>
        </w:rPr>
        <w:t>There have been no material changes to the Company’s market risk position from the information provided under Part II, Item 7A, “Quantitative and Qualitative Disclosures About Market Risk,” of our 2015 Annual Report filed on Form 10-K for the year ended December 31,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March 31, 2016, the Company’s disclosure controls and procedures are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and 15d-15(f) under the Exchange Act) that occurred during the three months ended March 31, 2016, that have materially affected, or are reasonably likely to materially affect, the Company’s internal control over financial reporting.</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The Company’s Ocean Transportation business has certain risks that could result in expenditures for environmental remediation. The Company believes that based on all information available to it, the Company is currently in compliance, in all material respects, with applicable environmental laws and regulations.</w:t>
      </w:r>
    </w:p>
    <w:p>
      <w:pPr>
        <w:spacing w:after="0" w:line="12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were no material changes to the Company’s risk factors that are described in Part I, Item 1A under the caption of “Risk Factors” of Matson’s Annual Report on Form 10-K for the year ended December 31, 2015, filed with the SEC on February 26, 2016.</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Purchases of Equity Securities by the Issuer and Affiliated Purchases.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Matson shares that were repurchased under the Company’s share repurchase program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 Number</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28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Average Price</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280" w:type="dxa"/>
            <w:vAlign w:val="bottom"/>
          </w:tcPr>
          <w:p>
            <w:pPr>
              <w:spacing w:after="0"/>
              <w:rPr>
                <w:sz w:val="12"/>
                <w:szCs w:val="12"/>
                <w:color w:val="auto"/>
              </w:rPr>
            </w:pPr>
          </w:p>
        </w:tc>
        <w:tc>
          <w:tcPr>
            <w:tcW w:w="2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28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1"/>
        </w:trPr>
        <w:tc>
          <w:tcPr>
            <w:tcW w:w="2700" w:type="dxa"/>
            <w:vAlign w:val="bottom"/>
            <w:gridSpan w:val="2"/>
            <w:vMerge w:val="continue"/>
          </w:tcPr>
          <w:p>
            <w:pPr>
              <w:spacing w:after="0"/>
              <w:rPr>
                <w:sz w:val="14"/>
                <w:szCs w:val="14"/>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4"/>
                <w:szCs w:val="14"/>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 per Share</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 (1)</w:t>
            </w:r>
          </w:p>
        </w:tc>
        <w:tc>
          <w:tcPr>
            <w:tcW w:w="28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 31, 2016</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4"/>
              </w:rPr>
              <w:t>38.21</w:t>
            </w:r>
          </w:p>
        </w:tc>
        <w:tc>
          <w:tcPr>
            <w:tcW w:w="3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2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February 1 — 29, 2016</w:t>
            </w:r>
          </w:p>
        </w:tc>
        <w:tc>
          <w:tcPr>
            <w:tcW w:w="1380" w:type="dxa"/>
            <w:vAlign w:val="bottom"/>
          </w:tcPr>
          <w:p>
            <w:pPr>
              <w:jc w:val="right"/>
              <w:spacing w:after="0"/>
              <w:rPr>
                <w:sz w:val="20"/>
                <w:szCs w:val="20"/>
                <w:color w:val="auto"/>
              </w:rPr>
            </w:pPr>
            <w:r>
              <w:rPr>
                <w:rFonts w:ascii="Arial" w:cs="Arial" w:eastAsia="Arial" w:hAnsi="Arial"/>
                <w:sz w:val="18"/>
                <w:szCs w:val="18"/>
                <w:color w:val="auto"/>
              </w:rPr>
              <w:t>168,500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800"/>
              <w:spacing w:after="0"/>
              <w:rPr>
                <w:sz w:val="20"/>
                <w:szCs w:val="20"/>
                <w:color w:val="auto"/>
              </w:rPr>
            </w:pPr>
            <w:r>
              <w:rPr>
                <w:rFonts w:ascii="Arial" w:cs="Arial" w:eastAsia="Arial" w:hAnsi="Arial"/>
                <w:sz w:val="18"/>
                <w:szCs w:val="18"/>
                <w:color w:val="auto"/>
              </w:rPr>
              <w:t>39.77</w:t>
            </w:r>
          </w:p>
        </w:tc>
        <w:tc>
          <w:tcPr>
            <w:tcW w:w="1920" w:type="dxa"/>
            <w:vAlign w:val="bottom"/>
          </w:tcPr>
          <w:p>
            <w:pPr>
              <w:jc w:val="right"/>
              <w:spacing w:after="0"/>
              <w:rPr>
                <w:sz w:val="20"/>
                <w:szCs w:val="20"/>
                <w:color w:val="auto"/>
              </w:rPr>
            </w:pPr>
            <w:r>
              <w:rPr>
                <w:rFonts w:ascii="Arial" w:cs="Arial" w:eastAsia="Arial" w:hAnsi="Arial"/>
                <w:sz w:val="18"/>
                <w:szCs w:val="18"/>
                <w:color w:val="auto"/>
              </w:rPr>
              <w:t>168,500</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2,499,500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 31, 2016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38.55</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148,100</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2,351,400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gridSpan w:val="2"/>
          </w:tcPr>
          <w:p>
            <w:pPr>
              <w:ind w:left="102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518,600</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4"/>
              </w:rPr>
              <w:t>38.81</w:t>
            </w:r>
          </w:p>
        </w:tc>
        <w:tc>
          <w:tcPr>
            <w:tcW w:w="300" w:type="dxa"/>
            <w:vAlign w:val="bottom"/>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518,600</w:t>
            </w: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340" w:right="140" w:hanging="332"/>
        <w:spacing w:after="0" w:line="264" w:lineRule="auto"/>
        <w:tabs>
          <w:tab w:leader="none" w:pos="3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November 4, 2015, the Company announced that Matson’s Board of Directors had approved a share repurchase program of up to 3.0 million shares of common stock through November 2, 2018. Shares will be repurchased in the open market from time to time, and may be made pursuant to a trading plan in accordance with Rule 10b5-1 of the Securities Exchange Act of 1934.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9160" w:type="dxa"/>
            <w:vAlign w:val="bottom"/>
          </w:tcPr>
          <w:p>
            <w:pPr>
              <w:ind w:left="440"/>
              <w:spacing w:after="0"/>
              <w:rPr>
                <w:sz w:val="20"/>
                <w:szCs w:val="20"/>
                <w:color w:val="auto"/>
              </w:rPr>
            </w:pPr>
            <w:r>
              <w:rPr>
                <w:rFonts w:ascii="Arial" w:cs="Arial" w:eastAsia="Arial" w:hAnsi="Arial"/>
                <w:sz w:val="18"/>
                <w:szCs w:val="18"/>
                <w:color w:val="auto"/>
                <w:w w:val="91"/>
              </w:rPr>
              <w:t>Certification of Chief Executive Officer pursuant to Rule 13a-14(a) or 15d-14(a) of the Securities Exchange Act of 1934.</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9160" w:type="dxa"/>
            <w:vAlign w:val="bottom"/>
          </w:tcPr>
          <w:p>
            <w:pPr>
              <w:ind w:left="440"/>
              <w:spacing w:after="0"/>
              <w:rPr>
                <w:sz w:val="20"/>
                <w:szCs w:val="20"/>
                <w:color w:val="auto"/>
              </w:rPr>
            </w:pPr>
            <w:r>
              <w:rPr>
                <w:rFonts w:ascii="Arial" w:cs="Arial" w:eastAsia="Arial" w:hAnsi="Arial"/>
                <w:sz w:val="18"/>
                <w:szCs w:val="18"/>
                <w:color w:val="auto"/>
                <w:w w:val="92"/>
              </w:rPr>
              <w:t>Certification of Chief Financial Officer pursuant to Rule 13a-14(a) or 15d-14(a) of the Securities Exchange Act of 1934.</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32</w:t>
            </w:r>
          </w:p>
        </w:tc>
        <w:tc>
          <w:tcPr>
            <w:tcW w:w="9160" w:type="dxa"/>
            <w:vAlign w:val="bottom"/>
          </w:tcPr>
          <w:p>
            <w:pPr>
              <w:ind w:left="440"/>
              <w:spacing w:after="0"/>
              <w:rPr>
                <w:sz w:val="20"/>
                <w:szCs w:val="20"/>
                <w:color w:val="auto"/>
              </w:rPr>
            </w:pPr>
            <w:r>
              <w:rPr>
                <w:rFonts w:ascii="Arial" w:cs="Arial" w:eastAsia="Arial" w:hAnsi="Arial"/>
                <w:sz w:val="18"/>
                <w:szCs w:val="18"/>
                <w:color w:val="auto"/>
              </w:rPr>
              <w:t>Certification of Chief Executive Officer and Chief Financial Officer pursuant to 18 U.S.C. Section 1350.</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9160" w:type="dxa"/>
            <w:vAlign w:val="bottom"/>
          </w:tcPr>
          <w:p>
            <w:pPr>
              <w:ind w:left="440"/>
              <w:spacing w:after="0"/>
              <w:rPr>
                <w:sz w:val="20"/>
                <w:szCs w:val="20"/>
                <w:color w:val="auto"/>
              </w:rPr>
            </w:pPr>
            <w:r>
              <w:rPr>
                <w:rFonts w:ascii="Arial" w:cs="Arial" w:eastAsia="Arial" w:hAnsi="Arial"/>
                <w:sz w:val="18"/>
                <w:szCs w:val="18"/>
                <w:color w:val="auto"/>
              </w:rPr>
              <w:t>XBRL Instance Document</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9160" w:type="dxa"/>
            <w:vAlign w:val="bottom"/>
          </w:tcPr>
          <w:p>
            <w:pPr>
              <w:ind w:left="4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9160" w:type="dxa"/>
            <w:vAlign w:val="bottom"/>
          </w:tcPr>
          <w:p>
            <w:pPr>
              <w:ind w:left="4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9160" w:type="dxa"/>
            <w:vAlign w:val="bottom"/>
          </w:tcPr>
          <w:p>
            <w:pPr>
              <w:ind w:left="44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9160" w:type="dxa"/>
            <w:vAlign w:val="bottom"/>
          </w:tcPr>
          <w:p>
            <w:pPr>
              <w:ind w:left="440"/>
              <w:spacing w:after="0"/>
              <w:rPr>
                <w:sz w:val="20"/>
                <w:szCs w:val="20"/>
                <w:color w:val="auto"/>
              </w:rPr>
            </w:pPr>
            <w:r>
              <w:rPr>
                <w:rFonts w:ascii="Arial" w:cs="Arial" w:eastAsia="Arial" w:hAnsi="Arial"/>
                <w:sz w:val="18"/>
                <w:szCs w:val="18"/>
                <w:color w:val="auto"/>
              </w:rPr>
              <w:t>XBRL Taxonomy Extension Label Linkbase Document</w:t>
            </w:r>
          </w:p>
        </w:tc>
      </w:tr>
    </w:tbl>
    <w:p>
      <w:pPr>
        <w:sectPr>
          <w:pgSz w:w="11900" w:h="16838" w:orient="portrait"/>
          <w:cols w:equalWidth="0" w:num="1">
            <w:col w:w="11360"/>
          </w:cols>
          <w:pgMar w:left="240" w:top="125" w:right="299" w:bottom="0" w:gutter="0" w:footer="0" w:header="0"/>
        </w:sectPr>
      </w:pPr>
    </w:p>
    <w:bookmarkStart w:id="12" w:name="page13"/>
    <w:bookmarkEnd w:id="12"/>
    <w:p>
      <w:pPr>
        <w:spacing w:after="0"/>
        <w:tabs>
          <w:tab w:leader="none" w:pos="152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MATSON, INC.</w:t>
            </w:r>
          </w:p>
        </w:tc>
        <w:tc>
          <w:tcPr>
            <w:tcW w:w="40" w:type="dxa"/>
            <w:vAlign w:val="bottom"/>
          </w:tcPr>
          <w:p>
            <w:pPr>
              <w:spacing w:after="0"/>
              <w:rPr>
                <w:sz w:val="20"/>
                <w:szCs w:val="20"/>
                <w:color w:val="auto"/>
              </w:rPr>
            </w:pPr>
          </w:p>
        </w:tc>
      </w:tr>
      <w:tr>
        <w:trPr>
          <w:trHeight w:val="224"/>
        </w:trPr>
        <w:tc>
          <w:tcPr>
            <w:tcW w:w="35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(Registrant)</w:t>
            </w:r>
          </w:p>
        </w:tc>
        <w:tc>
          <w:tcPr>
            <w:tcW w:w="40" w:type="dxa"/>
            <w:vAlign w:val="bottom"/>
          </w:tcPr>
          <w:p>
            <w:pPr>
              <w:spacing w:after="0"/>
              <w:rPr>
                <w:sz w:val="19"/>
                <w:szCs w:val="19"/>
                <w:color w:val="auto"/>
              </w:rPr>
            </w:pPr>
          </w:p>
        </w:tc>
      </w:tr>
      <w:tr>
        <w:trPr>
          <w:trHeight w:val="634"/>
        </w:trPr>
        <w:tc>
          <w:tcPr>
            <w:tcW w:w="3500" w:type="dxa"/>
            <w:vAlign w:val="bottom"/>
          </w:tcPr>
          <w:p>
            <w:pPr>
              <w:spacing w:after="0"/>
              <w:rPr>
                <w:sz w:val="20"/>
                <w:szCs w:val="20"/>
                <w:color w:val="auto"/>
              </w:rPr>
            </w:pPr>
            <w:r>
              <w:rPr>
                <w:rFonts w:ascii="Arial" w:cs="Arial" w:eastAsia="Arial" w:hAnsi="Arial"/>
                <w:sz w:val="18"/>
                <w:szCs w:val="18"/>
                <w:color w:val="auto"/>
              </w:rPr>
              <w:t>Date: May 5, 2016</w:t>
            </w:r>
          </w:p>
        </w:tc>
        <w:tc>
          <w:tcPr>
            <w:tcW w:w="222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Joel M. Wine</w:t>
            </w:r>
          </w:p>
        </w:tc>
        <w:tc>
          <w:tcPr>
            <w:tcW w:w="4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4"/>
              </w:rPr>
              <w:t>Joel M. Wine</w:t>
            </w:r>
          </w:p>
        </w:tc>
        <w:tc>
          <w:tcPr>
            <w:tcW w:w="4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Senior Vice President and</w:t>
            </w:r>
          </w:p>
        </w:tc>
        <w:tc>
          <w:tcPr>
            <w:tcW w:w="4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c>
          <w:tcPr>
            <w:tcW w:w="40" w:type="dxa"/>
            <w:vAlign w:val="bottom"/>
          </w:tcPr>
          <w:p>
            <w:pPr>
              <w:spacing w:after="0"/>
              <w:rPr>
                <w:sz w:val="20"/>
                <w:szCs w:val="20"/>
                <w:color w:val="auto"/>
              </w:rPr>
            </w:pPr>
          </w:p>
        </w:tc>
      </w:tr>
      <w:tr>
        <w:trPr>
          <w:trHeight w:val="648"/>
        </w:trPr>
        <w:tc>
          <w:tcPr>
            <w:tcW w:w="3500" w:type="dxa"/>
            <w:vAlign w:val="bottom"/>
          </w:tcPr>
          <w:p>
            <w:pPr>
              <w:spacing w:after="0"/>
              <w:rPr>
                <w:sz w:val="20"/>
                <w:szCs w:val="20"/>
                <w:color w:val="auto"/>
              </w:rPr>
            </w:pPr>
            <w:r>
              <w:rPr>
                <w:rFonts w:ascii="Arial" w:cs="Arial" w:eastAsia="Arial" w:hAnsi="Arial"/>
                <w:sz w:val="18"/>
                <w:szCs w:val="18"/>
                <w:color w:val="auto"/>
              </w:rPr>
              <w:t>Date: May 5, 2016</w:t>
            </w:r>
          </w:p>
        </w:tc>
        <w:tc>
          <w:tcPr>
            <w:tcW w:w="222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Dale B. Hendler</w:t>
            </w:r>
          </w:p>
        </w:tc>
        <w:tc>
          <w:tcPr>
            <w:tcW w:w="4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2"/>
              </w:rPr>
              <w:t>Dale B. Hendler</w:t>
            </w:r>
          </w:p>
        </w:tc>
        <w:tc>
          <w:tcPr>
            <w:tcW w:w="4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Vice President and Controller,</w:t>
            </w:r>
          </w:p>
        </w:tc>
        <w:tc>
          <w:tcPr>
            <w:tcW w:w="4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3"/>
              </w:rPr>
              <w:t>(principal accounting officer)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7920" w:type="dxa"/>
            <w:vAlign w:val="bottom"/>
            <w:gridSpan w:val="2"/>
          </w:tcPr>
          <w:p>
            <w:pPr>
              <w:jc w:val="right"/>
              <w:ind w:right="553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4"/>
                <w:szCs w:val="24"/>
                <w:color w:val="auto"/>
              </w:rPr>
            </w:pPr>
          </w:p>
        </w:tc>
      </w:tr>
      <w:tr>
        <w:trPr>
          <w:trHeight w:val="132"/>
        </w:trPr>
        <w:tc>
          <w:tcPr>
            <w:tcW w:w="3500" w:type="dxa"/>
            <w:vAlign w:val="bottom"/>
            <w:tcBorders>
              <w:bottom w:val="single" w:sz="8" w:color="808080"/>
            </w:tcBorders>
          </w:tcPr>
          <w:p>
            <w:pPr>
              <w:spacing w:after="0"/>
              <w:rPr>
                <w:sz w:val="11"/>
                <w:szCs w:val="11"/>
                <w:color w:val="auto"/>
              </w:rPr>
            </w:pPr>
          </w:p>
        </w:tc>
        <w:tc>
          <w:tcPr>
            <w:tcW w:w="2220" w:type="dxa"/>
            <w:vAlign w:val="bottom"/>
            <w:tcBorders>
              <w:bottom w:val="single" w:sz="8" w:color="808080"/>
            </w:tcBorders>
          </w:tcPr>
          <w:p>
            <w:pPr>
              <w:spacing w:after="0"/>
              <w:rPr>
                <w:sz w:val="11"/>
                <w:szCs w:val="11"/>
                <w:color w:val="auto"/>
              </w:rPr>
            </w:pPr>
          </w:p>
        </w:tc>
        <w:tc>
          <w:tcPr>
            <w:tcW w:w="5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Certification of Chief Executive Officer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J. Cox, certify that:</w:t>
      </w:r>
    </w:p>
    <w:p>
      <w:pPr>
        <w:spacing w:after="0" w:line="225"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225" w:lineRule="exact"/>
        <w:rPr>
          <w:rFonts w:ascii="Arial" w:cs="Arial" w:eastAsia="Arial" w:hAnsi="Arial"/>
          <w:sz w:val="18"/>
          <w:szCs w:val="18"/>
          <w:color w:val="auto"/>
        </w:rPr>
      </w:pPr>
    </w:p>
    <w:p>
      <w:pPr>
        <w:ind w:right="300" w:firstLine="8"/>
        <w:spacing w:after="0" w:line="342"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80" w:firstLine="8"/>
        <w:spacing w:after="0" w:line="277"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8"/>
        <w:spacing w:after="0" w:line="264"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60" w:firstLine="8"/>
        <w:spacing w:after="0" w:line="26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40" w:firstLine="8"/>
        <w:spacing w:after="0" w:line="264" w:lineRule="auto"/>
        <w:tabs>
          <w:tab w:leader="none" w:pos="6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00" w:firstLine="8"/>
        <w:spacing w:after="0" w:line="277"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20" w:firstLine="8"/>
        <w:spacing w:after="0" w:line="264" w:lineRule="auto"/>
        <w:tabs>
          <w:tab w:leader="none" w:pos="6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308" w:lineRule="auto"/>
        <w:tabs>
          <w:tab w:leader="none" w:pos="63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0" w:firstLine="8"/>
        <w:spacing w:after="0" w:line="277"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60" w:firstLine="8"/>
        <w:spacing w:after="0" w:line="277" w:lineRule="auto"/>
        <w:tabs>
          <w:tab w:leader="none" w:pos="6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tabs>
          <w:tab w:leader="none" w:pos="6100" w:val="left"/>
        </w:tabs>
        <w:rPr>
          <w:sz w:val="20"/>
          <w:szCs w:val="20"/>
          <w:color w:val="auto"/>
        </w:rPr>
      </w:pPr>
      <w:r>
        <w:rPr>
          <w:rFonts w:ascii="Arial" w:cs="Arial" w:eastAsia="Arial" w:hAnsi="Arial"/>
          <w:sz w:val="18"/>
          <w:szCs w:val="18"/>
          <w:color w:val="auto"/>
        </w:rPr>
        <w:t>By</w:t>
        <w:tab/>
        <w:t>/s/ Matthew J. Cox</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Matthew J. Cox,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Certification of Chief Financial Officer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Joel M. Wine, certify that:</w:t>
      </w:r>
    </w:p>
    <w:p>
      <w:pPr>
        <w:spacing w:after="0" w:line="225"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225" w:lineRule="exact"/>
        <w:rPr>
          <w:rFonts w:ascii="Arial" w:cs="Arial" w:eastAsia="Arial" w:hAnsi="Arial"/>
          <w:sz w:val="18"/>
          <w:szCs w:val="18"/>
          <w:color w:val="auto"/>
        </w:rPr>
      </w:pPr>
    </w:p>
    <w:p>
      <w:pPr>
        <w:ind w:right="300" w:firstLine="8"/>
        <w:spacing w:after="0" w:line="342" w:lineRule="auto"/>
        <w:tabs>
          <w:tab w:leader="none" w:pos="632"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80" w:firstLine="8"/>
        <w:spacing w:after="0" w:line="277"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60" w:firstLine="8"/>
        <w:spacing w:after="0" w:line="264"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60" w:firstLine="8"/>
        <w:spacing w:after="0" w:line="264"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40" w:firstLine="8"/>
        <w:spacing w:after="0" w:line="264" w:lineRule="auto"/>
        <w:tabs>
          <w:tab w:leader="none" w:pos="6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00" w:firstLine="8"/>
        <w:spacing w:after="0" w:line="277"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20" w:firstLine="8"/>
        <w:spacing w:after="0" w:line="264" w:lineRule="auto"/>
        <w:tabs>
          <w:tab w:leader="none" w:pos="6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308" w:lineRule="auto"/>
        <w:tabs>
          <w:tab w:leader="none" w:pos="63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0" w:firstLine="8"/>
        <w:spacing w:after="0" w:line="277"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60" w:firstLine="8"/>
        <w:spacing w:after="0" w:line="277" w:lineRule="auto"/>
        <w:tabs>
          <w:tab w:leader="none" w:pos="6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tab/>
        <w:t>/s/ Joel M. Wine</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Joel M. Wine, Senior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ind w:left="10420"/>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on Form 10-Q of Matson, Inc. (the “Company”) for the quarterly period ended March 31, 2016, as filed with the Securities and Exchange Commission on the date hereof (the “Report”), Matthew J. Cox, as President and Chief Executive Officer of the Company, and Joel M. Wine, as Senior Vice President and Chief Financial Officer of the Company, each hereby certifies, pursuant to 18 U.S.C. Section 1350, that to their knowledge:</w:t>
      </w:r>
    </w:p>
    <w:p>
      <w:pPr>
        <w:spacing w:after="0" w:line="187" w:lineRule="exact"/>
        <w:rPr>
          <w:sz w:val="20"/>
          <w:szCs w:val="20"/>
          <w:color w:val="auto"/>
        </w:rPr>
      </w:pPr>
    </w:p>
    <w:p>
      <w:pPr>
        <w:ind w:left="720" w:hanging="712"/>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712"/>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Matthew J. Cox</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Matthew J. Cox</w:t>
            </w:r>
          </w:p>
        </w:tc>
        <w:tc>
          <w:tcPr>
            <w:tcW w:w="5740" w:type="dxa"/>
            <w:vAlign w:val="bottom"/>
          </w:tcPr>
          <w:p>
            <w:pPr>
              <w:spacing w:after="0"/>
              <w:rPr>
                <w:sz w:val="16"/>
                <w:szCs w:val="16"/>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c>
          <w:tcPr>
            <w:tcW w:w="574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080" w:type="dxa"/>
            <w:vAlign w:val="bottom"/>
          </w:tcPr>
          <w:p>
            <w:pPr>
              <w:ind w:left="140"/>
              <w:spacing w:after="0"/>
              <w:rPr>
                <w:sz w:val="20"/>
                <w:szCs w:val="20"/>
                <w:color w:val="auto"/>
              </w:rPr>
            </w:pPr>
            <w:r>
              <w:rPr>
                <w:rFonts w:ascii="Arial" w:cs="Arial" w:eastAsia="Arial" w:hAnsi="Arial"/>
                <w:sz w:val="18"/>
                <w:szCs w:val="18"/>
                <w:color w:val="auto"/>
              </w:rPr>
              <w:t>May 5, 2016</w:t>
            </w:r>
          </w:p>
        </w:tc>
        <w:tc>
          <w:tcPr>
            <w:tcW w:w="5740" w:type="dxa"/>
            <w:vAlign w:val="bottom"/>
          </w:tcPr>
          <w:p>
            <w:pPr>
              <w:spacing w:after="0"/>
              <w:rPr>
                <w:sz w:val="20"/>
                <w:szCs w:val="20"/>
                <w:color w:val="auto"/>
              </w:rPr>
            </w:pPr>
          </w:p>
        </w:tc>
      </w:tr>
      <w:tr>
        <w:trPr>
          <w:trHeight w:val="648"/>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Joel M. Wine</w:t>
            </w:r>
          </w:p>
        </w:tc>
        <w:tc>
          <w:tcPr>
            <w:tcW w:w="5740" w:type="dxa"/>
            <w:vAlign w:val="bottom"/>
          </w:tcPr>
          <w:p>
            <w:pPr>
              <w:spacing w:after="0"/>
              <w:rPr>
                <w:sz w:val="24"/>
                <w:szCs w:val="24"/>
                <w:color w:val="auto"/>
              </w:rPr>
            </w:pPr>
          </w:p>
        </w:tc>
      </w:tr>
      <w:tr>
        <w:trPr>
          <w:trHeight w:val="195"/>
        </w:trPr>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80" w:type="dxa"/>
            <w:vAlign w:val="bottom"/>
          </w:tcPr>
          <w:p>
            <w:pPr>
              <w:ind w:left="140"/>
              <w:spacing w:after="0" w:line="195" w:lineRule="exact"/>
              <w:rPr>
                <w:sz w:val="20"/>
                <w:szCs w:val="20"/>
                <w:color w:val="auto"/>
              </w:rPr>
            </w:pPr>
            <w:r>
              <w:rPr>
                <w:rFonts w:ascii="Arial" w:cs="Arial" w:eastAsia="Arial" w:hAnsi="Arial"/>
                <w:sz w:val="18"/>
                <w:szCs w:val="18"/>
                <w:color w:val="auto"/>
              </w:rPr>
              <w:t>Joel M. Wine</w:t>
            </w:r>
          </w:p>
        </w:tc>
        <w:tc>
          <w:tcPr>
            <w:tcW w:w="5740" w:type="dxa"/>
            <w:vAlign w:val="bottom"/>
          </w:tcPr>
          <w:p>
            <w:pPr>
              <w:spacing w:after="0"/>
              <w:rPr>
                <w:sz w:val="16"/>
                <w:szCs w:val="16"/>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color w:val="auto"/>
              </w:rPr>
              <w:t>Senior Vice President and Chief Financial Officer</w:t>
            </w:r>
          </w:p>
        </w:tc>
        <w:tc>
          <w:tcPr>
            <w:tcW w:w="574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080" w:type="dxa"/>
            <w:vAlign w:val="bottom"/>
          </w:tcPr>
          <w:p>
            <w:pPr>
              <w:ind w:left="140"/>
              <w:spacing w:after="0"/>
              <w:rPr>
                <w:sz w:val="20"/>
                <w:szCs w:val="20"/>
                <w:color w:val="auto"/>
              </w:rPr>
            </w:pPr>
            <w:r>
              <w:rPr>
                <w:rFonts w:ascii="Arial" w:cs="Arial" w:eastAsia="Arial" w:hAnsi="Arial"/>
                <w:sz w:val="18"/>
                <w:szCs w:val="18"/>
                <w:color w:val="auto"/>
              </w:rPr>
              <w:t>May 5, 201</w:t>
            </w:r>
            <w:r>
              <w:rPr>
                <w:rFonts w:ascii="Arial" w:cs="Arial" w:eastAsia="Arial" w:hAnsi="Arial"/>
                <w:sz w:val="17"/>
                <w:szCs w:val="17"/>
                <w:color w:val="auto"/>
              </w:rPr>
              <w:t>6</w:t>
            </w:r>
          </w:p>
        </w:tc>
        <w:tc>
          <w:tcPr>
            <w:tcW w:w="5740" w:type="dxa"/>
            <w:vAlign w:val="bottom"/>
          </w:tcPr>
          <w:p>
            <w:pPr>
              <w:spacing w:after="0"/>
              <w:rPr>
                <w:sz w:val="20"/>
                <w:szCs w:val="20"/>
                <w:color w:val="auto"/>
              </w:rPr>
            </w:pPr>
          </w:p>
        </w:tc>
      </w:tr>
      <w:tr>
        <w:trPr>
          <w:trHeight w:val="348"/>
        </w:trPr>
        <w:tc>
          <w:tcPr>
            <w:tcW w:w="64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decimal"/>
      <w:start w:val="6"/>
    </w:lvl>
  </w:abstractNum>
  <w:abstractNum w:abstractNumId="8">
    <w:nsid w:val="6B68079A"/>
    <w:multiLevelType w:val="hybridMultilevel"/>
    <w:lvl w:ilvl="0">
      <w:lvlJc w:val="left"/>
      <w:lvlText w:val="%1."/>
      <w:numFmt w:val="decimal"/>
      <w:start w:val="7"/>
    </w:lvl>
  </w:abstractNum>
  <w:abstractNum w:abstractNumId="9">
    <w:nsid w:val="4E6AFB66"/>
    <w:multiLevelType w:val="hybridMultilevel"/>
    <w:lvl w:ilvl="0">
      <w:lvlJc w:val="left"/>
      <w:lvlText w:val="%1."/>
      <w:numFmt w:val="decimal"/>
      <w:start w:val="8"/>
    </w:lvl>
  </w:abstractNum>
  <w:abstractNum w:abstractNumId="10">
    <w:nsid w:val="25E45D32"/>
    <w:multiLevelType w:val="hybridMultilevel"/>
    <w:lvl w:ilvl="0">
      <w:lvlJc w:val="left"/>
      <w:lvlText w:val="%1."/>
      <w:numFmt w:val="decimal"/>
      <w:start w:val="9"/>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decimal"/>
      <w:start w:val="5"/>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decimal"/>
      <w:start w:val="5"/>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2019-12-05T01:34:50Z</dcterms:created>
  <dcterms:modified xsi:type="dcterms:W3CDTF">2019-12-05T01:34:50Z</dcterms:modified>
</cp:coreProperties>
</file>