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Taylor Jason Lee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1961</w:t>
            </w:r>
          </w:p>
        </w:tc>
        <w:tc>
          <w:tcPr>
            <w:tcW w:w="1380" w:type="dxa"/>
            <w:tcBorders/>
            <w:vAlign w:val="center"/>
          </w:tcPr>
          <w:p>
            <w:pPr>
              <w:pStyle w:val="TableContents"/>
              <w:bidi w:val="0"/>
              <w:spacing w:before="0" w:after="283"/>
              <w:jc w:val="left"/>
              <w:rPr/>
            </w:pPr>
            <w:r>
              <w:rPr/>
              <w:t>425537.00</w:t>
            </w:r>
          </w:p>
        </w:tc>
        <w:tc>
          <w:tcPr>
            <w:tcW w:w="1555" w:type="dxa"/>
            <w:tcBorders/>
            <w:vAlign w:val="center"/>
          </w:tcPr>
          <w:p>
            <w:pPr>
              <w:pStyle w:val="TableContents"/>
              <w:bidi w:val="0"/>
              <w:spacing w:before="0" w:after="283"/>
              <w:jc w:val="left"/>
              <w:rPr/>
            </w:pPr>
            <w:r>
              <w:rPr/>
              <w:t>29903458</w:t>
            </w:r>
          </w:p>
        </w:tc>
        <w:tc>
          <w:tcPr>
            <w:tcW w:w="1569" w:type="dxa"/>
            <w:tcBorders/>
            <w:vAlign w:val="center"/>
          </w:tcPr>
          <w:p>
            <w:pPr>
              <w:pStyle w:val="TableContents"/>
              <w:bidi w:val="0"/>
              <w:spacing w:before="0" w:after="283"/>
              <w:jc w:val="left"/>
              <w:rPr/>
            </w:pPr>
            <w:r>
              <w:rPr/>
              <w:t>08/13/2026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383</w:t>
            </w:r>
          </w:p>
        </w:tc>
        <w:tc>
          <w:tcPr>
            <w:tcW w:w="1046" w:type="dxa"/>
            <w:tcBorders/>
            <w:vAlign w:val="center"/>
          </w:tcPr>
          <w:p>
            <w:pPr>
              <w:pStyle w:val="TableContents"/>
              <w:bidi w:val="0"/>
              <w:spacing w:before="0" w:after="283"/>
              <w:jc w:val="left"/>
              <w:rPr/>
            </w:pPr>
            <w:r>
              <w:rPr/>
              <w:t>01/27/2024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248</w:t>
            </w:r>
          </w:p>
        </w:tc>
        <w:tc>
          <w:tcPr>
            <w:tcW w:w="1046" w:type="dxa"/>
            <w:tcBorders/>
            <w:vAlign w:val="center"/>
          </w:tcPr>
          <w:p>
            <w:pPr>
              <w:pStyle w:val="TableContents"/>
              <w:bidi w:val="0"/>
              <w:spacing w:before="0" w:after="283"/>
              <w:jc w:val="left"/>
              <w:rPr/>
            </w:pPr>
            <w:r>
              <w:rPr/>
              <w:t>01/24/2025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457</w:t>
            </w:r>
          </w:p>
        </w:tc>
        <w:tc>
          <w:tcPr>
            <w:tcW w:w="1046" w:type="dxa"/>
            <w:tcBorders/>
            <w:vAlign w:val="center"/>
          </w:tcPr>
          <w:p>
            <w:pPr>
              <w:pStyle w:val="TableContents"/>
              <w:bidi w:val="0"/>
              <w:spacing w:before="0" w:after="283"/>
              <w:jc w:val="left"/>
              <w:rPr/>
            </w:pPr>
            <w:r>
              <w:rPr/>
              <w:t>01/25/2025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873</w:t>
            </w:r>
          </w:p>
        </w:tc>
        <w:tc>
          <w:tcPr>
            <w:tcW w:w="1046" w:type="dxa"/>
            <w:tcBorders/>
            <w:vAlign w:val="center"/>
          </w:tcPr>
          <w:p>
            <w:pPr>
              <w:pStyle w:val="TableContents"/>
              <w:bidi w:val="0"/>
              <w:spacing w:before="0" w:after="283"/>
              <w:jc w:val="left"/>
              <w:rPr/>
            </w:pPr>
            <w:r>
              <w:rPr/>
              <w:t>01/26/2025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Jason Taylor</w:t>
              <w:br/>
              <w:t>1411 Sand Island Parkway</w:t>
              <w:br/>
              <w:t>Honolulu   HI   96819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05/14/2026</w:t>
            </w:r>
          </w:p>
        </w:tc>
        <w:tc>
          <w:tcPr>
            <w:tcW w:w="1571" w:type="dxa"/>
            <w:tcBorders/>
            <w:vAlign w:val="center"/>
          </w:tcPr>
          <w:p>
            <w:pPr>
              <w:pStyle w:val="TableContents"/>
              <w:bidi w:val="0"/>
              <w:spacing w:before="0" w:after="283"/>
              <w:jc w:val="left"/>
              <w:rPr/>
            </w:pPr>
            <w:r>
              <w:rPr/>
              <w:t>1650</w:t>
            </w:r>
          </w:p>
        </w:tc>
        <w:tc>
          <w:tcPr>
            <w:tcW w:w="1772" w:type="dxa"/>
            <w:tcBorders/>
            <w:vAlign w:val="center"/>
          </w:tcPr>
          <w:p>
            <w:pPr>
              <w:pStyle w:val="TableContents"/>
              <w:bidi w:val="0"/>
              <w:spacing w:before="0" w:after="283"/>
              <w:jc w:val="left"/>
              <w:rPr/>
            </w:pPr>
            <w:r>
              <w:rPr/>
              <w:t>300696.00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/s/Wade Moss, as a duly authorized representative of Fidelity Brokerage Services LLC, as attorney-in-fact for Jason L. Taylor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3323</Characters>
  <CharactersWithSpaces>3882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