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126365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640" w:right="1220" w:hanging="325"/>
        <w:spacing w:after="0" w:line="256" w:lineRule="auto"/>
        <w:tabs>
          <w:tab w:leader="none" w:pos="8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640" w:right="1200" w:hanging="325"/>
        <w:spacing w:after="0" w:line="256" w:lineRule="auto"/>
        <w:tabs>
          <w:tab w:leader="none" w:pos="8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5020" w:type="dxa"/>
            <w:vAlign w:val="bottom"/>
          </w:tcPr>
          <w:p>
            <w:pPr>
              <w:ind w:left="1880"/>
              <w:spacing w:after="0"/>
              <w:rPr>
                <w:sz w:val="20"/>
                <w:szCs w:val="20"/>
                <w:color w:val="auto"/>
              </w:rPr>
            </w:pPr>
            <w:r>
              <w:rPr>
                <w:rFonts w:ascii="Arial" w:cs="Arial" w:eastAsia="Arial" w:hAnsi="Arial"/>
                <w:sz w:val="18"/>
                <w:szCs w:val="18"/>
                <w:b w:val="1"/>
                <w:bCs w:val="1"/>
                <w:color w:val="auto"/>
              </w:rPr>
              <w:t>For the transition period from</w:t>
            </w:r>
          </w:p>
        </w:tc>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365"/>
        </w:trPr>
        <w:tc>
          <w:tcPr>
            <w:tcW w:w="7280" w:type="dxa"/>
            <w:vAlign w:val="bottom"/>
            <w:gridSpan w:val="2"/>
          </w:tcPr>
          <w:p>
            <w:pPr>
              <w:jc w:val="center"/>
              <w:ind w:left="66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99"/>
        </w:trPr>
        <w:tc>
          <w:tcPr>
            <w:tcW w:w="5020" w:type="dxa"/>
            <w:vAlign w:val="bottom"/>
          </w:tcPr>
          <w:p>
            <w:pPr>
              <w:jc w:val="center"/>
              <w:ind w:left="2903"/>
              <w:spacing w:after="0"/>
              <w:rPr>
                <w:sz w:val="20"/>
                <w:szCs w:val="20"/>
                <w:color w:val="auto"/>
              </w:rPr>
            </w:pPr>
            <w:r>
              <w:rPr>
                <w:rFonts w:ascii="Arial" w:cs="Arial" w:eastAsia="Arial" w:hAnsi="Arial"/>
                <w:sz w:val="32"/>
                <w:szCs w:val="32"/>
                <w:b w:val="1"/>
                <w:bCs w:val="1"/>
                <w:color w:val="auto"/>
                <w:w w:val="94"/>
              </w:rPr>
              <w:t>Matson, Inc.</w:t>
            </w:r>
          </w:p>
        </w:tc>
        <w:tc>
          <w:tcPr>
            <w:tcW w:w="2260" w:type="dxa"/>
            <w:vAlign w:val="bottom"/>
          </w:tcPr>
          <w:p>
            <w:pPr>
              <w:spacing w:after="0"/>
              <w:rPr>
                <w:sz w:val="24"/>
                <w:szCs w:val="24"/>
                <w:color w:val="auto"/>
              </w:rPr>
            </w:pPr>
          </w:p>
        </w:tc>
      </w:tr>
      <w:tr>
        <w:trPr>
          <w:trHeight w:val="230"/>
        </w:trPr>
        <w:tc>
          <w:tcPr>
            <w:tcW w:w="7280" w:type="dxa"/>
            <w:vAlign w:val="bottom"/>
            <w:gridSpan w:val="2"/>
          </w:tcPr>
          <w:p>
            <w:pPr>
              <w:jc w:val="center"/>
              <w:ind w:left="66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23"/>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8"/>
              </w:rPr>
              <w:t>Hawaii</w:t>
            </w:r>
          </w:p>
        </w:tc>
        <w:tc>
          <w:tcPr>
            <w:tcW w:w="2260" w:type="dxa"/>
            <w:vAlign w:val="bottom"/>
          </w:tcPr>
          <w:p>
            <w:pPr>
              <w:jc w:val="right"/>
              <w:ind w:right="13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5020" w:type="dxa"/>
            <w:vAlign w:val="bottom"/>
          </w:tcPr>
          <w:p>
            <w:pPr>
              <w:jc w:val="center"/>
              <w:ind w:right="2083"/>
              <w:spacing w:after="0" w:line="189" w:lineRule="exact"/>
              <w:rPr>
                <w:sz w:val="20"/>
                <w:szCs w:val="20"/>
                <w:color w:val="auto"/>
              </w:rPr>
            </w:pPr>
            <w:r>
              <w:rPr>
                <w:rFonts w:ascii="Arial" w:cs="Arial" w:eastAsia="Arial" w:hAnsi="Arial"/>
                <w:sz w:val="18"/>
                <w:szCs w:val="18"/>
                <w:color w:val="auto"/>
                <w:w w:val="92"/>
              </w:rPr>
              <w:t>(State or other jurisdiction of</w:t>
            </w:r>
          </w:p>
        </w:tc>
        <w:tc>
          <w:tcPr>
            <w:tcW w:w="2260" w:type="dxa"/>
            <w:vAlign w:val="bottom"/>
          </w:tcPr>
          <w:p>
            <w:pPr>
              <w:jc w:val="center"/>
              <w:ind w:left="85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incorporation or organization)</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r>
        <w:trPr>
          <w:trHeight w:val="333"/>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1"/>
              </w:rPr>
              <w:t>1411 Sand Island Parkway</w:t>
            </w:r>
          </w:p>
        </w:tc>
        <w:tc>
          <w:tcPr>
            <w:tcW w:w="2260" w:type="dxa"/>
            <w:vAlign w:val="bottom"/>
          </w:tcPr>
          <w:p>
            <w:pPr>
              <w:spacing w:after="0"/>
              <w:rPr>
                <w:sz w:val="24"/>
                <w:szCs w:val="24"/>
                <w:color w:val="auto"/>
              </w:rPr>
            </w:pPr>
          </w:p>
        </w:tc>
      </w:tr>
      <w:tr>
        <w:trPr>
          <w:trHeight w:val="193"/>
        </w:trPr>
        <w:tc>
          <w:tcPr>
            <w:tcW w:w="5020" w:type="dxa"/>
            <w:vAlign w:val="bottom"/>
          </w:tcPr>
          <w:p>
            <w:pPr>
              <w:jc w:val="center"/>
              <w:ind w:right="210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6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jc w:val="center"/>
              <w:ind w:left="85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3"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10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560" w:type="dxa"/>
            <w:vAlign w:val="bottom"/>
          </w:tcPr>
          <w:p>
            <w:pPr>
              <w:jc w:val="center"/>
              <w:ind w:right="113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400" w:type="dxa"/>
            <w:vAlign w:val="bottom"/>
          </w:tcPr>
          <w:p>
            <w:pPr>
              <w:jc w:val="center"/>
              <w:ind w:left="1150"/>
              <w:spacing w:after="0" w:line="207" w:lineRule="exact"/>
              <w:rPr>
                <w:sz w:val="20"/>
                <w:szCs w:val="20"/>
                <w:color w:val="auto"/>
              </w:rPr>
            </w:pPr>
            <w:r>
              <w:rPr>
                <w:rFonts w:ascii="Arial" w:cs="Arial" w:eastAsia="Arial" w:hAnsi="Arial"/>
                <w:sz w:val="18"/>
                <w:szCs w:val="18"/>
                <w:color w:val="auto"/>
                <w:w w:val="92"/>
              </w:rPr>
              <w:t xml:space="preserve">Accelerated filer </w:t>
            </w:r>
            <w:r>
              <w:rPr>
                <w:rFonts w:ascii="MS PGothic" w:cs="MS PGothic" w:eastAsia="MS PGothic" w:hAnsi="MS PGothic"/>
                <w:sz w:val="18"/>
                <w:szCs w:val="18"/>
                <w:color w:val="auto"/>
                <w:w w:val="92"/>
              </w:rPr>
              <w:t>☐</w:t>
            </w:r>
          </w:p>
        </w:tc>
        <w:tc>
          <w:tcPr>
            <w:tcW w:w="0" w:type="dxa"/>
            <w:vAlign w:val="bottom"/>
          </w:tcPr>
          <w:p>
            <w:pPr>
              <w:spacing w:after="0"/>
              <w:rPr>
                <w:sz w:val="1"/>
                <w:szCs w:val="1"/>
                <w:color w:val="auto"/>
              </w:rPr>
            </w:pPr>
          </w:p>
        </w:tc>
      </w:tr>
      <w:tr>
        <w:trPr>
          <w:trHeight w:val="317"/>
        </w:trPr>
        <w:tc>
          <w:tcPr>
            <w:tcW w:w="4560" w:type="dxa"/>
            <w:vAlign w:val="bottom"/>
          </w:tcPr>
          <w:p>
            <w:pPr>
              <w:jc w:val="center"/>
              <w:ind w:right="111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3400" w:type="dxa"/>
            <w:vAlign w:val="bottom"/>
          </w:tcPr>
          <w:p>
            <w:pPr>
              <w:jc w:val="center"/>
              <w:ind w:left="113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30"/>
        </w:trPr>
        <w:tc>
          <w:tcPr>
            <w:tcW w:w="4560" w:type="dxa"/>
            <w:vAlign w:val="bottom"/>
          </w:tcPr>
          <w:p>
            <w:pPr>
              <w:jc w:val="center"/>
              <w:ind w:right="1110"/>
              <w:spacing w:after="0"/>
              <w:rPr>
                <w:sz w:val="20"/>
                <w:szCs w:val="20"/>
                <w:color w:val="auto"/>
              </w:rPr>
            </w:pPr>
            <w:r>
              <w:rPr>
                <w:rFonts w:ascii="Arial" w:cs="Arial" w:eastAsia="Arial" w:hAnsi="Arial"/>
                <w:sz w:val="18"/>
                <w:szCs w:val="18"/>
                <w:color w:val="auto"/>
                <w:w w:val="92"/>
              </w:rPr>
              <w:t>(Do not check if a smaller reporting company)</w:t>
            </w:r>
          </w:p>
        </w:tc>
        <w:tc>
          <w:tcPr>
            <w:tcW w:w="3400" w:type="dxa"/>
            <w:vAlign w:val="bottom"/>
            <w:vMerge w:val="restart"/>
          </w:tcPr>
          <w:p>
            <w:pPr>
              <w:jc w:val="center"/>
              <w:ind w:left="115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3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ind w:right="34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2" w:lineRule="exact"/>
        <w:rPr>
          <w:sz w:val="24"/>
          <w:szCs w:val="24"/>
          <w:color w:val="auto"/>
        </w:rPr>
      </w:pPr>
    </w:p>
    <w:p>
      <w:pPr>
        <w:ind w:right="114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March 31, 2017: </w:t>
      </w:r>
      <w:r>
        <w:rPr>
          <w:rFonts w:ascii="Arial" w:cs="Arial" w:eastAsia="Arial" w:hAnsi="Arial"/>
          <w:sz w:val="18"/>
          <w:szCs w:val="18"/>
          <w:b w:val="1"/>
          <w:bCs w:val="1"/>
          <w:color w:val="auto"/>
        </w:rPr>
        <w:t>43,116,250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163830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0"/>
          </w:cols>
          <w:pgMar w:left="760" w:top="233" w:right="75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80" w:type="dxa"/>
            <w:vAlign w:val="bottom"/>
            <w:gridSpan w:val="11"/>
          </w:tcPr>
          <w:p>
            <w:pPr>
              <w:jc w:val="center"/>
              <w:ind w:right="1840"/>
              <w:spacing w:after="0"/>
              <w:rPr>
                <w:sz w:val="20"/>
                <w:szCs w:val="20"/>
                <w:color w:val="auto"/>
              </w:rPr>
            </w:pPr>
            <w:r>
              <w:rPr>
                <w:rFonts w:ascii="Arial" w:cs="Arial" w:eastAsia="Arial" w:hAnsi="Arial"/>
                <w:sz w:val="18"/>
                <w:szCs w:val="18"/>
                <w:b w:val="1"/>
                <w:bCs w:val="1"/>
                <w:color w:val="auto"/>
                <w:w w:val="99"/>
              </w:rPr>
              <w:t>MATSON, INC. AND SUBSIDIARIES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20" w:type="dxa"/>
            <w:vAlign w:val="bottom"/>
          </w:tcPr>
          <w:p>
            <w:pPr>
              <w:spacing w:after="0"/>
              <w:rPr>
                <w:sz w:val="24"/>
                <w:szCs w:val="24"/>
                <w:color w:val="auto"/>
              </w:rPr>
            </w:pPr>
          </w:p>
        </w:tc>
        <w:tc>
          <w:tcPr>
            <w:tcW w:w="2840" w:type="dxa"/>
            <w:vAlign w:val="bottom"/>
            <w:gridSpan w:val="10"/>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I—FINANCIAL INFORMATION</w:t>
              </w:r>
            </w:hyperlink>
          </w:p>
        </w:tc>
        <w:tc>
          <w:tcPr>
            <w:tcW w:w="5040" w:type="dxa"/>
            <w:vAlign w:val="bottom"/>
            <w:gridSpan w:val="10"/>
            <w:vMerge w:val="restart"/>
          </w:tcPr>
          <w:p>
            <w:pPr>
              <w:spacing w:after="0"/>
              <w:rPr>
                <w:sz w:val="24"/>
                <w:szCs w:val="24"/>
                <w:color w:val="auto"/>
              </w:rPr>
            </w:pPr>
          </w:p>
        </w:tc>
        <w:tc>
          <w:tcPr>
            <w:tcW w:w="10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3"/>
                <w:szCs w:val="13"/>
                <w:color w:val="auto"/>
              </w:rPr>
            </w:pPr>
          </w:p>
        </w:tc>
        <w:tc>
          <w:tcPr>
            <w:tcW w:w="2840" w:type="dxa"/>
            <w:vAlign w:val="bottom"/>
            <w:tcBorders>
              <w:bottom w:val="single" w:sz="8" w:color="0000EE"/>
            </w:tcBorders>
            <w:gridSpan w:val="10"/>
            <w:vMerge w:val="continue"/>
          </w:tcPr>
          <w:p>
            <w:pPr>
              <w:spacing w:after="0"/>
              <w:rPr>
                <w:sz w:val="13"/>
                <w:szCs w:val="13"/>
                <w:color w:val="auto"/>
              </w:rPr>
            </w:pPr>
          </w:p>
        </w:tc>
        <w:tc>
          <w:tcPr>
            <w:tcW w:w="5040" w:type="dxa"/>
            <w:vAlign w:val="bottom"/>
            <w:gridSpan w:val="10"/>
            <w:vMerge w:val="continue"/>
          </w:tcPr>
          <w:p>
            <w:pPr>
              <w:spacing w:after="0"/>
              <w:rPr>
                <w:sz w:val="13"/>
                <w:szCs w:val="13"/>
                <w:color w:val="auto"/>
              </w:rPr>
            </w:pPr>
          </w:p>
        </w:tc>
        <w:tc>
          <w:tcPr>
            <w:tcW w:w="960" w:type="dxa"/>
            <w:vAlign w:val="bottom"/>
          </w:tcPr>
          <w:p>
            <w:pPr>
              <w:jc w:val="center"/>
              <w:ind w:left="51"/>
              <w:spacing w:after="0" w:line="142"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0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96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and Comprehensive Income</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2520" w:type="dxa"/>
            <w:vAlign w:val="bottom"/>
            <w:tcBorders>
              <w:top w:val="single" w:sz="8" w:color="0000EE"/>
            </w:tcBorders>
            <w:gridSpan w:val="5"/>
          </w:tcPr>
          <w:p>
            <w:pPr>
              <w:spacing w:after="0"/>
              <w:rPr>
                <w:sz w:val="17"/>
                <w:szCs w:val="17"/>
                <w:color w:val="auto"/>
              </w:rPr>
            </w:pPr>
          </w:p>
        </w:tc>
        <w:tc>
          <w:tcPr>
            <w:tcW w:w="1580" w:type="dxa"/>
            <w:vAlign w:val="bottom"/>
            <w:gridSpan w:val="2"/>
          </w:tcPr>
          <w:p>
            <w:pPr>
              <w:spacing w:after="0"/>
              <w:rPr>
                <w:sz w:val="17"/>
                <w:szCs w:val="17"/>
                <w:color w:val="auto"/>
              </w:rPr>
            </w:pPr>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3320" w:type="dxa"/>
            <w:vAlign w:val="bottom"/>
            <w:gridSpan w:val="6"/>
          </w:tcPr>
          <w:p>
            <w:pPr>
              <w:spacing w:after="0"/>
              <w:rPr>
                <w:sz w:val="17"/>
                <w:szCs w:val="17"/>
                <w:color w:val="auto"/>
              </w:rPr>
            </w:pPr>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the Condensed Consolidated Financial Statements</w:t>
              </w:r>
            </w:hyperlink>
          </w:p>
        </w:tc>
        <w:tc>
          <w:tcPr>
            <w:tcW w:w="2780" w:type="dxa"/>
            <w:vAlign w:val="bottom"/>
            <w:gridSpan w:val="5"/>
          </w:tcPr>
          <w:p>
            <w:pPr>
              <w:spacing w:after="0"/>
              <w:rPr>
                <w:sz w:val="17"/>
                <w:szCs w:val="17"/>
                <w:color w:val="auto"/>
              </w:rPr>
            </w:pPr>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7040" w:type="dxa"/>
            <w:vAlign w:val="bottom"/>
            <w:gridSpan w:val="17"/>
          </w:tcPr>
          <w:p>
            <w:pPr>
              <w:spacing w:after="0" w:line="196"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Management’s Discussion and Analysis of Financial Condition and Results of Operations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704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704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52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Part II—OTHER INFORMATION</w:t>
              </w:r>
            </w:hyperlink>
          </w:p>
        </w:tc>
        <w:tc>
          <w:tcPr>
            <w:tcW w:w="5360" w:type="dxa"/>
            <w:vAlign w:val="bottom"/>
            <w:gridSpan w:val="12"/>
          </w:tcPr>
          <w:p>
            <w:pPr>
              <w:spacing w:after="0"/>
              <w:rPr>
                <w:sz w:val="24"/>
                <w:szCs w:val="24"/>
                <w:color w:val="auto"/>
              </w:rPr>
            </w:pPr>
          </w:p>
        </w:tc>
        <w:tc>
          <w:tcPr>
            <w:tcW w:w="960" w:type="dxa"/>
            <w:vAlign w:val="bottom"/>
          </w:tcPr>
          <w:p>
            <w:pPr>
              <w:jc w:val="center"/>
              <w:ind w:left="51"/>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1.</w:t>
              </w:r>
            </w:hyperlink>
          </w:p>
        </w:tc>
        <w:tc>
          <w:tcPr>
            <w:tcW w:w="704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960" w:type="dxa"/>
            <w:vAlign w:val="bottom"/>
          </w:tcPr>
          <w:p>
            <w:pPr>
              <w:jc w:val="center"/>
              <w:ind w:left="51"/>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Item 1A.</w:t>
              </w:r>
            </w:hyperlink>
          </w:p>
        </w:tc>
        <w:tc>
          <w:tcPr>
            <w:tcW w:w="200" w:type="dxa"/>
            <w:vAlign w:val="bottom"/>
          </w:tcPr>
          <w:p>
            <w:pPr>
              <w:spacing w:after="0"/>
              <w:rPr>
                <w:sz w:val="17"/>
                <w:szCs w:val="17"/>
                <w:color w:val="auto"/>
              </w:rPr>
            </w:pPr>
          </w:p>
        </w:tc>
        <w:tc>
          <w:tcPr>
            <w:tcW w:w="7040" w:type="dxa"/>
            <w:vAlign w:val="bottom"/>
            <w:gridSpan w:val="1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200" w:type="dxa"/>
            <w:vAlign w:val="bottom"/>
          </w:tcPr>
          <w:p>
            <w:pPr>
              <w:spacing w:after="0"/>
              <w:rPr>
                <w:sz w:val="17"/>
                <w:szCs w:val="17"/>
                <w:color w:val="auto"/>
              </w:rPr>
            </w:pPr>
          </w:p>
        </w:tc>
        <w:tc>
          <w:tcPr>
            <w:tcW w:w="7040" w:type="dxa"/>
            <w:vAlign w:val="bottom"/>
            <w:gridSpan w:val="1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704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Defaults Upon Senior Securities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72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704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28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5.</w:t>
              </w:r>
            </w:hyperlink>
          </w:p>
        </w:tc>
        <w:tc>
          <w:tcPr>
            <w:tcW w:w="704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72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6.</w:t>
              </w:r>
            </w:hyperlink>
          </w:p>
        </w:tc>
        <w:tc>
          <w:tcPr>
            <w:tcW w:w="704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80" w:type="dxa"/>
            <w:vAlign w:val="bottom"/>
            <w:gridSpan w:val="1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4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6"/>
        </w:trPr>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20" w:top="125" w:right="129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440" w:right="162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(In millions, except per-share amounts) (Unaudited)</w:t>
      </w:r>
    </w:p>
    <w:p>
      <w:pPr>
        <w:spacing w:after="0" w:line="185"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Three Months Ended</w:t>
      </w:r>
    </w:p>
    <w:p>
      <w:pPr>
        <w:ind w:left="76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370.0</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Equity in income of related party Terminal Joint Venture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gain in prior service cost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rPr>
              <w:t>Amortization of prior service cost included in net periodic pension cost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net loss included in net periodic pension cost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adjustments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Other Comprehensive Income</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Basic Earnings Per-Share: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0.16</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80" w:type="dxa"/>
            <w:vAlign w:val="bottom"/>
          </w:tcPr>
          <w:p>
            <w:pPr>
              <w:jc w:val="center"/>
              <w:ind w:left="205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900" w:type="dxa"/>
            <w:vAlign w:val="bottom"/>
            <w:gridSpan w:val="2"/>
          </w:tcPr>
          <w:p>
            <w:pPr>
              <w:jc w:val="right"/>
              <w:ind w:right="22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Current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Investment in related party Terminal Joint Venture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Capital Construction Fund - cash on deposit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costs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assets</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assets</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r>
              <w:rPr>
                <w:rFonts w:ascii="Arial" w:cs="Arial" w:eastAsia="Arial" w:hAnsi="Arial"/>
                <w:sz w:val="18"/>
                <w:szCs w:val="18"/>
                <w:u w:val="single" w:color="auto"/>
                <w:color w:val="auto"/>
              </w:rPr>
              <w:t>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Accruals and other liabilities</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Long-term Liabilities: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benefit plans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Uninsured claims and related liabilities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Multi-employer withdrawal liability</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long-term liabilities</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Shareholders’ Equity: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1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216"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Three Months Ended</w:t>
      </w:r>
    </w:p>
    <w:p>
      <w:pPr>
        <w:ind w:left="75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Reconciling adjustments: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00"/>
              <w:spacing w:after="0"/>
              <w:rPr>
                <w:sz w:val="20"/>
                <w:szCs w:val="20"/>
                <w:color w:val="auto"/>
              </w:rPr>
            </w:pPr>
            <w:r>
              <w:rPr>
                <w:rFonts w:ascii="Arial" w:cs="Arial" w:eastAsia="Arial" w:hAnsi="Arial"/>
                <w:sz w:val="16"/>
                <w:szCs w:val="16"/>
                <w:color w:val="auto"/>
              </w:rPr>
              <w:t>Share-based compensation expense</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Equity in income of related party Terminal Joint Venture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0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assets and liabilities: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dry-docking payments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00"/>
              <w:spacing w:after="0"/>
              <w:rPr>
                <w:sz w:val="20"/>
                <w:szCs w:val="20"/>
                <w:color w:val="auto"/>
              </w:rPr>
            </w:pPr>
            <w:r>
              <w:rPr>
                <w:rFonts w:ascii="Arial" w:cs="Arial" w:eastAsia="Arial" w:hAnsi="Arial"/>
                <w:sz w:val="16"/>
                <w:szCs w:val="16"/>
                <w:color w:val="auto"/>
              </w:rPr>
              <w:t>Deferred dry-docking amortization</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00"/>
              <w:spacing w:after="0"/>
              <w:rPr>
                <w:sz w:val="20"/>
                <w:szCs w:val="20"/>
                <w:color w:val="auto"/>
              </w:rPr>
            </w:pPr>
            <w:r>
              <w:rPr>
                <w:rFonts w:ascii="Arial" w:cs="Arial" w:eastAsia="Arial" w:hAnsi="Arial"/>
                <w:sz w:val="16"/>
                <w:szCs w:val="16"/>
                <w:color w:val="auto"/>
              </w:rPr>
              <w:t>Accounts payable, accruals and other liabilities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expenditures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Capitalized vessel construction expenditures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disposal of property and equipment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Cash deposits into Capital Construction Fund</w:t>
            </w:r>
          </w:p>
        </w:tc>
        <w:tc>
          <w:tcPr>
            <w:tcW w:w="20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Repayments of debt and capital leases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revolving credit facility</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Repayments of revolving credit facility</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issuance of capital stock</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 of Matson common stock</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gridSpan w:val="2"/>
          </w:tcPr>
          <w:p>
            <w:pPr>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the Period</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spacing w:after="0"/>
              <w:rPr>
                <w:sz w:val="20"/>
                <w:szCs w:val="20"/>
                <w:color w:val="auto"/>
              </w:rPr>
            </w:pPr>
            <w:r>
              <w:rPr>
                <w:rFonts w:ascii="Arial" w:cs="Arial" w:eastAsia="Arial" w:hAnsi="Arial"/>
                <w:sz w:val="16"/>
                <w:szCs w:val="16"/>
                <w:color w:val="auto"/>
              </w:rPr>
              <w:t>Cash and Cash Equivalents, End of the Period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19.5</w:t>
            </w:r>
          </w:p>
        </w:tc>
        <w:tc>
          <w:tcPr>
            <w:tcW w:w="2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Supplemental Cash Flow Information:</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paid, net of capitalized interest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Income tax paid (refund)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Non-cash Information:</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580" w:hanging="577"/>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provides services to various islands in the South Pacific. In addition, subsidiaries of MatNav provide container stevedoring, container equipment maintenance and other terminal services for MatNav and other ocean carriers on the Hawaiian islands of Oahu, Hawaii, Maui and Kauai, and in the Alaska locations of Anchorage, Kodiak and Dutch Harbor. Matson's fleet of 22 owned vessels and five chartered vessels includes containerships, combination container and roll-on/roll-off ships and custom-designed barges.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a subsidiary of Carrix, Inc. SSAT provides terminal and stevedoring services to various carriers at six terminal facilities on the U.S. West Coast, including to MatNav at three of those facilities (“Terminal Joint Venture”). Matson records its share of income in the Terminal Joint Venture in operating costs in the Condensed Consolidated Statements of Income and Comprehensive Income, and within the Ocean Transportation segment due to the nature of SSAT’s operations.</w:t>
      </w:r>
    </w:p>
    <w:p>
      <w:pPr>
        <w:spacing w:after="0" w:line="1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 services to its customers including: (i) multimodal transportation brokerage of domestic and international rail intermodal service, long-haul and regional highway trucking services, specialized hauling, flat-bed and project services, less-than-truckload services, and expedited freight services (collectively "Transportation Brokerage Services"); (ii) less-than-container load consolidation (“LCL”) and freight forwarding services (collectively “Freight Forwarding Services”); (iii) warehousing and distribution services; and (iv) supply chain management and other services.</w:t>
      </w:r>
    </w:p>
    <w:p>
      <w:pPr>
        <w:spacing w:after="0" w:line="178"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i w:val="1"/>
          <w:iCs w:val="1"/>
          <w:color w:val="auto"/>
        </w:rPr>
        <w:t xml:space="preserve">Recent Acquisition: </w:t>
      </w:r>
      <w:r>
        <w:rPr>
          <w:rFonts w:ascii="Arial" w:cs="Arial" w:eastAsia="Arial" w:hAnsi="Arial"/>
          <w:sz w:val="16"/>
          <w:szCs w:val="16"/>
          <w:color w:val="auto"/>
        </w:rPr>
        <w:t>On August 4, 2016, Matson Logistics completed its acquisition of Span Intermediate, LLC (“Span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Alaska”), a market leading provider of LCL consolidation and freight forwarding services to Alaska (the “Span Alaska Acquisition”) (see Note 9,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for additional information on the recent acquisition).</w:t>
      </w:r>
    </w:p>
    <w:p>
      <w:pPr>
        <w:spacing w:after="0" w:line="143" w:lineRule="exact"/>
        <w:rPr>
          <w:sz w:val="20"/>
          <w:szCs w:val="20"/>
          <w:color w:val="auto"/>
        </w:rPr>
      </w:pPr>
    </w:p>
    <w:p>
      <w:pPr>
        <w:ind w:left="580" w:hanging="577"/>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620"/>
        <w:spacing w:after="0" w:line="291"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Condensed Consolidated Financial Statements are unaudited, and include the accounts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Matson, Inc. and all wholly-owned subsidiaries, after elimination of significant intercompany amounts and</w:t>
      </w:r>
    </w:p>
    <w:p>
      <w:pPr>
        <w:ind w:right="20"/>
        <w:spacing w:after="0" w:line="270" w:lineRule="auto"/>
        <w:rPr>
          <w:sz w:val="20"/>
          <w:szCs w:val="20"/>
          <w:color w:val="auto"/>
        </w:rPr>
      </w:pPr>
      <w:r>
        <w:rPr>
          <w:rFonts w:ascii="Arial" w:cs="Arial" w:eastAsia="Arial" w:hAnsi="Arial"/>
          <w:sz w:val="17"/>
          <w:szCs w:val="17"/>
          <w:color w:val="auto"/>
        </w:rPr>
        <w:t>transactions.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 The Company accounts for its investment in the Terminal Joint Venture using the equity method of accounting. The Condensed Consolidated Financial Statements include the accounts and activities of Span Alaska from the acquisition date on August 4, 2016 (see Note 9).</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Due to the nature of the Company’s operations, including the acquisition of Span Alaska on August 4, 2016,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Consolidated Financial Statements and notes thereto included in the Company’s Annual Report on Form 10-K for the year ended December 31, 2016, filed with the Securities and Exchange Commission (“SEC”) on February 24, 2017.</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Fiscal Period: </w:t>
      </w:r>
      <w:r>
        <w:rPr>
          <w:rFonts w:ascii="Arial" w:cs="Arial" w:eastAsia="Arial" w:hAnsi="Arial"/>
          <w:sz w:val="18"/>
          <w:szCs w:val="18"/>
          <w:color w:val="auto"/>
        </w:rPr>
        <w:t>The period end for Matson, Inc. is March 31, 2017. The period end for MatNav and its subsidiaries covered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occurred on the last Friday in March, or March 31, 2017, for the first quarter 2017.</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included in Item 8 of the Company’s Annual Report filed on Form 10-K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Property and equipment at March 31, 2017 and December 31, 2016 includes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Vessels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1,420.6</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construction in progress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Accumulated Deprecation</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Vessel construction in progress includes capitalized interest of $4.1 million and $2.9 million at March 31, 2017 and December 31,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Changes in goodwill for the three months ended March 31, 2017 and 2016 consist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Ocean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4"/>
              </w:rPr>
              <w:t>Logistics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Ocean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4"/>
              </w:rPr>
              <w:t>Logistics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3360" w:type="dxa"/>
            <w:vAlign w:val="bottom"/>
          </w:tcPr>
          <w:p>
            <w:pPr>
              <w:spacing w:after="0"/>
              <w:rPr>
                <w:sz w:val="24"/>
                <w:szCs w:val="24"/>
                <w:color w:val="auto"/>
              </w:rPr>
            </w:pPr>
          </w:p>
        </w:tc>
        <w:tc>
          <w:tcPr>
            <w:tcW w:w="2620" w:type="dxa"/>
            <w:vAlign w:val="bottom"/>
          </w:tcPr>
          <w:p>
            <w:pPr>
              <w:jc w:val="right"/>
              <w:ind w:right="131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Intangible Assets, Net: </w:t>
      </w:r>
      <w:r>
        <w:rPr>
          <w:rFonts w:ascii="Arial" w:cs="Arial" w:eastAsia="Arial" w:hAnsi="Arial"/>
          <w:sz w:val="18"/>
          <w:szCs w:val="18"/>
          <w:color w:val="auto"/>
        </w:rPr>
        <w:t>Intangible assets at March 31, 2017 and December 31, 2016 include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Ocean Transportation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140.6</w:t>
            </w:r>
          </w:p>
        </w:tc>
        <w:tc>
          <w:tcPr>
            <w:tcW w:w="220" w:type="dxa"/>
            <w:vAlign w:val="bottom"/>
          </w:tcPr>
          <w:p>
            <w:pPr>
              <w:spacing w:after="0"/>
              <w:rPr>
                <w:sz w:val="18"/>
                <w:szCs w:val="18"/>
                <w:color w:val="auto"/>
              </w:rPr>
            </w:pPr>
          </w:p>
        </w:tc>
        <w:tc>
          <w:tcPr>
            <w:tcW w:w="220" w:type="dxa"/>
            <w:vAlign w:val="bottom"/>
            <w:gridSpan w:val="2"/>
          </w:tcPr>
          <w:p>
            <w:pPr>
              <w:jc w:val="right"/>
              <w:ind w:right="7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0"/>
        </w:trPr>
        <w:tc>
          <w:tcPr>
            <w:tcW w:w="6600" w:type="dxa"/>
            <w:vAlign w:val="bottom"/>
          </w:tcPr>
          <w:p>
            <w:pPr>
              <w:ind w:left="120"/>
              <w:spacing w:after="0"/>
              <w:rPr>
                <w:sz w:val="20"/>
                <w:szCs w:val="20"/>
                <w:color w:val="auto"/>
              </w:rPr>
            </w:pPr>
            <w:r>
              <w:rPr>
                <w:rFonts w:ascii="Arial" w:cs="Arial" w:eastAsia="Arial" w:hAnsi="Arial"/>
                <w:sz w:val="18"/>
                <w:szCs w:val="18"/>
                <w:color w:val="auto"/>
              </w:rPr>
              <w:t>Total Customer Relationships, net</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Trade name - Logistics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0" w:type="dxa"/>
            <w:vAlign w:val="bottom"/>
          </w:tcPr>
          <w:p>
            <w:pPr>
              <w:ind w:left="120"/>
              <w:spacing w:after="0"/>
              <w:rPr>
                <w:sz w:val="20"/>
                <w:szCs w:val="20"/>
                <w:color w:val="auto"/>
              </w:rPr>
            </w:pPr>
            <w:r>
              <w:rPr>
                <w:rFonts w:ascii="Arial" w:cs="Arial" w:eastAsia="Arial" w:hAnsi="Arial"/>
                <w:sz w:val="18"/>
                <w:szCs w:val="18"/>
                <w:color w:val="auto"/>
              </w:rPr>
              <w:t>Total Intangible Assets, net</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b w:val="1"/>
          <w:bCs w:val="1"/>
          <w:i w:val="1"/>
          <w:iCs w:val="1"/>
          <w:color w:val="auto"/>
        </w:rPr>
        <w:t xml:space="preserve">Capital Construction Fund: </w:t>
      </w:r>
      <w:r>
        <w:rPr>
          <w:rFonts w:ascii="Arial" w:cs="Arial" w:eastAsia="Arial" w:hAnsi="Arial"/>
          <w:sz w:val="16"/>
          <w:szCs w:val="16"/>
          <w:color w:val="auto"/>
        </w:rPr>
        <w:t>The Company’s Capital Construction Fund (“CCF”) is described in Note 7 to the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included in Item 8 of the Company’s Annual Report filed on Form 10-K for the year ended December 31, 2016. As of March 31, 2017 and December 31, 2016, the following amounts related to the Company’s CCF:</w:t>
      </w:r>
    </w:p>
    <w:tbl>
      <w:tblPr>
        <w:tblLayout w:type="fixed"/>
        <w:tblInd w:w="0" w:type="dxa"/>
        <w:tblCellMar>
          <w:top w:w="0" w:type="dxa"/>
          <w:left w:w="0" w:type="dxa"/>
          <w:bottom w:w="0" w:type="dxa"/>
          <w:right w:w="0" w:type="dxa"/>
        </w:tblCellMar>
      </w:tblPr>
      <w:tr>
        <w:trPr>
          <w:trHeight w:val="140"/>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99"/>
              <w:spacing w:after="0" w:line="140"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2"/>
                <w:szCs w:val="12"/>
                <w:color w:val="auto"/>
              </w:rPr>
            </w:pPr>
          </w:p>
        </w:tc>
        <w:tc>
          <w:tcPr>
            <w:tcW w:w="1080" w:type="dxa"/>
            <w:vAlign w:val="bottom"/>
            <w:gridSpan w:val="3"/>
          </w:tcPr>
          <w:p>
            <w:pPr>
              <w:ind w:left="40"/>
              <w:spacing w:after="0" w:line="140"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Capital Construction Fund: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Cash on deposit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31.2</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Assigned accounts receivables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Amount on deposit in the CCF are held in a money market account and classified as long-term assets in the Company’s Condensed Consolidated Balance Sheets, as the Company intends to use qualified cash withdrawals to fund long-term investment in the construction of new vessels. There were no deposits or qualifying cash withdrawals made from the CCF during the three months ended March 31, 2017. During the three months ended March 31, 2016, the Company deposited $12.5 million into the CCF, and there were no qualifying cash withdrawals. Eligible accounts receivable that are assigned into the CCF are classified as part of accounts receivable, net in the Condensed Consolidated Financial Statements due to the nature of the assignment.</w:t>
      </w:r>
    </w:p>
    <w:p>
      <w:pPr>
        <w:spacing w:after="0" w:line="17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i w:val="1"/>
          <w:iCs w:val="1"/>
          <w:color w:val="auto"/>
        </w:rPr>
        <w:t xml:space="preserve">Accumulated Other Comprehensive Loss: </w:t>
      </w:r>
      <w:r>
        <w:rPr>
          <w:rFonts w:ascii="Arial" w:cs="Arial" w:eastAsia="Arial" w:hAnsi="Arial"/>
          <w:sz w:val="18"/>
          <w:szCs w:val="18"/>
          <w:color w:val="auto"/>
        </w:rPr>
        <w:t>Changes in accumulated other comprehensive loss by component, net of tax,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2017 and 2016 are as follows (in millions):</w:t>
      </w:r>
    </w:p>
    <w:tbl>
      <w:tblPr>
        <w:tblLayout w:type="fixed"/>
        <w:tblInd w:w="0" w:type="dxa"/>
        <w:tblCellMar>
          <w:top w:w="0" w:type="dxa"/>
          <w:left w:w="0" w:type="dxa"/>
          <w:bottom w:w="0" w:type="dxa"/>
          <w:right w:w="0" w:type="dxa"/>
        </w:tblCellMar>
      </w:tblPr>
      <w:tr>
        <w:trPr>
          <w:trHeight w:val="141"/>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8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5"/>
              </w:rPr>
              <w:t>Post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Pensions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Qualified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1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Retirement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5"/>
              <w:spacing w:after="0"/>
              <w:rPr>
                <w:sz w:val="20"/>
                <w:szCs w:val="20"/>
                <w:color w:val="auto"/>
              </w:rPr>
            </w:pPr>
            <w:r>
              <w:rPr>
                <w:rFonts w:ascii="Arial" w:cs="Arial" w:eastAsia="Arial" w:hAnsi="Arial"/>
                <w:sz w:val="14"/>
                <w:szCs w:val="14"/>
                <w:b w:val="1"/>
                <w:bCs w:val="1"/>
                <w:color w:val="auto"/>
                <w:w w:val="85"/>
              </w:rPr>
              <w:t>Plans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adjustments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5"/>
              </w:rPr>
              <w:t>Post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Pensions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Qualified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1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Retirement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5"/>
              <w:spacing w:after="0"/>
              <w:rPr>
                <w:sz w:val="20"/>
                <w:szCs w:val="20"/>
                <w:color w:val="auto"/>
              </w:rPr>
            </w:pPr>
            <w:r>
              <w:rPr>
                <w:rFonts w:ascii="Arial" w:cs="Arial" w:eastAsia="Arial" w:hAnsi="Arial"/>
                <w:sz w:val="14"/>
                <w:szCs w:val="14"/>
                <w:b w:val="1"/>
                <w:bCs w:val="1"/>
                <w:color w:val="auto"/>
                <w:w w:val="85"/>
              </w:rPr>
              <w:t>Plans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Net gain in prior service costs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i w:val="1"/>
          <w:iCs w:val="1"/>
          <w:color w:val="auto"/>
        </w:rPr>
        <w:t>Environmental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ocean transportation business has certain risks that could result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expenditures for environmental remediation. The Company believes that based on all information available to it, the Company is currently in compliance, in all material respects, with applicable environmental laws and regulations.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 xml:space="preserve">Reclassifications: </w:t>
      </w:r>
      <w:r>
        <w:rPr>
          <w:rFonts w:ascii="Arial" w:cs="Arial" w:eastAsia="Arial" w:hAnsi="Arial"/>
          <w:sz w:val="17"/>
          <w:szCs w:val="17"/>
          <w:color w:val="auto"/>
        </w:rPr>
        <w:t>Amounts in changes in assets and liabilities within operating activities of the cash flow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March 31, 2016, have been reclassified to conform to the current period presentation.</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New Accounting Pronouncements: </w:t>
      </w:r>
      <w:r>
        <w:rPr>
          <w:rFonts w:ascii="Arial" w:cs="Arial" w:eastAsia="Arial" w:hAnsi="Arial"/>
          <w:sz w:val="18"/>
          <w:szCs w:val="18"/>
          <w:i w:val="1"/>
          <w:iCs w:val="1"/>
          <w:color w:val="auto"/>
        </w:rPr>
        <w:t>Share-Based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adopted Accounting Standards Update (“ASU”)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2016-09, “</w:t>
      </w:r>
      <w:r>
        <w:rPr>
          <w:rFonts w:ascii="Arial" w:cs="Arial" w:eastAsia="Arial" w:hAnsi="Arial"/>
          <w:sz w:val="18"/>
          <w:szCs w:val="18"/>
          <w:i w:val="1"/>
          <w:iCs w:val="1"/>
          <w:color w:val="auto"/>
        </w:rPr>
        <w:t>Compensation - Stock Compensation (Topic 718): Improvements to Employee Share-Based Payment Accounting</w:t>
      </w:r>
      <w:r>
        <w:rPr>
          <w:rFonts w:ascii="Arial" w:cs="Arial" w:eastAsia="Arial" w:hAnsi="Arial"/>
          <w:sz w:val="18"/>
          <w:szCs w:val="18"/>
          <w:color w:val="auto"/>
        </w:rPr>
        <w:t>” (“ASU 2016-09”) during the first quarter of 2017. ASU 2016-09 simplified several aspects of the accounting for share-based payment award transactions, including: (a) income tax consequences; (b) classification of awards as either equity or liabilities; and (c) classification on the statement of cash flows. The adoption of ASU 2016-09 did not have a material impact on the Company’s Condensed Consolidated Financial Statements for the three months ended March 31, 2017, and the cumulative effect adjustments to beginning retained earnings and other components of shareholders’ equity as of the date of adoption were immaterial.</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May 2014, the Financial Accounting Standards Board (“FASB”) issued ASU</w:t>
      </w:r>
      <w:r>
        <w:rPr>
          <w:rFonts w:ascii="Arial" w:cs="Arial" w:eastAsia="Arial" w:hAnsi="Arial"/>
          <w:sz w:val="17"/>
          <w:szCs w:val="17"/>
          <w:i w:val="1"/>
          <w:iCs w:val="1"/>
          <w:color w:val="auto"/>
        </w:rPr>
        <w:t xml:space="preserve"> </w:t>
      </w:r>
      <w:r>
        <w:rPr>
          <w:rFonts w:ascii="Arial" w:cs="Arial" w:eastAsia="Arial" w:hAnsi="Arial"/>
          <w:sz w:val="17"/>
          <w:szCs w:val="17"/>
          <w:color w:val="auto"/>
        </w:rPr>
        <w:t>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2014-09”). The guidance establishes principles regarding the nature, timing, and uncertainty of revenue from contracts with customers. It removes inconsistencies in existing revenue requirements, provides a more robust framework for addressing revenue issues and improves comparability of revenue recognition practices across entities, industries, jurisdictions and capital markets. The guidance will be effective for interim and annual reporting periods beginning after December 15, 2017.</w:t>
      </w:r>
    </w:p>
    <w:p>
      <w:pPr>
        <w:spacing w:after="0" w:line="17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is in the process of evaluating the impact of adopting ASU 2014-19 on its Consolidated Financial Statements. The Company is currently reviewing customer contracts in each of its operating segments for all services provided, assessing the impact of applying ASU 2014-19, and comparing this to the Company’s historical revenue recognition criteria. Based upon the preliminary review of customer contracts, the Company believes that the Company’s revenue recognition policies are consistent with the requirements of ASU 2014-19. While the Company continues to assess all potential impacts of adopting ASU 2014-19, based upon information available to date, the Company does not expect the adoption of ASU 2014-19 to have a significant impact either on the timing or recognition of Ocean Transportation and Logistics revenues.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which requires lessees to</w:t>
      </w:r>
      <w:r>
        <w:rPr>
          <w:rFonts w:ascii="Arial" w:cs="Arial" w:eastAsia="Arial" w:hAnsi="Arial"/>
          <w:sz w:val="18"/>
          <w:szCs w:val="18"/>
          <w:i w:val="1"/>
          <w:iCs w:val="1"/>
          <w:color w:val="auto"/>
        </w:rPr>
        <w:t xml:space="preserve"> </w:t>
      </w:r>
      <w:r>
        <w:rPr>
          <w:rFonts w:ascii="Arial" w:cs="Arial" w:eastAsia="Arial" w:hAnsi="Arial"/>
          <w:sz w:val="18"/>
          <w:szCs w:val="18"/>
          <w:color w:val="auto"/>
        </w:rPr>
        <w:t>record most leases in their balance sheets but recognize the expenses on their income statements in a manner similar to current practice. ASU 2016-02 states that a lessee would recognize a lease liability for the obligation to make lease payments, and a right-of-use asset for the underlying leased asset for the period of the lease term. The guidance will be effective for interim and annual periods beginning after December 15, 2018 and early adoption is permitted. The Company is in the process of evaluating this guidance.</w:t>
      </w:r>
    </w:p>
    <w:p>
      <w:pPr>
        <w:spacing w:after="0" w:line="189" w:lineRule="exact"/>
        <w:rPr>
          <w:sz w:val="20"/>
          <w:szCs w:val="20"/>
          <w:color w:val="auto"/>
        </w:rPr>
      </w:pPr>
    </w:p>
    <w:p>
      <w:pPr>
        <w:ind w:left="580" w:hanging="577"/>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right="160" w:firstLine="3"/>
        <w:spacing w:after="0" w:line="271" w:lineRule="auto"/>
        <w:tabs>
          <w:tab w:leader="none" w:pos="225"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been an integral part of the Company’s Ocean Transportation business.</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Ocean Transportation segment provides ocean transportation services to the Logistics segment. Accordingly, inter-segment revenue of $8.7 million and $1.7 million for the three months ended March 31, 2017 and March 31, 2016, respectively, have been eliminated from the Logistics segment in the table below.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results for the three months ended March 31, 2017 and 2016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370.0</w:t>
            </w:r>
          </w:p>
        </w:tc>
        <w:tc>
          <w:tcPr>
            <w:tcW w:w="20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366.1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Revenue</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454.2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gridSpan w:val="2"/>
          </w:tcPr>
          <w:p>
            <w:pPr>
              <w:ind w:left="440"/>
              <w:spacing w:after="0"/>
              <w:rPr>
                <w:sz w:val="20"/>
                <w:szCs w:val="20"/>
                <w:color w:val="auto"/>
              </w:rPr>
            </w:pPr>
            <w:r>
              <w:rPr>
                <w:rFonts w:ascii="Arial" w:cs="Arial" w:eastAsia="Arial" w:hAnsi="Arial"/>
                <w:sz w:val="18"/>
                <w:szCs w:val="18"/>
                <w:color w:val="auto"/>
              </w:rPr>
              <w:t>Total Operating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gridSpan w:val="2"/>
          </w:tcPr>
          <w:p>
            <w:pPr>
              <w:ind w:left="4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(1) Logistics operating results include Span Alaska operating results from the date of acquisition on August 4, 2016.</w:t>
      </w:r>
    </w:p>
    <w:p>
      <w:pPr>
        <w:spacing w:after="0" w:line="260" w:lineRule="exact"/>
        <w:rPr>
          <w:sz w:val="20"/>
          <w:szCs w:val="20"/>
          <w:color w:val="auto"/>
        </w:rPr>
      </w:pPr>
    </w:p>
    <w:p>
      <w:pPr>
        <w:ind w:left="580" w:hanging="577"/>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2017 and December 31, 2016, the Company’s debt consisted of the followings: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2"/>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5.79 %, payable through 2020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w:t>
            </w:r>
          </w:p>
        </w:tc>
        <w:tc>
          <w:tcPr>
            <w:tcW w:w="42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3.66 %, payable through 2023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4.16 %, payable through 2027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3.37 %, payable through 2027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3.14 %, payable through 2031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4.31 %, payable through 2032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4.35 %, payable through 2044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3.92 %, payable through 2045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Title XI Bonds: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5.34 %, payable through 2028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5.27 %, payable through 2029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 leases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debt is described in Note 8 to the Consolidated Financial Statements included in Item 8 of the Company’s Annual Report filed on Form 10-K for the year ended December 31, 2016.</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b w:val="1"/>
          <w:bCs w:val="1"/>
          <w:i w:val="1"/>
          <w:iCs w:val="1"/>
          <w:color w:val="auto"/>
        </w:rPr>
        <w:t xml:space="preserve">Revolving Credit Facility: </w:t>
      </w:r>
      <w:r>
        <w:rPr>
          <w:rFonts w:ascii="Arial" w:cs="Arial" w:eastAsia="Arial" w:hAnsi="Arial"/>
          <w:sz w:val="16"/>
          <w:szCs w:val="16"/>
          <w:color w:val="auto"/>
        </w:rPr>
        <w:t>Borrowings under the revolving credit facility are classified as long-term debt in the Condensed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Balance Sheet, as principal payments are not required until maturity date of July 30, 2020. As of March 31, 2017, the Company had $290.4 million of remaining availability under the revolving credit facility. The interest rate on borrowings under the revolving credit facility approximated 2.19 percent during the three months ended March 31, 2017.</w:t>
      </w:r>
    </w:p>
    <w:p>
      <w:pPr>
        <w:spacing w:after="0" w:line="150" w:lineRule="exact"/>
        <w:rPr>
          <w:sz w:val="20"/>
          <w:szCs w:val="20"/>
          <w:color w:val="auto"/>
        </w:rPr>
      </w:pPr>
    </w:p>
    <w:p>
      <w:pPr>
        <w:ind w:left="580" w:hanging="577"/>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40"/>
        <w:spacing w:after="0" w:line="312" w:lineRule="auto"/>
        <w:rPr>
          <w:sz w:val="20"/>
          <w:szCs w:val="20"/>
          <w:color w:val="auto"/>
        </w:rPr>
      </w:pPr>
      <w:r>
        <w:rPr>
          <w:rFonts w:ascii="Arial" w:cs="Arial" w:eastAsia="Arial" w:hAnsi="Arial"/>
          <w:sz w:val="16"/>
          <w:szCs w:val="16"/>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uses Level 1 inputs for the fair values of its cash equivalents, and Level 2 inputs for its accounts receivable, CCF – cash on deposit, and variable and fixed rate debt. The fair values of cash and cash equivalents, accounts receivable, CCF – cash on deposit,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1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March 31, 2017 and December 31, 2016 are as follows:</w:t>
      </w:r>
    </w:p>
    <w:tbl>
      <w:tblPr>
        <w:tblLayout w:type="fixed"/>
        <w:tblInd w:w="0" w:type="dxa"/>
        <w:tblCellMar>
          <w:top w:w="0" w:type="dxa"/>
          <w:left w:w="0" w:type="dxa"/>
          <w:bottom w:w="0" w:type="dxa"/>
          <w:right w:w="0" w:type="dxa"/>
        </w:tblCellMar>
      </w:tblPr>
      <w:tr>
        <w:trPr>
          <w:trHeight w:val="141"/>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2"/>
                <w:szCs w:val="12"/>
                <w:color w:val="auto"/>
              </w:rPr>
            </w:pPr>
          </w:p>
        </w:tc>
        <w:tc>
          <w:tcPr>
            <w:tcW w:w="920" w:type="dxa"/>
            <w:vAlign w:val="bottom"/>
          </w:tcPr>
          <w:p>
            <w:pPr>
              <w:jc w:val="center"/>
              <w:ind w:right="55"/>
              <w:spacing w:after="0" w:line="141" w:lineRule="exact"/>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2"/>
                <w:szCs w:val="12"/>
                <w:color w:val="auto"/>
              </w:rPr>
            </w:pPr>
          </w:p>
        </w:tc>
        <w:tc>
          <w:tcPr>
            <w:tcW w:w="9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9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Carrying Value</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92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2"/>
                <w:szCs w:val="12"/>
                <w:color w:val="auto"/>
              </w:rPr>
            </w:pPr>
          </w:p>
        </w:tc>
        <w:tc>
          <w:tcPr>
            <w:tcW w:w="9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center"/>
              <w:ind w:right="12"/>
              <w:spacing w:after="0" w:line="142" w:lineRule="exact"/>
              <w:rPr>
                <w:sz w:val="20"/>
                <w:szCs w:val="20"/>
                <w:color w:val="auto"/>
              </w:rPr>
            </w:pPr>
            <w:r>
              <w:rPr>
                <w:rFonts w:ascii="Arial" w:cs="Arial" w:eastAsia="Arial" w:hAnsi="Arial"/>
                <w:sz w:val="14"/>
                <w:szCs w:val="14"/>
                <w:b w:val="1"/>
                <w:bCs w:val="1"/>
                <w:color w:val="auto"/>
                <w:w w:val="94"/>
              </w:rPr>
              <w:t>March 31, 2017</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400" w:type="dxa"/>
            <w:vAlign w:val="bottom"/>
            <w:tcBorders>
              <w:top w:val="single" w:sz="8" w:color="auto"/>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Fair Value Measurements at March 31, 2017</w:t>
            </w:r>
          </w:p>
        </w:tc>
        <w:tc>
          <w:tcPr>
            <w:tcW w:w="8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197.9</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197.9</w:t>
            </w:r>
          </w:p>
        </w:tc>
        <w:tc>
          <w:tcPr>
            <w:tcW w:w="2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CCF - cash on deposit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Variable rate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99.0</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99.0</w:t>
            </w:r>
          </w:p>
        </w:tc>
        <w:tc>
          <w:tcPr>
            <w:tcW w:w="2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674.9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674.9</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2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 2016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8"/>
          </w:tcPr>
          <w:p>
            <w:pPr>
              <w:ind w:left="560"/>
              <w:spacing w:after="0"/>
              <w:rPr>
                <w:sz w:val="20"/>
                <w:szCs w:val="20"/>
                <w:color w:val="auto"/>
              </w:rPr>
            </w:pPr>
            <w:r>
              <w:rPr>
                <w:rFonts w:ascii="Arial" w:cs="Arial" w:eastAsia="Arial" w:hAnsi="Arial"/>
                <w:sz w:val="14"/>
                <w:szCs w:val="14"/>
                <w:b w:val="1"/>
                <w:bCs w:val="1"/>
                <w:color w:val="auto"/>
              </w:rPr>
              <w:t>Fair Value Measurements at December 31, 2016</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189.5</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189.5</w:t>
            </w:r>
          </w:p>
        </w:tc>
        <w:tc>
          <w:tcPr>
            <w:tcW w:w="2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CCF - cash on deposit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Variable rate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55.0</w:t>
            </w:r>
          </w:p>
        </w:tc>
        <w:tc>
          <w:tcPr>
            <w:tcW w:w="2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685.2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80" w:hanging="577"/>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number of shares used to compute basic and diluted earnings per-share for the three months ended March 31, 2017 and 2016, is as follows:</w:t>
      </w:r>
    </w:p>
    <w:tbl>
      <w:tblPr>
        <w:tblLayout w:type="fixed"/>
        <w:tblInd w:w="0" w:type="dxa"/>
        <w:tblCellMar>
          <w:top w:w="0" w:type="dxa"/>
          <w:left w:w="0" w:type="dxa"/>
          <w:bottom w:w="0" w:type="dxa"/>
          <w:right w:w="0" w:type="dxa"/>
        </w:tblCellMar>
      </w:tblPr>
      <w:tr>
        <w:trPr>
          <w:trHeight w:val="141"/>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6"/>
          </w:tcPr>
          <w:p>
            <w:pPr>
              <w:jc w:val="right"/>
              <w:ind w:right="298"/>
              <w:spacing w:after="0" w:line="141" w:lineRule="exact"/>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2"/>
                <w:szCs w:val="12"/>
                <w:color w:val="auto"/>
              </w:rPr>
            </w:pPr>
          </w:p>
        </w:tc>
        <w:tc>
          <w:tcPr>
            <w:tcW w:w="2160" w:type="dxa"/>
            <w:vAlign w:val="bottom"/>
            <w:gridSpan w:val="7"/>
          </w:tcPr>
          <w:p>
            <w:pPr>
              <w:ind w:left="380"/>
              <w:spacing w:after="0" w:line="141"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March 31, 2017</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March 31, 2016</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Per</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5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share amounts)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4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$ 18.1</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(0.01)</w:t>
            </w:r>
          </w:p>
        </w:tc>
        <w:tc>
          <w:tcPr>
            <w:tcW w:w="0" w:type="dxa"/>
            <w:vAlign w:val="bottom"/>
          </w:tcPr>
          <w:p>
            <w:pPr>
              <w:spacing w:after="0"/>
              <w:rPr>
                <w:sz w:val="1"/>
                <w:szCs w:val="1"/>
                <w:color w:val="auto"/>
              </w:rPr>
            </w:pPr>
          </w:p>
        </w:tc>
      </w:tr>
      <w:tr>
        <w:trPr>
          <w:trHeight w:val="217"/>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earnings per-share is determined by dividing net income by the weighted-average common shares outstanding during the period. The calculation of diluted earnings per-share includes the dilutive effect of unexercised non-qualified stock options and non-vested restricted stock units.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computation of weighted-average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 The number of such shares excluded was nominal.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ind w:left="580" w:hanging="577"/>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three months ended March 31, 2017, the Company granted approximately 256,700 in total of time-based restricted stock units and performance-based shares to certain of its employees at a weighted-average grant date fair value of $36.92.</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Total share-based compensation cost recognized in the Condensed Consolidated Statements of Income and Comprehensive Income as a component of selling, general and administrative expenses was $2.6 million and $2.8 million for the three months ended March 31, 2017 and 2016, respectively. Total unrecognized compensation cost related to unvested share-based compensation arrangements was $16.3 million at March 31, 2017, and is expected to be recognized over a weighted-average period of 1.8 years. Total unrecognized compensation cost may be adjusted for any unearned performance shares or forfeited shares.</w:t>
      </w:r>
    </w:p>
    <w:p>
      <w:pPr>
        <w:spacing w:after="0" w:line="189" w:lineRule="exact"/>
        <w:rPr>
          <w:sz w:val="20"/>
          <w:szCs w:val="20"/>
          <w:color w:val="auto"/>
        </w:rPr>
      </w:pPr>
    </w:p>
    <w:p>
      <w:pPr>
        <w:ind w:left="580" w:hanging="577"/>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PLANS</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sponsors qualified defined benefit pension and other post-retirement plans (collectively, the “Plans”). The following table provides the components of net periodic benefit cost (benefit) for the Plans for the three months ended March 31, 2017 and 2016:</w:t>
      </w:r>
    </w:p>
    <w:tbl>
      <w:tblPr>
        <w:tblLayout w:type="fixed"/>
        <w:tblInd w:w="0" w:type="dxa"/>
        <w:tblCellMar>
          <w:top w:w="0" w:type="dxa"/>
          <w:left w:w="0" w:type="dxa"/>
          <w:bottom w:w="0" w:type="dxa"/>
          <w:right w:w="0" w:type="dxa"/>
        </w:tblCellMar>
      </w:tblPr>
      <w:tr>
        <w:trPr>
          <w:trHeight w:val="140"/>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vMerge w:val="restart"/>
          </w:tcPr>
          <w:p>
            <w:pPr>
              <w:jc w:val="right"/>
              <w:ind w:right="293"/>
              <w:spacing w:after="0"/>
              <w:rPr>
                <w:sz w:val="20"/>
                <w:szCs w:val="20"/>
                <w:color w:val="auto"/>
              </w:rPr>
            </w:pPr>
            <w:r>
              <w:rPr>
                <w:rFonts w:ascii="Arial" w:cs="Arial" w:eastAsia="Arial" w:hAnsi="Arial"/>
                <w:sz w:val="14"/>
                <w:szCs w:val="14"/>
                <w:b w:val="1"/>
                <w:bCs w:val="1"/>
                <w:color w:val="auto"/>
              </w:rPr>
              <w:t>Pension Benefits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5"/>
          </w:tcPr>
          <w:p>
            <w:pPr>
              <w:jc w:val="center"/>
              <w:ind w:right="260"/>
              <w:spacing w:after="0" w:line="140" w:lineRule="exact"/>
              <w:rPr>
                <w:sz w:val="20"/>
                <w:szCs w:val="20"/>
                <w:color w:val="auto"/>
              </w:rPr>
            </w:pPr>
            <w:r>
              <w:rPr>
                <w:rFonts w:ascii="Arial" w:cs="Arial" w:eastAsia="Arial" w:hAnsi="Arial"/>
                <w:sz w:val="14"/>
                <w:szCs w:val="14"/>
                <w:b w:val="1"/>
                <w:bCs w:val="1"/>
                <w:color w:val="auto"/>
                <w:w w:val="94"/>
              </w:rPr>
              <w:t>Other Post-</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retirement Benefits</w:t>
            </w: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three months ended March 31, 2017, the Company contributed $3.0 million to its defined benefit pension plans. No further contributions are expected for 2017.</w:t>
      </w:r>
    </w:p>
    <w:p>
      <w:pPr>
        <w:spacing w:after="0" w:line="166" w:lineRule="exact"/>
        <w:rPr>
          <w:sz w:val="20"/>
          <w:szCs w:val="20"/>
          <w:color w:val="auto"/>
        </w:rPr>
      </w:pPr>
    </w:p>
    <w:p>
      <w:pPr>
        <w:ind w:left="580" w:hanging="577"/>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Span Alaska Acquisition: </w:t>
      </w:r>
      <w:r>
        <w:rPr>
          <w:rFonts w:ascii="Arial" w:cs="Arial" w:eastAsia="Arial" w:hAnsi="Arial"/>
          <w:sz w:val="17"/>
          <w:szCs w:val="17"/>
          <w:color w:val="auto"/>
        </w:rPr>
        <w:t>On August 4, 2016 (the “Effective Date”), Matson Logistics completed the purchase of 100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percent of the membership interests of Span Alaska pursuant to the terms of the Membership Interest Purchase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Agreement. At the Effective Date, Span Alaska became a wholly-owned subsidiary of Matson Logistics. Span Alaska is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asset-light logistics company providing freight forwarding services primarily to the Alaska market. Span Alaska consolidates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freight in Auburn, Washington, for shipment to Alaska and distribution through a network of terminals in Anchorage,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Fairbanks, Wasilla, Kenai, Juneau and Kodiak. Span Alaska’s operations are recorded within the Logistics segment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Total consideration for the Span Alaska Acquisition was $198.9 million based on the fair value of membership interests of $117.0 million, and Span Alaska’s debt and accrued interest of $81.9 million. Immediately following the close of the Span Alaska Acquisition, the Company paid the assumed debt.</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Span Alaska Acquisition was accounted for as a business combination in accordance with Accounting Standards Codification (ASC) 805,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(“ASC 805”). The assets acquired and liabilities assumed in the Span Alaska Acquisition were recorded based on fair value estimates as of the Effective Date, with the remaining unallocated purchase price of $78.6 million recorded as goodwill. As of December 31, 2016, the purchase price accounting for the Span Alaska Acquisition was considered final.</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Condensed Consolidated Statements of Income and Comprehensive Income for the three months ended March 31, 2017 include operating revenue of $9.0 million (after elimination of intercompany revenue of $6.1 million), and operating income of $1.0 million, from Span Alaska’s operations. One-time acquisition related costs incurred post December 31, 2016 were not material.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Pro Forma Financial Information (Unaudited): </w:t>
      </w:r>
      <w:r>
        <w:rPr>
          <w:rFonts w:ascii="Arial" w:cs="Arial" w:eastAsia="Arial" w:hAnsi="Arial"/>
          <w:sz w:val="16"/>
          <w:szCs w:val="16"/>
          <w:color w:val="auto"/>
        </w:rPr>
        <w:t>The following unaudited pro forma financial information presents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combined operating results of the Company and Span Alaska, as if the Span Alaska Acquisition had been completed at the beginning of each period presented below. The unaudited pro forma financial information includes the accounting effects of the business combination, including the amortization of intangible assets, depreciation of property and equipment, and interest expense. Unaudited pro forma operating revenue is presented after elimination of intercompany revenue.</w:t>
      </w:r>
    </w:p>
    <w:p>
      <w:pPr>
        <w:spacing w:after="0" w:line="15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unaudited pro forma financial information is presented for informational purposes only and is not indicative of the result of operations that would have been achieved if the Span Alaska Acquisition had taken place at the beginning of the periods presented, nor should it be taken as an indication of our future consolidated results of operations.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297"/>
              <w:spacing w:after="0"/>
              <w:rPr>
                <w:sz w:val="20"/>
                <w:szCs w:val="20"/>
                <w:color w:val="auto"/>
              </w:rPr>
            </w:pPr>
            <w:r>
              <w:rPr>
                <w:rFonts w:ascii="Arial" w:cs="Arial" w:eastAsia="Arial" w:hAnsi="Arial"/>
                <w:sz w:val="14"/>
                <w:szCs w:val="14"/>
                <w:b w:val="1"/>
                <w:bCs w:val="1"/>
                <w:color w:val="auto"/>
                <w:w w:val="95"/>
              </w:rPr>
              <w:t>(Unaudited)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share amount)</w:t>
            </w: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auto"/>
            </w:tcBorders>
            <w:vMerge w:val="continue"/>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3"/>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 Forma Combined:</w:t>
            </w:r>
          </w:p>
        </w:tc>
        <w:tc>
          <w:tcPr>
            <w:tcW w:w="2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Operating revenue</w:t>
            </w:r>
          </w:p>
        </w:tc>
        <w:tc>
          <w:tcPr>
            <w:tcW w:w="3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474.4</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after income tax expense</w:t>
            </w:r>
          </w:p>
        </w:tc>
        <w:tc>
          <w:tcPr>
            <w:tcW w:w="3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Basic Earnings Per-Share:</w:t>
            </w:r>
          </w:p>
        </w:tc>
        <w:tc>
          <w:tcPr>
            <w:tcW w:w="3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3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9"/>
              </w:rPr>
              <w:t>Weighted-Average Number of Shares Outstanding:</w:t>
            </w: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060" w:type="dxa"/>
            <w:vAlign w:val="bottom"/>
          </w:tcPr>
          <w:p>
            <w:pPr>
              <w:spacing w:after="0"/>
              <w:rPr>
                <w:sz w:val="24"/>
                <w:szCs w:val="24"/>
                <w:color w:val="auto"/>
              </w:rPr>
            </w:pPr>
          </w:p>
        </w:tc>
        <w:tc>
          <w:tcPr>
            <w:tcW w:w="2780" w:type="dxa"/>
            <w:vAlign w:val="bottom"/>
          </w:tcPr>
          <w:p>
            <w:pPr>
              <w:jc w:val="right"/>
              <w:ind w:right="213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6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right="120"/>
        <w:spacing w:after="0" w:line="224" w:lineRule="exact"/>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Securities and Exchange Commission (“SEC”) filings, such as the Forms 10-K, 10-Q and 8-K, the Annual Report to Shareholders, press releases made by the Company, the Company’s Internet Web sites (including Web sites of its subsidiaries), and oral statements made by the officers of the Company.</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Company cautions that forward-looking statements are subject to numerous assumptions, risks and uncertainties, which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change over time, including, but not limited to, the factors that are described in Part I, Item 1A under the caption of “Risk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Factors” of Matson’s Annual Report on Form 10-K for the year ended December 31, 2016, filed with the SEC 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2017. Forward-looking statements speak only as of the date they are made, and the Company assumes no duty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and does not undertake to update forward-looking statements. Actual results could differ materially from those anticipated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forward-looking statements and future results could differ materially from historical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filed on Form 10-K for the year ended December 31, 2016, and the Company’s reports filed on Forms 10-Q and 8-K, and other publicly available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Ocean Transportation:</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Hawaii trade experienced modest westbound market growth in the first quarter 2017, but as expected, the Company’s container volume was lower than the first quarter 2016, which benefitted from volume gains associated with a competitor’s service reconfiguration and related issues. The Company expects continued modest market growth in 2017 supported by the general Hawaii economy, the level of construction activity, and a stable market position. As a result, for the full year 2017, the Company expects its Hawaii container volume to approximate the level achieved in 2016.</w:t>
      </w:r>
    </w:p>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China, the Company’s container volume in the first quarter 2017 was 23.4 percent higher year-over-year due to stronger demand for Matson’s expedited service and an additional sailing. The Company continued to realize a sizeable rate premium in the first quarter 2017 and achieved average freight rates modestly higher than the first quarter 2016. In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19"/>
        <w:spacing w:after="0" w:line="277" w:lineRule="auto"/>
        <w:rPr>
          <w:sz w:val="20"/>
          <w:szCs w:val="20"/>
          <w:color w:val="auto"/>
        </w:rPr>
      </w:pPr>
      <w:r>
        <w:rPr>
          <w:rFonts w:ascii="Arial" w:cs="Arial" w:eastAsia="Arial" w:hAnsi="Arial"/>
          <w:sz w:val="18"/>
          <w:szCs w:val="18"/>
          <w:color w:val="auto"/>
        </w:rPr>
        <w:t>2017, the Company expects continued strong demand for our highly differentiated expedited service amid a chronically over-supplied international container shipping market.</w:t>
      </w:r>
    </w:p>
    <w:p>
      <w:pPr>
        <w:spacing w:after="0" w:line="170" w:lineRule="exact"/>
        <w:rPr>
          <w:sz w:val="20"/>
          <w:szCs w:val="20"/>
          <w:color w:val="auto"/>
        </w:rPr>
      </w:pPr>
    </w:p>
    <w:p>
      <w:pPr>
        <w:ind w:right="119"/>
        <w:spacing w:after="0" w:line="259" w:lineRule="auto"/>
        <w:rPr>
          <w:sz w:val="20"/>
          <w:szCs w:val="20"/>
          <w:color w:val="auto"/>
        </w:rPr>
      </w:pPr>
      <w:r>
        <w:rPr>
          <w:rFonts w:ascii="Arial" w:cs="Arial" w:eastAsia="Arial" w:hAnsi="Arial"/>
          <w:sz w:val="18"/>
          <w:szCs w:val="18"/>
          <w:color w:val="auto"/>
        </w:rPr>
        <w:t>In Guam, as expected, the Company’s container volume in the first quarter 2017 was lower on a year-over-year basis, the result of competitive losses to a U.S. flagged containership service that increased its service frequency to weekly in December 2016. For the full year 2017, the Company continues to expect a heightened competitive environment and lower volume.</w:t>
      </w:r>
    </w:p>
    <w:p>
      <w:pPr>
        <w:spacing w:after="0" w:line="187" w:lineRule="exact"/>
        <w:rPr>
          <w:sz w:val="20"/>
          <w:szCs w:val="20"/>
          <w:color w:val="auto"/>
        </w:rPr>
      </w:pPr>
    </w:p>
    <w:p>
      <w:pPr>
        <w:ind w:right="79"/>
        <w:spacing w:after="0" w:line="293" w:lineRule="auto"/>
        <w:rPr>
          <w:sz w:val="20"/>
          <w:szCs w:val="20"/>
          <w:color w:val="auto"/>
        </w:rPr>
      </w:pPr>
      <w:r>
        <w:rPr>
          <w:rFonts w:ascii="Arial" w:cs="Arial" w:eastAsia="Arial" w:hAnsi="Arial"/>
          <w:sz w:val="16"/>
          <w:szCs w:val="16"/>
          <w:color w:val="auto"/>
        </w:rPr>
        <w:t>In Alaska, the Company’s container volume for the first quarter 2017 was 4.2 percent lower year-over-year, primarily the result of the continued energy sector related economic contraction. For the full year 2017, the Company continues to expect modestly lower volume based on declining northbound freight due to ongoing contraction of Alaska’s energy-based economy, partially offset by improved southbound seafood volume. In addition, with the installation of exhaust gas scrubbers on its three diesel vessels serving Alaska now complete, the Company does not expect to regularly deploy its less efficient steamship reserve vessel in 2017, resulting in lower expected vessel operating and dry-dock relief expenses.</w:t>
      </w:r>
    </w:p>
    <w:p>
      <w:pPr>
        <w:spacing w:after="0" w:line="165" w:lineRule="exact"/>
        <w:rPr>
          <w:sz w:val="20"/>
          <w:szCs w:val="20"/>
          <w:color w:val="auto"/>
        </w:rPr>
      </w:pPr>
    </w:p>
    <w:p>
      <w:pPr>
        <w:ind w:right="79"/>
        <w:spacing w:after="0" w:line="264" w:lineRule="auto"/>
        <w:rPr>
          <w:sz w:val="20"/>
          <w:szCs w:val="20"/>
          <w:color w:val="auto"/>
        </w:rPr>
      </w:pPr>
      <w:r>
        <w:rPr>
          <w:rFonts w:ascii="Arial" w:cs="Arial" w:eastAsia="Arial" w:hAnsi="Arial"/>
          <w:sz w:val="18"/>
          <w:szCs w:val="18"/>
          <w:color w:val="auto"/>
        </w:rPr>
        <w:t>As a result, the Company expects Ocean Transportation operating income in 2017 to be lower than the $141.3 million achieved in 2016. In the second quarter 2017, the Company expects Ocean Transportation operating income to approximate the $33.9 million achieved in the second quarter 2016.</w:t>
      </w:r>
    </w:p>
    <w:p>
      <w:pPr>
        <w:spacing w:after="0" w:line="181" w:lineRule="exact"/>
        <w:rPr>
          <w:sz w:val="20"/>
          <w:szCs w:val="20"/>
          <w:color w:val="auto"/>
        </w:rPr>
      </w:pPr>
    </w:p>
    <w:p>
      <w:pPr>
        <w:ind w:right="19"/>
        <w:spacing w:after="0" w:line="291" w:lineRule="auto"/>
        <w:rPr>
          <w:sz w:val="20"/>
          <w:szCs w:val="20"/>
          <w:color w:val="auto"/>
        </w:rPr>
      </w:pPr>
      <w:r>
        <w:rPr>
          <w:rFonts w:ascii="Arial" w:cs="Arial" w:eastAsia="Arial" w:hAnsi="Arial"/>
          <w:sz w:val="16"/>
          <w:szCs w:val="16"/>
          <w:i w:val="1"/>
          <w:iCs w:val="1"/>
          <w:color w:val="auto"/>
        </w:rPr>
        <w:t xml:space="preserve">Logistics: </w:t>
      </w:r>
      <w:r>
        <w:rPr>
          <w:rFonts w:ascii="Arial" w:cs="Arial" w:eastAsia="Arial" w:hAnsi="Arial"/>
          <w:sz w:val="16"/>
          <w:szCs w:val="16"/>
          <w:color w:val="auto"/>
        </w:rPr>
        <w:t>In the first quarter 2017, operating income for the Company’s Logistics segment included a full quarter of freight</w:t>
      </w:r>
      <w:r>
        <w:rPr>
          <w:rFonts w:ascii="Arial" w:cs="Arial" w:eastAsia="Arial" w:hAnsi="Arial"/>
          <w:sz w:val="16"/>
          <w:szCs w:val="16"/>
          <w:i w:val="1"/>
          <w:iCs w:val="1"/>
          <w:color w:val="auto"/>
        </w:rPr>
        <w:t xml:space="preserve"> </w:t>
      </w:r>
      <w:r>
        <w:rPr>
          <w:rFonts w:ascii="Arial" w:cs="Arial" w:eastAsia="Arial" w:hAnsi="Arial"/>
          <w:sz w:val="16"/>
          <w:szCs w:val="16"/>
          <w:color w:val="auto"/>
        </w:rPr>
        <w:t>forwarding operating results from its acquired Span Alaska business. However, operating results of the Company’s transportation brokerage business were lower year-over-year in the first quarter 2017, as operating margins were compressed by excess capacity and a more competitive pricing environment. For the full year 2017, the Company expects Logistics operating income to be approximately $20 million, up significantly from the 2016 level of $11.9 million, primarily due to the inclusion of Span Alaska’s freight forwarding business for a full year. In the second quarter 2017, the Company expects Logistics operating income to be approximately double the $2.2 million achieved in the second quarter 2016.</w:t>
      </w:r>
    </w:p>
    <w:p>
      <w:pPr>
        <w:spacing w:after="0" w:line="167" w:lineRule="exact"/>
        <w:rPr>
          <w:sz w:val="20"/>
          <w:szCs w:val="20"/>
          <w:color w:val="auto"/>
        </w:rPr>
      </w:pPr>
    </w:p>
    <w:p>
      <w:pPr>
        <w:ind w:right="79"/>
        <w:spacing w:after="0" w:line="31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For the full year 2017, the Company expects depreciation and amortization expense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by approximately $15 million to $150 million, inclusive of dry-docking amortization of approximately $50 million, primarily due to the higher levels of maintenance capital and vessel dry-docking expenditures in 2016 and planned for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The Company expects full year 2017 EBITDA to approximate the $288.6 million achieved in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interest expense for the full year 2017 to be approximately $25 million.</w:t>
      </w:r>
    </w:p>
    <w:p>
      <w:pPr>
        <w:spacing w:after="0" w:line="225" w:lineRule="exact"/>
        <w:rPr>
          <w:sz w:val="20"/>
          <w:szCs w:val="20"/>
          <w:color w:val="auto"/>
        </w:rPr>
      </w:pPr>
    </w:p>
    <w:p>
      <w:pPr>
        <w:ind w:right="59"/>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 the first quarter 2017, the Company’s effective tax rate was 30.7 percent. For the full year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its effective tax rate to be approximately 39 percent.</w:t>
      </w:r>
    </w:p>
    <w:p>
      <w:pPr>
        <w:spacing w:after="0" w:line="170" w:lineRule="exact"/>
        <w:rPr>
          <w:sz w:val="20"/>
          <w:szCs w:val="20"/>
          <w:color w:val="auto"/>
        </w:rPr>
      </w:pPr>
    </w:p>
    <w:p>
      <w:pPr>
        <w:ind w:right="79"/>
        <w:spacing w:after="0" w:line="257" w:lineRule="auto"/>
        <w:rPr>
          <w:sz w:val="20"/>
          <w:szCs w:val="20"/>
          <w:color w:val="auto"/>
        </w:rPr>
      </w:pPr>
      <w:r>
        <w:rPr>
          <w:rFonts w:ascii="Arial" w:cs="Arial" w:eastAsia="Arial" w:hAnsi="Arial"/>
          <w:sz w:val="18"/>
          <w:szCs w:val="18"/>
          <w:i w:val="1"/>
          <w:iCs w:val="1"/>
          <w:color w:val="auto"/>
        </w:rPr>
        <w:t xml:space="preserve">Capital and Vessel Dry-docking Expenditures: </w:t>
      </w:r>
      <w:r>
        <w:rPr>
          <w:rFonts w:ascii="Arial" w:cs="Arial" w:eastAsia="Arial" w:hAnsi="Arial"/>
          <w:sz w:val="18"/>
          <w:szCs w:val="18"/>
          <w:color w:val="auto"/>
        </w:rPr>
        <w:t>In the first quarter 2017, the Company made maintenance capital expenditure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$22.9 million, capitalized vessel construction expenditures of $1.3 million, and dry-docking payments of $15.1 million. For the full year 2017, the Company expects to make maintenance capital expenditure payments of approximately $50 million, capitalized vessel construction expenditures of approximately $210 million, and dry-docking payments of approximately $60 million.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March 31,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w w:val="94"/>
              </w:rPr>
              <w:t>Three Months Ended March 31,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474.4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(458.0)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(419.6)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(38.4)</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0"/>
        </w:trPr>
        <w:tc>
          <w:tcPr>
            <w:tcW w:w="6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(18.2)</w:t>
            </w: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(52.6)%</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28.6 %</w:t>
            </w:r>
          </w:p>
        </w:tc>
        <w:tc>
          <w:tcPr>
            <w:tcW w:w="0" w:type="dxa"/>
            <w:vAlign w:val="bottom"/>
          </w:tcPr>
          <w:p>
            <w:pPr>
              <w:spacing w:after="0"/>
              <w:rPr>
                <w:sz w:val="1"/>
                <w:szCs w:val="1"/>
                <w:color w:val="auto"/>
              </w:rPr>
            </w:pPr>
          </w:p>
        </w:tc>
      </w:tr>
      <w:tr>
        <w:trPr>
          <w:trHeight w:val="20"/>
        </w:trPr>
        <w:tc>
          <w:tcPr>
            <w:tcW w:w="6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w:t>
            </w: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(66.0)%</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8"/>
              </w:rPr>
              <w:t>(73.3)%</w:t>
            </w:r>
          </w:p>
        </w:tc>
        <w:tc>
          <w:tcPr>
            <w:tcW w:w="0" w:type="dxa"/>
            <w:vAlign w:val="bottom"/>
          </w:tcPr>
          <w:p>
            <w:pPr>
              <w:spacing w:after="0"/>
              <w:rPr>
                <w:sz w:val="1"/>
                <w:szCs w:val="1"/>
                <w:color w:val="auto"/>
              </w:rPr>
            </w:pPr>
          </w:p>
        </w:tc>
      </w:tr>
      <w:tr>
        <w:trPr>
          <w:trHeight w:val="230"/>
        </w:trPr>
        <w:tc>
          <w:tcPr>
            <w:tcW w:w="6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w:t>
            </w:r>
          </w:p>
        </w:tc>
        <w:tc>
          <w:tcPr>
            <w:tcW w:w="2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(61.3)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3" w:lineRule="exact"/>
              <w:rPr>
                <w:sz w:val="20"/>
                <w:szCs w:val="20"/>
                <w:color w:val="auto"/>
              </w:rPr>
            </w:pPr>
            <w:r>
              <w:rPr>
                <w:rFonts w:ascii="Arial" w:cs="Arial" w:eastAsia="Arial" w:hAnsi="Arial"/>
                <w:sz w:val="18"/>
                <w:szCs w:val="18"/>
                <w:color w:val="auto"/>
              </w:rPr>
              <w:t>Basic earnings per-share</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0.16</w:t>
            </w:r>
          </w:p>
        </w:tc>
        <w:tc>
          <w:tcPr>
            <w:tcW w:w="1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0.42</w:t>
            </w:r>
          </w:p>
        </w:tc>
        <w:tc>
          <w:tcPr>
            <w:tcW w:w="16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w w:val="93"/>
              </w:rPr>
              <w:t>(0.26)</w:t>
            </w:r>
          </w:p>
        </w:tc>
        <w:tc>
          <w:tcPr>
            <w:tcW w:w="22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88"/>
              </w:rPr>
              <w:t>(61.9)%</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(0.25)</w:t>
            </w: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Consolidated results of operations include the operating results of Span Alaska from the date of acquisition on August 4, 2016. Changes in operating revenue, and operating costs and expenses are further described below in the Analysis of Operating Revenue and Income by Segment below.</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interest expense was due to higher revolver and long-term borrowings during the first quarter 2017, compared to the first quarter 2016.</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Income tax expense was $3.1 million or 30.7 percent of income before income taxes for the first quarter 2017, compared to $11.6 million or 39.1 percent of income before income taxes for the first quarter 2016. The reduction in the effective income tax rate was primarily due to the impact of share-based compensation that reduced income tax expense during the first quarter 2017 resulting from the adoption of a new accounting standard related to share-based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March 31,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w w:val="97"/>
              </w:rPr>
              <w:t>Three Months Ended March 31,</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(355.5)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vMerge w:val="continue"/>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Operating Margin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3.9 %</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13,800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(3,500)</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15,300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12,400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2,900</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Micronesia/South Pacific Containers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jc w:val="both"/>
        <w:ind w:left="220" w:right="160" w:hanging="215"/>
        <w:spacing w:after="0" w:line="264" w:lineRule="auto"/>
        <w:rPr>
          <w:sz w:val="20"/>
          <w:szCs w:val="20"/>
          <w:color w:val="auto"/>
        </w:rPr>
      </w:pPr>
      <w:r>
        <w:rPr>
          <w:rFonts w:ascii="Arial" w:cs="Arial" w:eastAsia="Arial" w:hAnsi="Arial"/>
          <w:sz w:val="18"/>
          <w:szCs w:val="18"/>
          <w:color w:val="auto"/>
        </w:rPr>
        <w:t>(1)Approximate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spacing w:after="0" w:line="18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Ocean Transportation revenue increased $3.9 million, or 1.1 percent, during the first quarter 2017 compared with the first quarter 2016. This increase was primarily due to higher container volume in China and higher average freight rates across the Company’s core tradelanes, mostly offset by lower volume in Hawaii, Guam and Alaska.</w:t>
      </w:r>
    </w:p>
    <w:p>
      <w:pPr>
        <w:spacing w:after="0" w:line="166"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On a year-over-year FEU basis, Hawaii container volume decreased by 5.5 percent primarily due to the absence of competitive volume gains in the prior year; Alaska volume decreased by 4.2 percent attributable to the continued energy sector related economic contraction; China volume was 23.4 percent higher due to stronger demand for the Company’s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expedited service and an additional sailing during the first quarter 2017; and Guam volume was 6.9 percent lower due to competitive losses.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Ocean Transportation operating income decreased $18.5 million, or 56.1 percent, during the first quarter 2017 compared with the first quarter 2016. The decrease was primarily due to the unfavorable timing of fuel surcharge collections, lower container volume in Hawaii and Alaska, higher vessel operating expenses related to the deployment of an additional vessel in Hawaii, and higher vessel dry-docking amortization expense. Partially offsetting these unfavorable year-over-year comparisons was higher container volume in China.</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Company’s SSAT terminal joint venture investment contributed $4.9 million during the first quarter 2017, compared to a $2.6 million contribution in the first quarter 2016. The increase was primarily attributable to improved lift volume.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 months ended March 31,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9"/>
          </w:tcPr>
          <w:p>
            <w:pPr>
              <w:ind w:left="260"/>
              <w:spacing w:after="0"/>
              <w:rPr>
                <w:sz w:val="20"/>
                <w:szCs w:val="20"/>
                <w:color w:val="auto"/>
              </w:rPr>
            </w:pPr>
            <w:r>
              <w:rPr>
                <w:rFonts w:ascii="Arial" w:cs="Arial" w:eastAsia="Arial" w:hAnsi="Arial"/>
                <w:sz w:val="14"/>
                <w:szCs w:val="14"/>
                <w:b w:val="1"/>
                <w:bCs w:val="1"/>
                <w:color w:val="auto"/>
                <w:w w:val="95"/>
              </w:rPr>
              <w:t>Three Months Ended March 31,</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right"/>
              <w:ind w:right="27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 (1)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costs and expenses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(86.5)</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18.5 %</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Operating Margin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(1) Logistics operating results include Span Alaska operating results from the date of acquisition on August 4, 2016.</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Logistics revenue increased $16.3 million, or 18.5 percent, during the first quarter 2017 compared with the first quarter 2016. This increase was primarily due to the inclusion of freight forwarding revenue from the acquired Span Alaska business and higher fuel surcharge revenue in transportation brokerage services.</w:t>
      </w:r>
    </w:p>
    <w:p>
      <w:pPr>
        <w:spacing w:after="0" w:line="181"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Logistics operating income increased $0.3 million, or 18.8 percent during the first quarter 2017 compared with the first quarter 2016. The increase was primarily due to the inclusion of freight forwarding operating results attributable to the acquired Span Alaska business, largely offset by lower domestic intermodal and highway brokerage yields.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March 31, 2017, compared to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Accounts receivable, net (1)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197.9</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CCF - cash on deposit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480" w:hanging="215"/>
        <w:spacing w:after="0" w:line="342" w:lineRule="auto"/>
        <w:rPr>
          <w:sz w:val="20"/>
          <w:szCs w:val="20"/>
          <w:color w:val="auto"/>
        </w:rPr>
      </w:pPr>
      <w:r>
        <w:rPr>
          <w:rFonts w:ascii="Arial" w:cs="Arial" w:eastAsia="Arial" w:hAnsi="Arial"/>
          <w:sz w:val="16"/>
          <w:szCs w:val="16"/>
          <w:color w:val="auto"/>
        </w:rPr>
        <w:t>(1)As of March 31, 2017 and December 31, 2016, $174.8 million and $174.7 million, respectively, of eligible accounts receivable were assigned to the CCF (see Note 2 of the Condensed Consolidated Financial Statements).</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As of March 31, 2017, the Company had $290.4 million of availability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a maturity date of July 30, 2020. The Company’s revolving credit facility is described in Note 8 to the Consolidated Financial Statements included in Item 8 of the Company’s Annual Report filed on Form 10-K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i w:val="1"/>
          <w:iCs w:val="1"/>
          <w:color w:val="auto"/>
        </w:rPr>
        <w:t>Changes in 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changes in the Company’s cash and cash equivalents for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2017, compared to the first quarter 2016,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 (2)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 (3)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Changes in net cash provided by operating activities for the first quarter 2017, compared to the first quarter 2016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Non-cash deferred income taxes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non-cash related charges,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Deferred dry-docking payments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8"/>
                <w:szCs w:val="18"/>
                <w:color w:val="auto"/>
              </w:rPr>
            </w:pPr>
          </w:p>
        </w:tc>
      </w:tr>
      <w:tr>
        <w:trPr>
          <w:trHeight w:val="217"/>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8)</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Increase in deferred dry-docking payments was due to an increased number of vessels in dry-docking during the first quarter 2017, compared to the first quarter 2016. Changes in accounts receivable were due to the addition of accounts receivables associated with the Span Alaska Acquisition, and also due to the timing of billings and collections. Changes in prepaid expenses and other assets were due to the timing of income tax and other advanced payments. Changes in accounts payable, accruals and other liabilities were due to the impact of liabilities associated with the Span Alaska and Horizon acquisition, and the timing of payments associated with those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Changes in net cash used in investing activities for the first quarter 2017, compared to the first quarter 2016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Capitalized vessel construction expenditures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deposits into CCF</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CEEFF"/>
            </w:tcBorders>
          </w:tcPr>
          <w:p>
            <w:pPr>
              <w:spacing w:after="0"/>
              <w:rPr>
                <w:sz w:val="18"/>
                <w:szCs w:val="18"/>
                <w:color w:val="auto"/>
              </w:rPr>
            </w:pPr>
          </w:p>
        </w:tc>
      </w:tr>
      <w:tr>
        <w:trPr>
          <w:trHeight w:val="217"/>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Capital expenditures (excluding capitalized vessel construction expenditures) decreased from $30.6 million in the first quarter 2016, compared to $22.9 million in the first quarter 2017, primarily due to additional capital expenditures incurred during the first quarter 2016 related to the installation of scrubbers on acquired Horizon vessels. Changes in deposits into the CCF were the result of no cash deposits made during the first quarter 2017, compared to $12.5 million of deposits made during the first quarter 2016.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Change in net cash provided by financing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net cash provided by financing activities for the first quarter 2017, compared to the first quarter 2016,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Repayments of debt and capital leases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Change in borrowings under revolving credit facility,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Matson common stock</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other payments, net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8"/>
                <w:szCs w:val="18"/>
                <w:color w:val="auto"/>
              </w:rPr>
            </w:pPr>
          </w:p>
        </w:tc>
      </w:tr>
      <w:tr>
        <w:trPr>
          <w:trHeight w:val="217"/>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first quarter 2017, changes in net borrowing under the Company’s revolving credit facility was $44.0 million compared to $54.0 million for the first quarter 2016. The decrease in borrowings is primarily due to lower capital expenditures during the first quarter 2017. During the first quarter 2017, the Company paid $0.7 million in repurchases of Matson common stock compared to $20.8 million during the first quarter 2016.</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The Company had working capital of $26.2 million at March 31, 2017, compared to a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deficiency of $5.0 million at December 31, 2016.</w:t>
      </w:r>
    </w:p>
    <w:p>
      <w:pPr>
        <w:spacing w:after="0" w:line="16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were no material changes during this quarter to the Company’s contractual obligations, commitments, contingencies and off-balance sheet arrangements that are described in Item 7 of the Company’s Annual Report filed on Form 10-K for the year ended December 31, 2016, which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Item 7 of the Company’s Annual Report filed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Company’s first quarter 2017 cash dividend of $0.19 per-share was paid on March 2, 2017 to shareholders of record as of February 9, 2017. On April 27, 2017, the Company’s Board of Directors declared a cash dividend of $0.19 per-share payable on June 1, 2017 to shareholders of record as of the close of business on May 11, 2017.</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There have been no material changes to the Company’s market risk position from the information provided under Part II, Item 7A, “Quantitative and Qualitative Disclosures About Market Risk,” of our 2016 Annual Report filed on Form 10-K for the year ended December 31, 2016.</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2017, the Company’s disclosure controls and procedures are effective.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Rules 13a-15(f) and 15d-15(f) under the Exchange Act) that occurred during the three months ended March 31, 2017, that have materially affected, or are reasonably likely to materially affect, the Company’s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business has certain risks that could result in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following risk factor is intended as a supplement to the risk factors associated with the Company’s business that were previously disclosed in the Company’s Annual Report on Form 10-K for the year ended December 31, 2016 filed with the SEC on February 24,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Shipbuilding Agreements with Philly Shipyard and NASSCO are subject to risks.</w:t>
      </w:r>
    </w:p>
    <w:p>
      <w:pPr>
        <w:spacing w:after="0" w:line="22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On November 6, 2013, MatNav and Philly Shipyard entered into definitive agreements pursuant to which Philly Shipyard will construct two new 3,600-TEU Aloha Class dual-fuel capable containerships, with expected delivery dates during the third quarter of 2018 and the first quarter of 2019. On August 25, 2016, MatNav and NASSCO entered into definitive agreements pursuant to which NASSCO will construct two new 3,500-TEU Kanaloa Class dual-fuel capable container and roll-on/roll-off vessels, with expected delivery dates at the end of 2019 and mid-2020. Failure of any party to the shipbuilding agreements to fulfill its obligations under the agreements could have an adverse effect on the Company’s financial position and results of operations. Such a failure could happen for a variety of reasons, including but not limited to</w:t>
      </w:r>
    </w:p>
    <w:p>
      <w:pPr>
        <w:spacing w:after="0" w:line="3" w:lineRule="exact"/>
        <w:rPr>
          <w:sz w:val="20"/>
          <w:szCs w:val="20"/>
          <w:color w:val="auto"/>
        </w:rPr>
      </w:pPr>
    </w:p>
    <w:p>
      <w:pPr>
        <w:ind w:firstLine="3"/>
        <w:spacing w:after="0" w:line="254"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delivery delays, (ii) delivery of vessels that fail to meet any of the required operating specifications (for example, capacity, fuel efficiency or speed), (iii) events in Korea which prevent one or more significant subcontractors to each of Philly Shipyard or NASSCO from performing, or (iv) the refusal or inability to perform by Philly Shipyard, NASSCO, or any of their respective subcontractors for any reason.</w:t>
      </w:r>
    </w:p>
    <w:p>
      <w:pPr>
        <w:spacing w:after="0" w:line="1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Except as referred to above, there were no material changes to the Company’s risk factors that are described in Part I, Item 1A under the caption of “Risk Factors” of the Company’s Annual Report on Form 10-K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240" w:hanging="237"/>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of Equity Securities by the Issuer and Affiliated Purchases.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following is a summary of Matson shares that were repurchased under the Company’s share repurchase program during the three months ended March 31, 2017:</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Total Number of</w:t>
            </w: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 Purchased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Paid Per-</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160" w:type="dxa"/>
            <w:vAlign w:val="bottom"/>
          </w:tcPr>
          <w:p>
            <w:pPr>
              <w:spacing w:after="0"/>
              <w:rPr>
                <w:sz w:val="12"/>
                <w:szCs w:val="12"/>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1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January 1 – 31, 2017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1,862,288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February 1 – 28, 2017</w:t>
            </w:r>
          </w:p>
        </w:tc>
        <w:tc>
          <w:tcPr>
            <w:tcW w:w="1020" w:type="dxa"/>
            <w:vAlign w:val="bottom"/>
          </w:tcPr>
          <w:p>
            <w:pPr>
              <w:jc w:val="right"/>
              <w:spacing w:after="0"/>
              <w:rPr>
                <w:sz w:val="20"/>
                <w:szCs w:val="20"/>
                <w:color w:val="auto"/>
              </w:rPr>
            </w:pPr>
            <w:r>
              <w:rPr>
                <w:rFonts w:ascii="Arial" w:cs="Arial" w:eastAsia="Arial" w:hAnsi="Arial"/>
                <w:sz w:val="18"/>
                <w:szCs w:val="18"/>
                <w:color w:val="auto"/>
              </w:rPr>
              <w:t>6,100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35.09</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1,856,188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31, 2017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58</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97</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21,900</w:t>
            </w:r>
          </w:p>
        </w:tc>
        <w:tc>
          <w:tcPr>
            <w:tcW w:w="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100" w:hanging="215"/>
        <w:spacing w:after="0" w:line="259" w:lineRule="auto"/>
        <w:rPr>
          <w:sz w:val="20"/>
          <w:szCs w:val="20"/>
          <w:color w:val="auto"/>
        </w:rPr>
      </w:pPr>
      <w:r>
        <w:rPr>
          <w:rFonts w:ascii="Arial" w:cs="Arial" w:eastAsia="Arial" w:hAnsi="Arial"/>
          <w:sz w:val="18"/>
          <w:szCs w:val="18"/>
          <w:color w:val="auto"/>
        </w:rPr>
        <w:t>(1)On November 4, 2015, the Company announced that Matson’s Board of Directors had approved a share repurchase program of up to 3.0 million shares of common stock through November 2, 2018. Shares will be repurchased in the open market from time to time, and may be made pursuant to a trading plan in accordance with Rule 10b5-1 of the Securities Exchange Act of 1934.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8280" w:type="dxa"/>
            <w:vAlign w:val="bottom"/>
          </w:tcPr>
          <w:p>
            <w:pPr>
              <w:ind w:left="80"/>
              <w:spacing w:after="0"/>
              <w:rPr>
                <w:sz w:val="20"/>
                <w:szCs w:val="20"/>
                <w:color w:val="auto"/>
              </w:rPr>
            </w:pPr>
            <w:r>
              <w:rPr>
                <w:rFonts w:ascii="Arial" w:cs="Arial" w:eastAsia="Arial" w:hAnsi="Arial"/>
                <w:sz w:val="18"/>
                <w:szCs w:val="18"/>
                <w:color w:val="auto"/>
                <w:w w:val="93"/>
              </w:rPr>
              <w:t>Certification of Chief Executive Officer pursuant to Rule 13a-14(a) or 15d-14(a) of the Securities Exchange Act</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of 1934.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8280" w:type="dxa"/>
            <w:vAlign w:val="bottom"/>
          </w:tcPr>
          <w:p>
            <w:pPr>
              <w:ind w:left="80"/>
              <w:spacing w:after="0"/>
              <w:rPr>
                <w:sz w:val="20"/>
                <w:szCs w:val="20"/>
                <w:color w:val="auto"/>
              </w:rPr>
            </w:pPr>
            <w:r>
              <w:rPr>
                <w:rFonts w:ascii="Arial" w:cs="Arial" w:eastAsia="Arial" w:hAnsi="Arial"/>
                <w:sz w:val="18"/>
                <w:szCs w:val="18"/>
                <w:color w:val="auto"/>
                <w:w w:val="93"/>
              </w:rPr>
              <w:t>Certification of Chief Financial Officer pursuant to Rule 13a-14(a) or 15d-14(a) of the Securities Exchange Act</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of 1934.</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8280" w:type="dxa"/>
            <w:vAlign w:val="bottom"/>
          </w:tcPr>
          <w:p>
            <w:pPr>
              <w:ind w:left="80"/>
              <w:spacing w:after="0"/>
              <w:rPr>
                <w:sz w:val="20"/>
                <w:szCs w:val="20"/>
                <w:color w:val="auto"/>
              </w:rPr>
            </w:pPr>
            <w:r>
              <w:rPr>
                <w:rFonts w:ascii="Arial" w:cs="Arial" w:eastAsia="Arial" w:hAnsi="Arial"/>
                <w:sz w:val="18"/>
                <w:szCs w:val="18"/>
                <w:color w:val="auto"/>
              </w:rPr>
              <w:t>Certification of Chief Executive Officer and Chief Financial Officer pursuant to 18 U.S.C. Section 1350.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828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780" w:type="dxa"/>
            <w:vAlign w:val="bottom"/>
          </w:tcPr>
          <w:p>
            <w:pPr>
              <w:spacing w:after="0"/>
              <w:rPr>
                <w:sz w:val="24"/>
                <w:szCs w:val="24"/>
                <w:color w:val="auto"/>
              </w:rPr>
            </w:pPr>
          </w:p>
        </w:tc>
        <w:tc>
          <w:tcPr>
            <w:tcW w:w="8280" w:type="dxa"/>
            <w:vAlign w:val="bottom"/>
          </w:tcPr>
          <w:p>
            <w:pPr>
              <w:ind w:left="3660"/>
              <w:spacing w:after="0"/>
              <w:rPr>
                <w:sz w:val="20"/>
                <w:szCs w:val="20"/>
                <w:color w:val="auto"/>
              </w:rPr>
            </w:pPr>
            <w:r>
              <w:rPr>
                <w:rFonts w:ascii="Arial" w:cs="Arial" w:eastAsia="Arial" w:hAnsi="Arial"/>
                <w:sz w:val="18"/>
                <w:szCs w:val="18"/>
                <w:color w:val="auto"/>
              </w:rPr>
              <w:t>19</w:t>
            </w:r>
          </w:p>
        </w:tc>
      </w:tr>
      <w:tr>
        <w:trPr>
          <w:trHeight w:val="129"/>
        </w:trPr>
        <w:tc>
          <w:tcPr>
            <w:tcW w:w="780" w:type="dxa"/>
            <w:vAlign w:val="bottom"/>
            <w:tcBorders>
              <w:bottom w:val="single" w:sz="8" w:color="auto"/>
            </w:tcBorders>
          </w:tcPr>
          <w:p>
            <w:pPr>
              <w:spacing w:after="0"/>
              <w:rPr>
                <w:sz w:val="11"/>
                <w:szCs w:val="11"/>
                <w:color w:val="auto"/>
              </w:rPr>
            </w:pPr>
          </w:p>
        </w:tc>
        <w:tc>
          <w:tcPr>
            <w:tcW w:w="82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(Registrant)</w:t>
      </w:r>
    </w:p>
    <w:p>
      <w:pPr>
        <w:spacing w:after="0" w:line="386"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Joel M. Wine</w:t>
      </w:r>
    </w:p>
    <w:p>
      <w:pPr>
        <w:jc w:val="center"/>
        <w:ind w:left="4560"/>
        <w:spacing w:after="0" w:line="234" w:lineRule="auto"/>
        <w:rPr>
          <w:sz w:val="20"/>
          <w:szCs w:val="20"/>
          <w:color w:val="auto"/>
        </w:rPr>
      </w:pPr>
      <w:r>
        <w:rPr>
          <w:rFonts w:ascii="Arial" w:cs="Arial" w:eastAsia="Arial" w:hAnsi="Arial"/>
          <w:sz w:val="18"/>
          <w:szCs w:val="18"/>
          <w:color w:val="auto"/>
        </w:rPr>
        <w:t>Senior Vice President and</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Chief Financial Officer</w:t>
      </w:r>
    </w:p>
    <w:p>
      <w:pPr>
        <w:spacing w:after="0" w:line="38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6"/>
          <w:szCs w:val="16"/>
          <w:color w:val="auto"/>
        </w:rPr>
        <w:t>/s/ Dale B.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Dale B. Hendler</w:t>
      </w:r>
    </w:p>
    <w:p>
      <w:pPr>
        <w:jc w:val="center"/>
        <w:ind w:left="4560"/>
        <w:spacing w:after="0" w:line="234" w:lineRule="auto"/>
        <w:rPr>
          <w:sz w:val="20"/>
          <w:szCs w:val="20"/>
          <w:color w:val="auto"/>
        </w:rPr>
      </w:pPr>
      <w:r>
        <w:rPr>
          <w:rFonts w:ascii="Arial" w:cs="Arial" w:eastAsia="Arial" w:hAnsi="Arial"/>
          <w:sz w:val="18"/>
          <w:szCs w:val="18"/>
          <w:color w:val="auto"/>
        </w:rPr>
        <w:t>Vice President and Controller,</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781" w:hanging="781"/>
        <w:spacing w:after="0"/>
        <w:tabs>
          <w:tab w:leader="none" w:pos="7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61"/>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-635</wp:posOffset>
            </wp:positionV>
            <wp:extent cx="29584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5401"/>
        <w:spacing w:after="0" w:line="203" w:lineRule="auto"/>
        <w:rPr>
          <w:sz w:val="20"/>
          <w:szCs w:val="20"/>
          <w:color w:val="auto"/>
        </w:rPr>
      </w:pPr>
      <w:r>
        <w:rPr>
          <w:rFonts w:ascii="Arial" w:cs="Arial" w:eastAsia="Arial" w:hAnsi="Arial"/>
          <w:sz w:val="18"/>
          <w:szCs w:val="18"/>
          <w:color w:val="auto"/>
        </w:rPr>
        <w:t>Matthew J. Cox, Chairman and</w:t>
      </w:r>
    </w:p>
    <w:p>
      <w:pPr>
        <w:ind w:left="5401"/>
        <w:spacing w:after="0" w:line="204" w:lineRule="auto"/>
        <w:rPr>
          <w:sz w:val="20"/>
          <w:szCs w:val="20"/>
          <w:color w:val="auto"/>
        </w:rPr>
      </w:pPr>
      <w:r>
        <w:rPr>
          <w:rFonts w:ascii="Arial" w:cs="Arial" w:eastAsia="Arial" w:hAnsi="Arial"/>
          <w:sz w:val="18"/>
          <w:szCs w:val="18"/>
          <w:color w:val="auto"/>
        </w:rPr>
        <w:t>Chief Executive Officer</w:t>
      </w:r>
    </w:p>
    <w:p>
      <w:pPr>
        <w:ind w:left="1"/>
        <w:spacing w:after="0"/>
        <w:rPr>
          <w:sz w:val="20"/>
          <w:szCs w:val="20"/>
          <w:color w:val="auto"/>
        </w:rPr>
      </w:pPr>
      <w:r>
        <w:rPr>
          <w:rFonts w:ascii="Arial" w:cs="Arial" w:eastAsia="Arial" w:hAnsi="Arial"/>
          <w:sz w:val="18"/>
          <w:szCs w:val="18"/>
          <w:color w:val="auto"/>
        </w:rPr>
        <w:t>Date: 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781" w:hanging="781"/>
        <w:spacing w:after="0"/>
        <w:tabs>
          <w:tab w:leader="none" w:pos="781"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41"/>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-635</wp:posOffset>
            </wp:positionV>
            <wp:extent cx="29502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5421"/>
        <w:spacing w:after="0" w:line="203" w:lineRule="auto"/>
        <w:rPr>
          <w:sz w:val="20"/>
          <w:szCs w:val="20"/>
          <w:color w:val="auto"/>
        </w:rPr>
      </w:pPr>
      <w:r>
        <w:rPr>
          <w:rFonts w:ascii="Arial" w:cs="Arial" w:eastAsia="Arial" w:hAnsi="Arial"/>
          <w:sz w:val="18"/>
          <w:szCs w:val="18"/>
          <w:color w:val="auto"/>
        </w:rPr>
        <w:t>Joel M. Wine, Senior Vice President and</w:t>
      </w:r>
    </w:p>
    <w:p>
      <w:pPr>
        <w:ind w:left="5421"/>
        <w:spacing w:after="0" w:line="204" w:lineRule="auto"/>
        <w:rPr>
          <w:sz w:val="20"/>
          <w:szCs w:val="20"/>
          <w:color w:val="auto"/>
        </w:rPr>
      </w:pPr>
      <w:r>
        <w:rPr>
          <w:rFonts w:ascii="Arial" w:cs="Arial" w:eastAsia="Arial" w:hAnsi="Arial"/>
          <w:sz w:val="18"/>
          <w:szCs w:val="18"/>
          <w:color w:val="auto"/>
        </w:rPr>
        <w:t>Chief Financial Officer</w:t>
      </w:r>
    </w:p>
    <w:p>
      <w:pPr>
        <w:ind w:left="1"/>
        <w:spacing w:after="0"/>
        <w:rPr>
          <w:sz w:val="20"/>
          <w:szCs w:val="20"/>
          <w:color w:val="auto"/>
        </w:rPr>
      </w:pPr>
      <w:r>
        <w:rPr>
          <w:rFonts w:ascii="Arial" w:cs="Arial" w:eastAsia="Arial" w:hAnsi="Arial"/>
          <w:sz w:val="18"/>
          <w:szCs w:val="18"/>
          <w:color w:val="auto"/>
        </w:rPr>
        <w:t>Date: 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4" w:name="page25"/>
    <w:bookmarkEnd w:id="24"/>
    <w:p>
      <w:pPr>
        <w:ind w:left="8080"/>
        <w:spacing w:after="0"/>
        <w:rPr>
          <w:sz w:val="20"/>
          <w:szCs w:val="20"/>
          <w:color w:val="auto"/>
        </w:rPr>
      </w:pPr>
      <w:r>
        <w:rPr>
          <w:rFonts w:ascii="Arial" w:cs="Arial" w:eastAsia="Arial" w:hAnsi="Arial"/>
          <w:sz w:val="18"/>
          <w:szCs w:val="18"/>
          <w:b w:val="1"/>
          <w:bCs w:val="1"/>
          <w:color w:val="auto"/>
        </w:rPr>
        <w:t>EXHIBIT 32</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w:t>
      </w:r>
    </w:p>
    <w:p>
      <w:pPr>
        <w:spacing w:after="0" w:line="160"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connection with the Quarterly Report on Form 10-Q of Matson, Inc. (the “Company”) for the quarterly period ended March 31, 2017, as filed with the Securities and Exchange Commission on the date hereof (the “Report”), Matthew J. Cox, as Chairman and Chief Executive Officer of the Company, and Joel M. Wine, as Senior Vice President and Chief Financial Officer of the Company, each hereby certifies, pursuant to 18 U.S.C. Section 1350, that to their knowledge:</w:t>
      </w:r>
    </w:p>
    <w:p>
      <w:pPr>
        <w:spacing w:after="0" w:line="118" w:lineRule="exact"/>
        <w:rPr>
          <w:sz w:val="20"/>
          <w:szCs w:val="20"/>
          <w:color w:val="auto"/>
        </w:rPr>
      </w:pPr>
    </w:p>
    <w:p>
      <w:pPr>
        <w:ind w:left="860" w:hanging="857"/>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w:t>
      </w:r>
    </w:p>
    <w:p>
      <w:pPr>
        <w:spacing w:after="0"/>
        <w:rPr>
          <w:rFonts w:ascii="Arial" w:cs="Arial" w:eastAsia="Arial" w:hAnsi="Arial"/>
          <w:sz w:val="17"/>
          <w:szCs w:val="17"/>
          <w:color w:val="auto"/>
        </w:rPr>
      </w:pPr>
      <w:r>
        <w:rPr>
          <w:rFonts w:ascii="Arial" w:cs="Arial" w:eastAsia="Arial" w:hAnsi="Arial"/>
          <w:sz w:val="18"/>
          <w:szCs w:val="18"/>
          <w:color w:val="auto"/>
        </w:rPr>
        <w:t>1934; and</w:t>
      </w:r>
    </w:p>
    <w:p>
      <w:pPr>
        <w:spacing w:after="0" w:line="128" w:lineRule="exact"/>
        <w:rPr>
          <w:rFonts w:ascii="Arial" w:cs="Arial" w:eastAsia="Arial" w:hAnsi="Arial"/>
          <w:sz w:val="17"/>
          <w:szCs w:val="17"/>
          <w:color w:val="auto"/>
        </w:rPr>
      </w:pPr>
    </w:p>
    <w:p>
      <w:pPr>
        <w:ind w:right="500" w:firstLine="3"/>
        <w:spacing w:after="0" w:line="235" w:lineRule="auto"/>
        <w:tabs>
          <w:tab w:leader="none" w:pos="8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Chairman and Chief Executive Officer</w:t>
      </w:r>
    </w:p>
    <w:p>
      <w:pPr>
        <w:spacing w:after="0"/>
        <w:tabs>
          <w:tab w:leader="none" w:pos="600" w:val="left"/>
        </w:tabs>
        <w:rPr>
          <w:sz w:val="20"/>
          <w:szCs w:val="20"/>
          <w:color w:val="auto"/>
        </w:rPr>
      </w:pPr>
      <w:r>
        <w:rPr>
          <w:rFonts w:ascii="Arial" w:cs="Arial" w:eastAsia="Arial" w:hAnsi="Arial"/>
          <w:sz w:val="18"/>
          <w:szCs w:val="18"/>
          <w:color w:val="auto"/>
        </w:rPr>
        <w:t>Date:</w:t>
        <w:tab/>
        <w:t>May 4, 2017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tabs>
          <w:tab w:leader="none" w:pos="600" w:val="left"/>
        </w:tabs>
        <w:rPr>
          <w:sz w:val="20"/>
          <w:szCs w:val="20"/>
          <w:color w:val="auto"/>
        </w:rPr>
      </w:pPr>
      <w:r>
        <w:rPr>
          <w:rFonts w:ascii="Arial" w:cs="Arial" w:eastAsia="Arial" w:hAnsi="Arial"/>
          <w:sz w:val="18"/>
          <w:szCs w:val="18"/>
          <w:color w:val="auto"/>
        </w:rPr>
        <w:t>Date:</w:t>
        <w:tab/>
        <w:t>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lowerRoman"/>
      <w:start w:val="1"/>
    </w:lvl>
  </w:abstractNum>
  <w:abstractNum w:abstractNumId="13">
    <w:nsid w:val="3F2DBA31"/>
    <w:multiLevelType w:val="hybridMultilevel"/>
    <w:lvl w:ilvl="0">
      <w:lvlJc w:val="left"/>
      <w:lvlText w:val="(%1)"/>
      <w:numFmt w:val="lowerLetter"/>
      <w:start w:val="3"/>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5"/>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2019-12-29T06:14:12Z</dcterms:created>
  <dcterms:modified xsi:type="dcterms:W3CDTF">2019-12-29T06:14:12Z</dcterms:modified>
</cp:coreProperties>
</file>