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60" w:type="dxa"/>
            <w:vAlign w:val="bottom"/>
          </w:tcPr>
          <w:p>
            <w:pPr>
              <w:ind w:left="182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718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4960" w:type="dxa"/>
            <w:vAlign w:val="bottom"/>
          </w:tcPr>
          <w:p>
            <w:pPr>
              <w:jc w:val="center"/>
              <w:ind w:left="2883"/>
              <w:spacing w:after="0"/>
              <w:rPr>
                <w:sz w:val="20"/>
                <w:szCs w:val="20"/>
                <w:color w:val="auto"/>
              </w:rPr>
            </w:pPr>
            <w:r>
              <w:rPr>
                <w:rFonts w:ascii="Arial" w:cs="Arial" w:eastAsia="Arial" w:hAnsi="Arial"/>
                <w:sz w:val="32"/>
                <w:szCs w:val="32"/>
                <w:b w:val="1"/>
                <w:bCs w:val="1"/>
                <w:color w:val="auto"/>
                <w:w w:val="94"/>
              </w:rPr>
              <w:t>Matson, Inc.</w:t>
            </w:r>
          </w:p>
        </w:tc>
        <w:tc>
          <w:tcPr>
            <w:tcW w:w="2220" w:type="dxa"/>
            <w:vAlign w:val="bottom"/>
          </w:tcPr>
          <w:p>
            <w:pPr>
              <w:spacing w:after="0"/>
              <w:rPr>
                <w:sz w:val="24"/>
                <w:szCs w:val="24"/>
                <w:color w:val="auto"/>
              </w:rPr>
            </w:pPr>
          </w:p>
        </w:tc>
      </w:tr>
      <w:tr>
        <w:trPr>
          <w:trHeight w:val="230"/>
        </w:trPr>
        <w:tc>
          <w:tcPr>
            <w:tcW w:w="718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4960" w:type="dxa"/>
            <w:vAlign w:val="bottom"/>
          </w:tcPr>
          <w:p>
            <w:pPr>
              <w:jc w:val="center"/>
              <w:ind w:right="2043"/>
              <w:spacing w:after="0"/>
              <w:rPr>
                <w:sz w:val="20"/>
                <w:szCs w:val="20"/>
                <w:color w:val="auto"/>
              </w:rPr>
            </w:pPr>
            <w:r>
              <w:rPr>
                <w:rFonts w:ascii="Arial" w:cs="Arial" w:eastAsia="Arial" w:hAnsi="Arial"/>
                <w:sz w:val="18"/>
                <w:szCs w:val="18"/>
                <w:b w:val="1"/>
                <w:bCs w:val="1"/>
                <w:color w:val="auto"/>
                <w:w w:val="94"/>
              </w:rPr>
              <w:t>Hawaii</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960" w:type="dxa"/>
            <w:vAlign w:val="bottom"/>
          </w:tcPr>
          <w:p>
            <w:pPr>
              <w:jc w:val="center"/>
              <w:ind w:right="204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tcPr>
          <w:p>
            <w:pPr>
              <w:jc w:val="center"/>
              <w:ind w:right="206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960" w:type="dxa"/>
            <w:vAlign w:val="bottom"/>
          </w:tcPr>
          <w:p>
            <w:pPr>
              <w:jc w:val="center"/>
              <w:ind w:right="2063"/>
              <w:spacing w:after="0"/>
              <w:rPr>
                <w:sz w:val="20"/>
                <w:szCs w:val="20"/>
                <w:color w:val="auto"/>
              </w:rPr>
            </w:pPr>
            <w:r>
              <w:rPr>
                <w:rFonts w:ascii="Arial" w:cs="Arial" w:eastAsia="Arial" w:hAnsi="Arial"/>
                <w:sz w:val="18"/>
                <w:szCs w:val="18"/>
                <w:b w:val="1"/>
                <w:bCs w:val="1"/>
                <w:color w:val="auto"/>
                <w:w w:val="91"/>
              </w:rPr>
              <w:t>1411 Sand Island Parkway</w:t>
            </w:r>
          </w:p>
        </w:tc>
        <w:tc>
          <w:tcPr>
            <w:tcW w:w="2220" w:type="dxa"/>
            <w:vAlign w:val="bottom"/>
          </w:tcPr>
          <w:p>
            <w:pPr>
              <w:spacing w:after="0"/>
              <w:rPr>
                <w:sz w:val="24"/>
                <w:szCs w:val="24"/>
                <w:color w:val="auto"/>
              </w:rPr>
            </w:pPr>
          </w:p>
        </w:tc>
      </w:tr>
      <w:tr>
        <w:trPr>
          <w:trHeight w:val="193"/>
        </w:trPr>
        <w:tc>
          <w:tcPr>
            <w:tcW w:w="4960" w:type="dxa"/>
            <w:vAlign w:val="bottom"/>
          </w:tcPr>
          <w:p>
            <w:pPr>
              <w:jc w:val="center"/>
              <w:ind w:right="204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960" w:type="dxa"/>
            <w:vAlign w:val="bottom"/>
          </w:tcPr>
          <w:p>
            <w:pPr>
              <w:jc w:val="center"/>
              <w:ind w:right="200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September 30, 2020: 43,078,715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920" w:type="dxa"/>
            <w:vAlign w:val="bottom"/>
          </w:tcPr>
          <w:p>
            <w:pPr>
              <w:ind w:left="2020"/>
              <w:spacing w:after="0"/>
              <w:rPr>
                <w:sz w:val="20"/>
                <w:szCs w:val="20"/>
                <w:color w:val="auto"/>
              </w:rPr>
            </w:pPr>
            <w:r>
              <w:rPr>
                <w:rFonts w:ascii="Arial" w:cs="Arial" w:eastAsia="Arial" w:hAnsi="Arial"/>
                <w:sz w:val="18"/>
                <w:szCs w:val="18"/>
                <w:b w:val="1"/>
                <w:bCs w:val="1"/>
                <w:color w:val="auto"/>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6920" w:type="dxa"/>
            <w:vAlign w:val="bottom"/>
          </w:tcPr>
          <w:p>
            <w:pPr>
              <w:ind w:left="25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7860" w:type="dxa"/>
            <w:vAlign w:val="bottom"/>
            <w:gridSpan w:val="2"/>
            <w:vMerge w:val="restart"/>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7860" w:type="dxa"/>
            <w:vAlign w:val="bottom"/>
            <w:gridSpan w:val="2"/>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403"/>
        </w:trPr>
        <w:tc>
          <w:tcPr>
            <w:tcW w:w="94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69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 and Comprehensive Income</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Shareholders’ Equity</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w:t>
              </w:r>
            </w:hyperlink>
          </w:p>
        </w:tc>
        <w:tc>
          <w:tcPr>
            <w:tcW w:w="6920" w:type="dxa"/>
            <w:vAlign w:val="bottom"/>
          </w:tcPr>
          <w:p>
            <w:pPr>
              <w:ind w:left="80"/>
              <w:spacing w:after="0"/>
              <w:rPr>
                <w:rFonts w:ascii="Arial" w:cs="Arial" w:eastAsia="Arial" w:hAnsi="Arial"/>
                <w:sz w:val="18"/>
                <w:szCs w:val="18"/>
                <w:u w:val="single" w:color="auto"/>
                <w:color w:val="0000EE"/>
                <w:w w:val="96"/>
              </w:rPr>
            </w:pPr>
            <w:hyperlink w:anchor="page18">
              <w:r>
                <w:rPr>
                  <w:rFonts w:ascii="Arial" w:cs="Arial" w:eastAsia="Arial" w:hAnsi="Arial"/>
                  <w:sz w:val="18"/>
                  <w:szCs w:val="18"/>
                  <w:u w:val="single" w:color="auto"/>
                  <w:color w:val="0000EE"/>
                  <w:w w:val="96"/>
                </w:rPr>
                <w:t>Management’s Discussion and Analysis of Financial Condition and Results of Operations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w:t>
              </w:r>
            </w:hyperlink>
          </w:p>
        </w:tc>
        <w:tc>
          <w:tcPr>
            <w:tcW w:w="692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940" w:type="dxa"/>
            <w:vAlign w:val="bottom"/>
          </w:tcPr>
          <w:p>
            <w:pPr>
              <w:ind w:left="2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692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32"/>
        </w:trPr>
        <w:tc>
          <w:tcPr>
            <w:tcW w:w="7860" w:type="dxa"/>
            <w:vAlign w:val="bottom"/>
            <w:gridSpan w:val="2"/>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II—OTHER INFORMATION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8"/>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1A.</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Defaults Upon Senior Securities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5.</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6.</w:t>
              </w:r>
            </w:hyperlink>
          </w:p>
        </w:tc>
        <w:tc>
          <w:tcPr>
            <w:tcW w:w="692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424"/>
        </w:trPr>
        <w:tc>
          <w:tcPr>
            <w:tcW w:w="9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1,250.5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1,662.4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Income from SSAT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(516.9)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(1,520.6)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(1,558.7)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r>
              <w:rPr>
                <w:rFonts w:ascii="Arial" w:cs="Arial" w:eastAsia="Arial" w:hAnsi="Arial"/>
                <w:sz w:val="18"/>
                <w:szCs w:val="18"/>
                <w:u w:val="single" w:color="auto"/>
                <w:color w:val="auto"/>
              </w:rPr>
              <w:t>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credit loss of $5.9 million and $4.3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million,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2,806.7</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Long-term debt, net of deferred loan 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107.5</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(57.8)</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debt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debt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(204.2)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547.4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(803.5)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Payment of financing costs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(18.5)</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(29.1)</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(refunds) and payments, net</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Information: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135"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$ 504.2</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$ 805.7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Equity interest in SSAT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March 31, 2020</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304.7</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500.7</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 and $0.23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June 30, 2020</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306.7</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513.9</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September 30, 2020</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$ 584.8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$ 891.8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$ 460.0</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$ 755.3</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Adoption of new lease accounting standard</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March 31, 2019</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467.8</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763.0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 and $0.22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June 30, 2019</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300.7</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467.6</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765.2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SSAT̕s adoption of new lease accounting standard</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58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September 30, 2019</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$ 498.0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$ 797.7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two premium, expedited services from China to Long Beach, California, provides service to Okinawa, Japan and various islands in the South Pacific, and operates an international export service from Dutch Harbor to Asia.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provides terminal and stevedoring services to various carriers at seven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390"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2019, filed with the Securities and Exchange Commission (“SEC”) on February 28, 2020.</w:t>
      </w:r>
    </w:p>
    <w:p>
      <w:pPr>
        <w:spacing w:after="0" w:line="165"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 xml:space="preserve">Fiscal Period: </w:t>
      </w:r>
      <w:r>
        <w:rPr>
          <w:rFonts w:ascii="Arial" w:cs="Arial" w:eastAsia="Arial" w:hAnsi="Arial"/>
          <w:sz w:val="17"/>
          <w:szCs w:val="17"/>
          <w:color w:val="auto"/>
        </w:rPr>
        <w:t>The period end for Matson covered by this report is September 30, 2020. The period end for MatNav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subsidiaries covered by this report occurred on the last Friday in September, or September 25, 2020.</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2019.</w:t>
      </w:r>
    </w:p>
    <w:p>
      <w:pPr>
        <w:spacing w:after="0" w:line="18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the interim condensed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uninsured risks and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b w:val="1"/>
          <w:bCs w:val="1"/>
          <w:i w:val="1"/>
          <w:iCs w:val="1"/>
          <w:color w:val="auto"/>
        </w:rPr>
        <w:t xml:space="preserve">Allowance for Doubtful Accounts Receivable: </w:t>
      </w:r>
      <w:r>
        <w:rPr>
          <w:rFonts w:ascii="Arial" w:cs="Arial" w:eastAsia="Arial" w:hAnsi="Arial"/>
          <w:sz w:val="17"/>
          <w:szCs w:val="17"/>
          <w:color w:val="auto"/>
        </w:rPr>
        <w:t>Allowance for doubtful accounts receivable is established by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7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Related Expenses: </w:t>
      </w:r>
      <w:r>
        <w:rPr>
          <w:rFonts w:ascii="Arial" w:cs="Arial" w:eastAsia="Arial" w:hAnsi="Arial"/>
          <w:sz w:val="18"/>
          <w:szCs w:val="18"/>
          <w:color w:val="auto"/>
        </w:rPr>
        <w:t>Revenue in the Company’s Condensed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is 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6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$ 1,284.5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$ 1,218.6</w:t>
            </w: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$ 1,250.5</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62" w:lineRule="exact"/>
        <w:rPr>
          <w:sz w:val="20"/>
          <w:szCs w:val="20"/>
          <w:color w:val="auto"/>
        </w:rPr>
      </w:pPr>
    </w:p>
    <w:p>
      <w:pPr>
        <w:ind w:left="380" w:right="5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revenues and fuel sales revenue categories which are denominated in foreign currencies.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Ocean Transportation services revenue is recognized ratably over the duration of a voyage based on the relative transit</w:t>
      </w:r>
    </w:p>
    <w:p>
      <w:pPr>
        <w:ind w:left="380" w:right="179"/>
        <w:spacing w:after="0" w:line="305" w:lineRule="auto"/>
        <w:rPr>
          <w:sz w:val="20"/>
          <w:szCs w:val="20"/>
          <w:color w:val="auto"/>
        </w:rPr>
      </w:pPr>
      <w:r>
        <w:rPr>
          <w:rFonts w:ascii="Arial" w:cs="Arial" w:eastAsia="Arial" w:hAnsi="Arial"/>
          <w:sz w:val="16"/>
          <w:szCs w:val="16"/>
          <w:color w:val="auto"/>
        </w:rPr>
        <w:t>time completed in each reporting period. Vessel operating costs and other ocean transportation operating costs, such as terminal operating overhead and general and administrative expenses, are charged to operating costs as incurred. Terminal and other related services revenue is recognized as the services are performed. Related costs are recognized</w:t>
      </w:r>
    </w:p>
    <w:p>
      <w:pPr>
        <w:ind w:left="60"/>
        <w:spacing w:after="0"/>
        <w:rPr>
          <w:sz w:val="20"/>
          <w:szCs w:val="20"/>
          <w:color w:val="auto"/>
        </w:rPr>
      </w:pPr>
      <w:r>
        <w:rPr>
          <w:rFonts w:ascii="Arial" w:cs="Arial" w:eastAsia="Arial" w:hAnsi="Arial"/>
          <w:sz w:val="18"/>
          <w:szCs w:val="18"/>
          <w:color w:val="auto"/>
        </w:rPr>
        <w:t>as incurred.</w:t>
      </w:r>
    </w:p>
    <w:p>
      <w:pPr>
        <w:spacing w:after="0" w:line="9" w:lineRule="exact"/>
        <w:rPr>
          <w:sz w:val="20"/>
          <w:szCs w:val="20"/>
          <w:color w:val="auto"/>
        </w:rPr>
      </w:pP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5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2019 (2)</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5"/>
              </w:rPr>
              <w:t>2019 (2)</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54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79" w:hanging="330"/>
        <w:spacing w:after="0" w:line="268"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ind w:left="380" w:right="379" w:hanging="330"/>
        <w:spacing w:after="0" w:line="255"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 has reclassified $3.9 million and $10.0 million from transportation brokerage and freight forwarding services to warehouse and distribution services for the three and nine months ended September 30, 2019, respectively, to be consistent with its current period presentation. There was no change in total Logistics revenue for the three and nine months ended September 30,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Transportation Brokerage and Freight Forwarding services revenue consists of amounts billed to customers for</w:t>
      </w:r>
    </w:p>
    <w:p>
      <w:pPr>
        <w:ind w:left="380" w:right="99"/>
        <w:spacing w:after="0" w:line="255" w:lineRule="auto"/>
        <w:rPr>
          <w:sz w:val="20"/>
          <w:szCs w:val="20"/>
          <w:color w:val="auto"/>
        </w:rPr>
      </w:pPr>
      <w:r>
        <w:rPr>
          <w:rFonts w:ascii="Arial" w:cs="Arial" w:eastAsia="Arial" w:hAnsi="Arial"/>
          <w:sz w:val="18"/>
          <w:szCs w:val="18"/>
          <w:color w:val="auto"/>
        </w:rPr>
        <w:t>services provided. The primary costs include third-party purchased transportation services, labor and equipment.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30" w:lineRule="exact"/>
        <w:rPr>
          <w:sz w:val="20"/>
          <w:szCs w:val="20"/>
          <w:color w:val="auto"/>
        </w:rPr>
      </w:pPr>
    </w:p>
    <w:p>
      <w:pPr>
        <w:ind w:left="380" w:right="99"/>
        <w:spacing w:after="0" w:line="281" w:lineRule="auto"/>
        <w:rPr>
          <w:sz w:val="20"/>
          <w:szCs w:val="20"/>
          <w:color w:val="auto"/>
        </w:rPr>
      </w:pPr>
      <w:r>
        <w:rPr>
          <w:rFonts w:ascii="Arial" w:cs="Arial" w:eastAsia="Arial" w:hAnsi="Arial"/>
          <w:sz w:val="16"/>
          <w:szCs w:val="16"/>
          <w:color w:val="auto"/>
        </w:rPr>
        <w:t>Warehousing and distribution services revenue consist of amounts billed to customers for storage, handling, and value-added packaging of customer merchandise. Storage revenue is recognized in the month the service is provided to the</w:t>
      </w:r>
    </w:p>
    <w:p>
      <w:pPr>
        <w:spacing w:after="0" w:line="1" w:lineRule="exact"/>
        <w:rPr>
          <w:sz w:val="20"/>
          <w:szCs w:val="20"/>
          <w:color w:val="auto"/>
        </w:rPr>
      </w:pPr>
    </w:p>
    <w:p>
      <w:pPr>
        <w:ind w:left="380" w:right="199"/>
        <w:spacing w:after="0" w:line="250" w:lineRule="auto"/>
        <w:rPr>
          <w:sz w:val="20"/>
          <w:szCs w:val="20"/>
          <w:color w:val="auto"/>
        </w:rPr>
      </w:pPr>
      <w:r>
        <w:rPr>
          <w:rFonts w:ascii="Arial" w:cs="Arial" w:eastAsia="Arial" w:hAnsi="Arial"/>
          <w:sz w:val="18"/>
          <w:szCs w:val="18"/>
          <w:color w:val="auto"/>
        </w:rPr>
        <w:t>customer. Storage related costs are recognized as incurred. Other warehousing and distribution services revenue and related costs are recognized in proportion to the services performed.</w:t>
      </w: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7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b w:val="1"/>
          <w:bCs w:val="1"/>
          <w:i w:val="1"/>
          <w:iCs w:val="1"/>
          <w:color w:val="auto"/>
        </w:rPr>
        <w:t xml:space="preserve">Capital Construction Fund: </w:t>
      </w:r>
      <w:r>
        <w:rPr>
          <w:rFonts w:ascii="Arial" w:cs="Arial" w:eastAsia="Arial" w:hAnsi="Arial"/>
          <w:sz w:val="17"/>
          <w:szCs w:val="17"/>
          <w:color w:val="auto"/>
        </w:rPr>
        <w:t>The Company’s Capital Construction Fund (“CCF”) is described in Note 7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Financial Statements included in Part II, Item 8 of the Company’s Annual Report on Form 10-K for the year ended December 31, 2019. As of September 30, 2020 and December 31, 2019, $1.7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nine months ended September 30, 2020, the Company deposited $97.1 million into the CCF, and made qualifying cash withdrawals of $97.1 million from the CCF, respectively. The Company made no qualifying cash deposits or withdrawals during the three months ended September 30, 2020. The balance of cash on deposit at September 30, 2020 and December 31, 2019 was nominal.</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for SSAT for the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and 2019 consisted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(243.1)</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(262.6)</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(738.4)</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(771.8)</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Company’s investment in SSAT was $55.2 million and $76.2 million at September 30, 2020 and December 31, 2019, respectively. During the nine months ended September 30, 2020, the Company recorded an increase of $2.2 million in its investment in SSAT and a corresponding increase in retained earnings related to the formation of a new subsidiary of SSAT, whose controlling interest is retained by SSAT.</w:t>
      </w:r>
    </w:p>
    <w:p>
      <w:pPr>
        <w:spacing w:after="0" w:line="18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b w:val="1"/>
          <w:bCs w:val="1"/>
          <w:i w:val="1"/>
          <w:iCs w:val="1"/>
          <w:color w:val="auto"/>
        </w:rPr>
        <w:t xml:space="preserve">Deferred Loan Fees: </w:t>
      </w:r>
      <w:r>
        <w:rPr>
          <w:rFonts w:ascii="Arial" w:cs="Arial" w:eastAsia="Arial" w:hAnsi="Arial"/>
          <w:sz w:val="18"/>
          <w:szCs w:val="18"/>
          <w:color w:val="auto"/>
        </w:rPr>
        <w:t>The Company records deferred loan fees, excluding those related to the revolving credit facility,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reduction to Total Debt in the Company’s Condensed Consolidated Balance Sheets in accordance with Accounting Standards Update (“ASU”) 2015-03, </w:t>
      </w:r>
      <w:r>
        <w:rPr>
          <w:rFonts w:ascii="Arial" w:cs="Arial" w:eastAsia="Arial" w:hAnsi="Arial"/>
          <w:sz w:val="18"/>
          <w:szCs w:val="18"/>
          <w:i w:val="1"/>
          <w:iCs w:val="1"/>
          <w:color w:val="auto"/>
        </w:rPr>
        <w:t>Interest-Imputation of Interest (Subtopic 835-30): Simplifying the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Debt Issuance Costs</w:t>
      </w:r>
      <w:r>
        <w:rPr>
          <w:rFonts w:ascii="Arial" w:cs="Arial" w:eastAsia="Arial" w:hAnsi="Arial"/>
          <w:sz w:val="18"/>
          <w:szCs w:val="18"/>
          <w:color w:val="auto"/>
        </w:rPr>
        <w:t>. These costs are being amortized over the life of the related debt using the effective interest method</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Deferred loan fees related to the Company’s revolving credit facility are recorded in other long-term assets in the Company’s Condensed Consolidated Balance Sheets. These deferred loan fees are being amortized using the straight-line method as the difference between that and the use of the effective interest method is not material. These deferred loan fees were $2.5 million and $1.3 million at September 30, 2020 and December 31, 2019, respectively.</w:t>
      </w:r>
    </w:p>
    <w:p>
      <w:pPr>
        <w:spacing w:after="0" w:line="171"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Company’s third quarter 2020 cash dividend of $0.23 per share was paid on September 3, 2020.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29, 2020, the Company’s Board of Directors declared a cash dividend of $0.23 per share payable on December 3,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(“ASU 2016-13”): In June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(“FASB”) issued ASU 2016-13 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w:t>
      </w:r>
    </w:p>
    <w:p>
      <w:pPr>
        <w:spacing w:after="0" w:line="164"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Company adopted ASU 2016-13 effective January 1, 2020 using the modified retrospective approach. Upon adoption, the Company included an evaluation of expected future credit losses as part of its estimate for determining the allowance for doubtful accounts. The impact of this change was not material to the Company’s allowance for doubtful accounts receivable in the Condensed Consolidated Financial Statements. The Company will continue to monitor the impact of COVID-19 pandemic on expected future credit losses. The Company’s accounting policy related to allowance for doubtful accounts receivable is described above.</w:t>
      </w:r>
    </w:p>
    <w:p>
      <w:pPr>
        <w:spacing w:after="0" w:line="192" w:lineRule="exact"/>
        <w:rPr>
          <w:sz w:val="20"/>
          <w:szCs w:val="20"/>
          <w:color w:val="auto"/>
        </w:rPr>
      </w:pPr>
    </w:p>
    <w:p>
      <w:pPr>
        <w:ind w:left="60" w:right="179"/>
        <w:spacing w:after="0" w:line="285" w:lineRule="auto"/>
        <w:rPr>
          <w:sz w:val="20"/>
          <w:szCs w:val="20"/>
          <w:color w:val="auto"/>
        </w:rPr>
      </w:pPr>
      <w:r>
        <w:rPr>
          <w:rFonts w:ascii="Arial" w:cs="Arial" w:eastAsia="Arial" w:hAnsi="Arial"/>
          <w:sz w:val="16"/>
          <w:szCs w:val="16"/>
          <w:i w:val="1"/>
          <w:iCs w:val="1"/>
          <w:color w:val="auto"/>
        </w:rPr>
        <w:t xml:space="preserve">Customer’s Accounting for Implementation Costs Incurred in a Cloud Computing Arrangement That is a Service Contract </w:t>
      </w:r>
      <w:r>
        <w:rPr>
          <w:rFonts w:ascii="Arial" w:cs="Arial" w:eastAsia="Arial" w:hAnsi="Arial"/>
          <w:sz w:val="16"/>
          <w:szCs w:val="16"/>
          <w:color w:val="auto"/>
        </w:rPr>
        <w:t>(“ASU 2018-15”): In August 2018, FASB issued ASU 2018-15 which aligns the requirements for capitalizing implementation costs incurred in a hosting arrangement that is a service contract with the requirements for capitalizing costs incurred to develop or obtain internal-use software. The Company adopted ASU 2018-15 on a prospective basis effective January 1, 2020. During the nine months ended September 30, 2020, the Company capitalized costs of</w:t>
      </w:r>
    </w:p>
    <w:p>
      <w:pPr>
        <w:spacing w:after="0" w:line="2"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$1.9 million related to cloud computing arrangements and which were included in other long-term assets on the Company’s Condensed Consolidated Balance Sheets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consists of two reportable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78"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$40.2 million and $28.2 million for the three months ended September 30, 2020 and 2019, and $83.8 million and $75.3 million for the nine months ended September 30, 2020 and 2019, respectively, have been eliminated from operating revenues in the table below.</w:t>
      </w:r>
    </w:p>
    <w:p>
      <w:pPr>
        <w:spacing w:after="0" w:line="1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Reportable segment financial information for the three and nine months ended September 30, 2020 and 2019 are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437.2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1,310.0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1,250.5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645.2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572.1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1,683.2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1,662.4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Ocean Transportation (3)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Total Operating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679" w:hanging="330"/>
        <w:spacing w:after="0" w:line="268"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Ocean Transportation operating revenue excludes inter-segment revenue of $22.4 million and $14.0 million for the three months ended September 30, 2020 and 2019, and $43.7 million and $39.2 million for the nine months ended September 30, 2020 and 2019, respectively.</w:t>
      </w:r>
    </w:p>
    <w:p>
      <w:pPr>
        <w:ind w:left="380" w:right="159" w:hanging="330"/>
        <w:spacing w:after="0" w:line="221"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$17.8 million and $14.2 million for the three months ended September 30, 2020 and 2019, and $40.1 million and $36.1 million for the nine months ended September 30, 2020 and 2019, respectively.</w:t>
      </w:r>
    </w:p>
    <w:p>
      <w:pPr>
        <w:ind w:left="380" w:right="99" w:hanging="330"/>
        <w:spacing w:after="0" w:line="232"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$7.7 million and $8.4 million of equity in income from the Company’s equity investment in SSAT for the three months ended September 30, 2020 and 2019, and $15.4 million and $17.8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September 30, 2020 and December 31, 2019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1,914.1</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construction in progress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(1,197.1)</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 xml:space="preserve">Vessel construction in progress relates to progress payments for the construction of new vessels, capitalized owner’s items and capitalized interest. During the nine months ended September 30, 2020, the newly constructed vessel </w:t>
      </w:r>
      <w:r>
        <w:rPr>
          <w:rFonts w:ascii="Arial" w:cs="Arial" w:eastAsia="Arial" w:hAnsi="Arial"/>
          <w:sz w:val="18"/>
          <w:szCs w:val="18"/>
          <w:i w:val="1"/>
          <w:iCs w:val="1"/>
          <w:color w:val="auto"/>
        </w:rPr>
        <w:t>Lurline</w:t>
      </w:r>
      <w:r>
        <w:rPr>
          <w:rFonts w:ascii="Arial" w:cs="Arial" w:eastAsia="Arial" w:hAnsi="Arial"/>
          <w:sz w:val="18"/>
          <w:szCs w:val="18"/>
          <w:color w:val="auto"/>
        </w:rPr>
        <w:t xml:space="preserve"> was placed into service resulting in $308.2 million, including $16.5 million of capitalized interest, being transferred from the Vessel construction in progress category to the Vessels category within Property and Equipment. Capitalized interest included in Vessel construction in progress was $11.0 million and $22.0 million at September 30, 2020 and December 31, 2019, respectively.</w:t>
      </w:r>
    </w:p>
    <w:p>
      <w:pPr>
        <w:spacing w:after="0" w:line="200" w:lineRule="exact"/>
        <w:rPr>
          <w:sz w:val="20"/>
          <w:szCs w:val="20"/>
          <w:color w:val="auto"/>
        </w:rPr>
      </w:pPr>
    </w:p>
    <w:p>
      <w:pPr>
        <w:spacing w:after="0" w:line="204"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September 30, 2020 and December 31, 2019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Ocean</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Transportation</w:t>
            </w: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as of September 30, 2020 and December 31, 2019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deterioration in general economic and market conditions due to the COVID-19 pandemic and its impact on the performance of each of the Company’s reporting units. Based on the Company’s assessment of its market capitalization, future forecasts and the amount of excess of fair value over the carrying value of the reporting units in the 2019 annual impairment tests, the Company concluded that an impairment triggering event did not occur during the quarter ended September 30, 2020.</w:t>
      </w:r>
    </w:p>
    <w:p>
      <w:pPr>
        <w:spacing w:after="0" w:line="192"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a more prolonged and/or severe COVID-19 pandemic,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or future changes in the assumptions and estimates used in assessing the fair value of the reporting unit, could require the Company to record a non-cash impairment charge.</w:t>
      </w:r>
    </w:p>
    <w:p>
      <w:pPr>
        <w:spacing w:after="0" w:line="166"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2020 and December 31, 2019,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5.79 %, payable through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4.16 %, payable through 2027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3.37 %, payable through 2027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3.14 %, payable through 2031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4.35 %, payable through 2044</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Title XI Debt: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5.27 %, payable through 2029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1.22 %, payable through 2043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1.35 %, payable through 2044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maturity date of June 29, 2022</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loan fees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Company’s debt is described in Note 6 to the Condensed Consolidated Financial Statements included in the Company’s Quarterly Report on Form 10-Q for the three months ended March 31, 2020 and in the Company’s Quarterly Report on Form 10-Q for the three months ended June 30, 2020.</w:t>
      </w:r>
    </w:p>
    <w:p>
      <w:pPr>
        <w:spacing w:after="0" w:line="184"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As of September 30, 2020, the Company had $518.9 million of remaining borrowing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availability under the revolving credit facility. The Company used $8.1 million of the sublimit for letters of credit outstanding as of September 30, 2020. Based on the Company’s consolidated net leverage ratio, which stipulates borrowing margins, the interest rate applicable to revolving credit facility was approximately 3.25 percent at September 30, 2020. Borrowings under the revolving credit facility are classified as long-term debt in the Condensed Consolidated Balance Sheets, as principal payments are not required until the maturity date of June 29, 2022.</w:t>
      </w:r>
    </w:p>
    <w:p>
      <w:pPr>
        <w:spacing w:after="0" w:line="178"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was unsecured, except for the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Debt Maturities: </w:t>
      </w:r>
      <w:r>
        <w:rPr>
          <w:rFonts w:ascii="Arial" w:cs="Arial" w:eastAsia="Arial" w:hAnsi="Arial"/>
          <w:sz w:val="17"/>
          <w:szCs w:val="17"/>
          <w:color w:val="auto"/>
        </w:rPr>
        <w:t>As of September 30, 2020, debt maturities during the next five years and thereafter are as follows: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6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b w:val="1"/>
          <w:bCs w:val="1"/>
          <w:i w:val="1"/>
          <w:iCs w:val="1"/>
          <w:color w:val="auto"/>
        </w:rPr>
        <w:t xml:space="preserve">Deferred Loan Fees: </w:t>
      </w:r>
      <w:r>
        <w:rPr>
          <w:rFonts w:ascii="Arial" w:cs="Arial" w:eastAsia="Arial" w:hAnsi="Arial"/>
          <w:sz w:val="17"/>
          <w:szCs w:val="17"/>
          <w:color w:val="auto"/>
        </w:rPr>
        <w:t>Deferred loan fees are recorded as a reduction of Total Debt in the Condensed Consolidated Balance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Sheets in accordance with Accounting Standards Codification (“ASC”) 835, </w:t>
      </w:r>
      <w:r>
        <w:rPr>
          <w:rFonts w:ascii="Arial" w:cs="Arial" w:eastAsia="Arial" w:hAnsi="Arial"/>
          <w:sz w:val="17"/>
          <w:szCs w:val="17"/>
          <w:i w:val="1"/>
          <w:iCs w:val="1"/>
          <w:color w:val="auto"/>
        </w:rPr>
        <w:t>Imputation of Interest</w:t>
      </w:r>
      <w:r>
        <w:rPr>
          <w:rFonts w:ascii="Arial" w:cs="Arial" w:eastAsia="Arial" w:hAnsi="Arial"/>
          <w:sz w:val="17"/>
          <w:szCs w:val="17"/>
          <w:color w:val="auto"/>
        </w:rPr>
        <w:t xml:space="preserve"> (“ASC 835”). Activity relating to deferred loan fees for the nine months ended September 30, 2020 are as follows:</w:t>
      </w:r>
    </w:p>
    <w:p>
      <w:pPr>
        <w:spacing w:after="0" w:line="170" w:lineRule="exact"/>
        <w:rPr>
          <w:sz w:val="20"/>
          <w:szCs w:val="20"/>
          <w:color w:val="auto"/>
        </w:rPr>
      </w:pPr>
    </w:p>
    <w:p>
      <w:pPr>
        <w:ind w:left="60"/>
        <w:spacing w:after="0"/>
        <w:tabs>
          <w:tab w:leader="none" w:pos="8060" w:val="left"/>
        </w:tabs>
        <w:rPr>
          <w:sz w:val="20"/>
          <w:szCs w:val="20"/>
          <w:color w:val="auto"/>
        </w:rPr>
      </w:pPr>
      <w:r>
        <w:rPr>
          <w:rFonts w:ascii="Arial" w:cs="Arial" w:eastAsia="Arial" w:hAnsi="Arial"/>
          <w:sz w:val="14"/>
          <w:szCs w:val="14"/>
          <w:b w:val="1"/>
          <w:bCs w:val="1"/>
          <w:color w:val="auto"/>
        </w:rPr>
        <w:t>Deferred Loan Fees (in millions)</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financing costs related to Title XI bonds and private placement debt amendments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fees expensed related to the redemption of private placement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Amortization expense for the nine months ended September 30, 2020</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862" w:hanging="862"/>
        <w:spacing w:after="0"/>
        <w:tabs>
          <w:tab w:leader="none" w:pos="8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16.5</w:t>
      </w:r>
    </w:p>
    <w:p>
      <w:pPr>
        <w:spacing w:after="0" w:line="7"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(0.3)</w:t>
      </w:r>
    </w:p>
    <w:p>
      <w:pPr>
        <w:spacing w:after="0" w:line="32"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80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2" w:lineRule="exact"/>
        <w:rPr>
          <w:sz w:val="20"/>
          <w:szCs w:val="20"/>
          <w:color w:val="auto"/>
        </w:rPr>
      </w:pPr>
    </w:p>
    <w:p>
      <w:pPr>
        <w:ind w:left="862" w:hanging="862"/>
        <w:spacing w:after="0"/>
        <w:tabs>
          <w:tab w:leader="none" w:pos="8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0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804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998" w:space="720"/>
            <w:col w:w="1301"/>
          </w:cols>
          <w:pgMar w:left="1440" w:top="517" w:right="1440" w:bottom="1440" w:gutter="0" w:footer="0" w:header="0"/>
          <w:type w:val="continuous"/>
        </w:sectPr>
      </w:pPr>
    </w:p>
    <w:p>
      <w:pPr>
        <w:spacing w:after="0" w:line="5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As of September 30, 2020, amortization expense relating to deferred loan fees during the next five years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40" w:hanging="590"/>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2019.</w:t>
      </w:r>
    </w:p>
    <w:p>
      <w:pPr>
        <w:spacing w:after="0" w:line="170"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i w:val="1"/>
          <w:iCs w:val="1"/>
          <w:color w:val="auto"/>
        </w:rPr>
        <w:t xml:space="preserve">Components of Lease Cost: </w:t>
      </w:r>
      <w:r>
        <w:rPr>
          <w:rFonts w:ascii="Arial" w:cs="Arial" w:eastAsia="Arial" w:hAnsi="Arial"/>
          <w:sz w:val="18"/>
          <w:szCs w:val="18"/>
          <w:color w:val="auto"/>
        </w:rPr>
        <w:t>Components of lease cost recorded in the Company’s Condensed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Comprehensive Income for the three and nine months ended September 30, 2020 and 2019 consisted of the following: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6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i w:val="1"/>
          <w:iCs w:val="1"/>
          <w:color w:val="auto"/>
        </w:rPr>
        <w:t xml:space="preserve">Sale and Leaseback of Equipment: </w:t>
      </w:r>
      <w:r>
        <w:rPr>
          <w:rFonts w:ascii="Arial" w:cs="Arial" w:eastAsia="Arial" w:hAnsi="Arial"/>
          <w:sz w:val="17"/>
          <w:szCs w:val="17"/>
          <w:color w:val="auto"/>
        </w:rPr>
        <w:t>On March 25, 2020, the Company entered into an agreement for the sale and leaseback</w:t>
      </w:r>
      <w:r>
        <w:rPr>
          <w:rFonts w:ascii="Arial" w:cs="Arial" w:eastAsia="Arial" w:hAnsi="Arial"/>
          <w:sz w:val="17"/>
          <w:szCs w:val="17"/>
          <w:i w:val="1"/>
          <w:iCs w:val="1"/>
          <w:color w:val="auto"/>
        </w:rPr>
        <w:t xml:space="preserve"> </w:t>
      </w:r>
      <w:r>
        <w:rPr>
          <w:rFonts w:ascii="Arial" w:cs="Arial" w:eastAsia="Arial" w:hAnsi="Arial"/>
          <w:sz w:val="17"/>
          <w:szCs w:val="17"/>
          <w:color w:val="auto"/>
        </w:rPr>
        <w:t>of multiple tranches of chassis and container equipment. The net proceeds from the sales were $14.3 million, and the gain on the disposal of the equipment was not material to the Company’s Condensed Consolidated Financial Statements. The Company subsequently leased back the equipment under a five-year operating lease agreement that includes purchase options exercisable at fair market value. There were no sale and leaseback transactions during the second and third quarter of 2020, and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hanging="570"/>
        <w:spacing w:after="0"/>
        <w:tabs>
          <w:tab w:leader="none" w:pos="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are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Post-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3"/>
              </w:rPr>
              <w:t>Pensions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Qualified</w:t>
            </w:r>
          </w:p>
        </w:tc>
        <w:tc>
          <w:tcPr>
            <w:tcW w:w="20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Retirement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52"/>
              <w:spacing w:after="0" w:line="158" w:lineRule="exact"/>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Foreign currency exchange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 (gain)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Foreign currency exchange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u w:val="single" w:color="auto"/>
                <w:color w:val="auto"/>
              </w:rPr>
              <w:t>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2019 consisted of the following:</w:t>
      </w:r>
    </w:p>
    <w:tbl>
      <w:tblPr>
        <w:tblLayout w:type="fixed"/>
        <w:tblInd w:w="40" w:type="dxa"/>
        <w:tblCellMar>
          <w:top w:w="0" w:type="dxa"/>
          <w:left w:w="0" w:type="dxa"/>
          <w:bottom w:w="0" w:type="dxa"/>
          <w:right w:w="0" w:type="dxa"/>
        </w:tblCellMar>
      </w:tblP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3"/>
              </w:rPr>
              <w:t>Pensions</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Retirement</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March 31, 2019</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June 30, 2019</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(0.4)</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 (gain)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hanging="590"/>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45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September 30, 2020 and December 31, 2019 are as follows:</w:t>
      </w:r>
    </w:p>
    <w:tbl>
      <w:tblPr>
        <w:tblLayout w:type="fixed"/>
        <w:tblInd w:w="20" w:type="dxa"/>
        <w:tblCellMar>
          <w:top w:w="0" w:type="dxa"/>
          <w:left w:w="0" w:type="dxa"/>
          <w:bottom w:w="0" w:type="dxa"/>
          <w:right w:w="0" w:type="dxa"/>
        </w:tblCellMar>
      </w:tblPr>
      <w:tr>
        <w:trPr>
          <w:trHeight w:val="141"/>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2"/>
                <w:szCs w:val="12"/>
                <w:color w:val="auto"/>
              </w:rPr>
            </w:pPr>
          </w:p>
        </w:tc>
        <w:tc>
          <w:tcPr>
            <w:tcW w:w="102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September 30, 2020</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3"/>
              </w:rPr>
              <w:t>Value Measurements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w w:val="94"/>
              </w:rPr>
              <w:t>at September 30,</w:t>
            </w:r>
          </w:p>
        </w:tc>
        <w:tc>
          <w:tcPr>
            <w:tcW w:w="5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697.7</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697.7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w w:val="98"/>
              </w:rPr>
              <w:t>Fair Value Measurements at December 31, 2019</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579.3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585.9</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20" w:hanging="6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September 30, 2020 and 2019.</w:t>
      </w:r>
    </w:p>
    <w:p>
      <w:pPr>
        <w:spacing w:after="0" w:line="90"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three and nine months ended September 30, 2020 and 2019 are as follows: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4"/>
          </w:tcPr>
          <w:p>
            <w:pPr>
              <w:spacing w:after="0"/>
              <w:rPr>
                <w:sz w:val="20"/>
                <w:szCs w:val="20"/>
                <w:color w:val="auto"/>
              </w:rPr>
            </w:pPr>
            <w:r>
              <w:rPr>
                <w:rFonts w:ascii="Arial" w:cs="Arial" w:eastAsia="Arial" w:hAnsi="Arial"/>
                <w:sz w:val="13"/>
                <w:szCs w:val="13"/>
                <w:b w:val="1"/>
                <w:bCs w:val="1"/>
                <w:color w:val="auto"/>
                <w:w w:val="98"/>
              </w:rPr>
              <w:t>Three Months Ended September 30, 2020</w:t>
            </w:r>
          </w:p>
        </w:tc>
        <w:tc>
          <w:tcPr>
            <w:tcW w:w="20" w:type="dxa"/>
            <w:vAlign w:val="bottom"/>
          </w:tcPr>
          <w:p>
            <w:pPr>
              <w:spacing w:after="0"/>
              <w:rPr>
                <w:sz w:val="14"/>
                <w:szCs w:val="14"/>
                <w:color w:val="auto"/>
              </w:rPr>
            </w:pPr>
          </w:p>
        </w:tc>
        <w:tc>
          <w:tcPr>
            <w:tcW w:w="2380" w:type="dxa"/>
            <w:vAlign w:val="bottom"/>
            <w:gridSpan w:val="11"/>
          </w:tcPr>
          <w:p>
            <w:pPr>
              <w:jc w:val="center"/>
              <w:ind w:right="20"/>
              <w:spacing w:after="0"/>
              <w:rPr>
                <w:sz w:val="20"/>
                <w:szCs w:val="20"/>
                <w:color w:val="auto"/>
              </w:rPr>
            </w:pPr>
            <w:r>
              <w:rPr>
                <w:rFonts w:ascii="Arial" w:cs="Arial" w:eastAsia="Arial" w:hAnsi="Arial"/>
                <w:sz w:val="13"/>
                <w:szCs w:val="13"/>
                <w:b w:val="1"/>
                <w:bCs w:val="1"/>
                <w:color w:val="auto"/>
                <w:w w:val="94"/>
              </w:rPr>
              <w:t>Nine Months Ended September 30, 2020</w:t>
            </w:r>
          </w:p>
        </w:tc>
      </w:tr>
      <w:tr>
        <w:trPr>
          <w:trHeight w:val="129"/>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3"/>
                <w:szCs w:val="13"/>
                <w:b w:val="1"/>
                <w:bCs w:val="1"/>
                <w:color w:val="auto"/>
              </w:rPr>
              <w:t>Per</w:t>
            </w:r>
          </w:p>
        </w:tc>
        <w:tc>
          <w:tcPr>
            <w:tcW w:w="2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Average</w:t>
            </w:r>
          </w:p>
        </w:tc>
        <w:tc>
          <w:tcPr>
            <w:tcW w:w="20" w:type="dxa"/>
            <w:vAlign w:val="bottom"/>
          </w:tcPr>
          <w:p>
            <w:pPr>
              <w:spacing w:after="0"/>
              <w:rPr>
                <w:sz w:val="12"/>
                <w:szCs w:val="12"/>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r>
      <w:tr>
        <w:trPr>
          <w:trHeight w:val="149"/>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Share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0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6"/>
              </w:rPr>
              <w:t>Income</w:t>
            </w:r>
          </w:p>
        </w:tc>
        <w:tc>
          <w:tcPr>
            <w:tcW w:w="2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r>
      <w:tr>
        <w:trPr>
          <w:trHeight w:val="209"/>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107.5</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r>
      <w:tr>
        <w:trPr>
          <w:trHeight w:val="209"/>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107.5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3"/>
          </w:tcPr>
          <w:p>
            <w:pPr>
              <w:spacing w:after="0"/>
              <w:rPr>
                <w:sz w:val="20"/>
                <w:szCs w:val="20"/>
                <w:color w:val="auto"/>
              </w:rPr>
            </w:pPr>
            <w:r>
              <w:rPr>
                <w:rFonts w:ascii="Arial" w:cs="Arial" w:eastAsia="Arial" w:hAnsi="Arial"/>
                <w:sz w:val="13"/>
                <w:szCs w:val="13"/>
                <w:b w:val="1"/>
                <w:bCs w:val="1"/>
                <w:color w:val="auto"/>
                <w:w w:val="97"/>
              </w:rPr>
              <w:t>Three Months Ended September 30, 2019</w:t>
            </w:r>
          </w:p>
        </w:tc>
        <w:tc>
          <w:tcPr>
            <w:tcW w:w="20" w:type="dxa"/>
            <w:vAlign w:val="bottom"/>
          </w:tcPr>
          <w:p>
            <w:pPr>
              <w:spacing w:after="0"/>
              <w:rPr>
                <w:sz w:val="24"/>
                <w:szCs w:val="24"/>
                <w:color w:val="auto"/>
              </w:rPr>
            </w:pPr>
          </w:p>
        </w:tc>
        <w:tc>
          <w:tcPr>
            <w:tcW w:w="2380" w:type="dxa"/>
            <w:vAlign w:val="bottom"/>
            <w:gridSpan w:val="11"/>
          </w:tcPr>
          <w:p>
            <w:pPr>
              <w:jc w:val="center"/>
              <w:ind w:right="20"/>
              <w:spacing w:after="0"/>
              <w:rPr>
                <w:sz w:val="20"/>
                <w:szCs w:val="20"/>
                <w:color w:val="auto"/>
              </w:rPr>
            </w:pPr>
            <w:r>
              <w:rPr>
                <w:rFonts w:ascii="Arial" w:cs="Arial" w:eastAsia="Arial" w:hAnsi="Arial"/>
                <w:sz w:val="13"/>
                <w:szCs w:val="13"/>
                <w:b w:val="1"/>
                <w:bCs w:val="1"/>
                <w:color w:val="auto"/>
                <w:w w:val="94"/>
              </w:rPr>
              <w:t>Nine Months Ended September 30, 2019</w:t>
            </w:r>
          </w:p>
        </w:tc>
      </w:tr>
      <w:tr>
        <w:trPr>
          <w:trHeight w:val="129"/>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r>
      <w:tr>
        <w:trPr>
          <w:trHeight w:val="149"/>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Share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0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Income</w:t>
            </w:r>
          </w:p>
        </w:tc>
        <w:tc>
          <w:tcPr>
            <w:tcW w:w="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Amount</w:t>
            </w:r>
          </w:p>
        </w:tc>
      </w:tr>
      <w:tr>
        <w:trPr>
          <w:trHeight w:val="209"/>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6"/>
              </w:rPr>
              <w:t>67.1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r>
      <w:tr>
        <w:trPr>
          <w:trHeight w:val="210"/>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6"/>
              </w:rPr>
              <w:t>67.1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During the three and nine months ended September 30, 2020, the Company granted approximately 3,000 and 341,200 in total of time-based restricted stock units and performance-based shares to certain of its employees at a weighted average grant date fair value of $41.82 and $38.67, respectively.</w:t>
      </w:r>
    </w:p>
    <w:p>
      <w:pPr>
        <w:spacing w:after="0" w:line="184"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$5.9 million and $2.5 million for the three months ended September 30, 2020 and 2019, and $12.0 million and $8.7 million for the nine months ended September 30, 2020 and 2019, respectively. Total unrecognized compensation cost related to unvested share-based compensation arrangements was $17.3 million at September 30, 2020, and is expected to be recognized over a weighted average period of approximately 1.9 years. Total unrecognized compensation cost may be adjusted for any unearned performance shares or forfeited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hanging="6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2019. Components of net periodic benefit cost and other amounts recognized in Other Comprehensive Income (Loss) for the qualified pension plans and the post-retirement benefit plans for the three and nine months ended September 30, 2020 and 2019 consisted of the following:</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313"/>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2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80" w:type="dxa"/>
            <w:vAlign w:val="bottom"/>
            <w:gridSpan w:val="8"/>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jc w:val="right"/>
              <w:ind w:right="27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280" w:type="dxa"/>
            <w:vAlign w:val="bottom"/>
            <w:gridSpan w:val="9"/>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80" w:type="dxa"/>
            <w:vAlign w:val="bottom"/>
          </w:tcPr>
          <w:p>
            <w:pPr>
              <w:spacing w:after="0"/>
              <w:rPr>
                <w:sz w:val="14"/>
                <w:szCs w:val="14"/>
                <w:color w:val="auto"/>
              </w:rPr>
            </w:pPr>
          </w:p>
        </w:tc>
        <w:tc>
          <w:tcPr>
            <w:tcW w:w="2200" w:type="dxa"/>
            <w:vAlign w:val="bottom"/>
            <w:gridSpan w:val="7"/>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2"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 change over time, including, but not limited to, the risk factors that are described in Part II, Item 1A, “Risk Factors” below.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2019, the Company’s reports on Forms 10-Q and 8-K, and other publicly available information.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QUARTER 2020 DISCUSSION AND UPDATE ON BUSINESS CONDITIONS</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third quarter 2020 was 0.8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lower year-over-year primarily due to lower volume from the state’s COVID-19 mitigation efforts including restrictions on tourism and a second shelter-in-place order that took effect in August. The State of Hawaii recently eased visitor travel restrictions to the islands, but the levels of tourism are expected to remain low in the near-term and to have a meaningfully negative impact on Hawaii’s economy.</w:t>
      </w:r>
    </w:p>
    <w:p>
      <w:pPr>
        <w:spacing w:after="0" w:line="188"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In China, the Company’s container volume in the third quarter 2020 was 124.7 percent higher year-over-year primarily due to volume from the CLX+ service in addition to higher volume on the CLX service as a result of increased capacity in the tradelane. Matson continued to realize a rate premium in the third quarter 2020 and achieved average freight rates that were higher than in the year ago period. The Company expects increased consumption of e-commerce and other commodities along with potential further disruption in air cargo markets to continue to provide opportunities for its CLX and CLX+ expedited ocean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39"/>
        <w:spacing w:after="0" w:line="263" w:lineRule="auto"/>
        <w:rPr>
          <w:sz w:val="20"/>
          <w:szCs w:val="20"/>
          <w:color w:val="auto"/>
        </w:rPr>
      </w:pPr>
      <w:r>
        <w:rPr>
          <w:rFonts w:ascii="Arial" w:cs="Arial" w:eastAsia="Arial" w:hAnsi="Arial"/>
          <w:sz w:val="18"/>
          <w:szCs w:val="18"/>
          <w:color w:val="auto"/>
        </w:rPr>
        <w:t>In Guam, the Company’s container volume in the third quarter 2020 was 2.1 percent higher primarily due to increased demand for home improvement and government cargo. In the near-term, we expect depressed tourism levels to have a negative impact on the Guam economy.</w:t>
      </w:r>
    </w:p>
    <w:p>
      <w:pPr>
        <w:spacing w:after="0" w:line="184"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 Alaska, the Company’s container volume for the third quarter 2020 increased 1.5 percent year-over-year primarily due to higher southbound volume as a result of stronger seafood volume compared to the prior year, partially offset by modestly lower northbound volume. The Alaska economy continues to recover from the second quarter low, but residual negative economic effects from the COVID-19 pandemic coupled with a low oil price environment is expected to have a negative impact on Alaska’s economy in the near-term.</w:t>
      </w:r>
    </w:p>
    <w:p>
      <w:pPr>
        <w:spacing w:after="0" w:line="188"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color w:val="auto"/>
        </w:rPr>
        <w:t>The contribution in the third quarter 2020 from the Company’s SSAT joint venture investment was $7.7 million, or $0.7 million lower than the third quarter 2019. The decrease was primarily due to lower lift volume.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third quarter 2020, operating income for the Company’s Logistics segment was $11.9 million, or</w:t>
      </w:r>
    </w:p>
    <w:p>
      <w:pPr>
        <w:spacing w:after="0" w:line="23"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$0.6 million higher compared to the operating income achieved in the third quarter 2019. The increase was due primarily to improved performance in all of the business lines (i.e., transportation brokerage, freight forwarding, warehousing and distribution, and supply chain management and other services) driven by the continued reopening of the U.S. economy. In the near-term, we expect the elevated consumption of e-commerce and other high demand goods to benefit most of the business lines.</w:t>
      </w:r>
    </w:p>
    <w:p>
      <w:pPr>
        <w:spacing w:after="0" w:line="191"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For the fourth quarter of 2020, the Company expects its businesses to continue to perform well and to generate strong financial results.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September 30, 2020, compared with 2019: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Pr>
          <w:p>
            <w:pPr>
              <w:spacing w:after="0"/>
              <w:rPr>
                <w:sz w:val="14"/>
                <w:szCs w:val="14"/>
                <w:color w:val="auto"/>
              </w:rPr>
            </w:pPr>
          </w:p>
        </w:tc>
        <w:tc>
          <w:tcPr>
            <w:tcW w:w="3060" w:type="dxa"/>
            <w:vAlign w:val="bottom"/>
            <w:gridSpan w:val="10"/>
          </w:tcPr>
          <w:p>
            <w:pPr>
              <w:jc w:val="right"/>
              <w:ind w:right="49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(546.8)</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(516.9)</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(580.0)%</w:t>
            </w:r>
          </w:p>
        </w:tc>
        <w:tc>
          <w:tcPr>
            <w:tcW w:w="0" w:type="dxa"/>
            <w:vAlign w:val="bottom"/>
          </w:tcPr>
          <w:p>
            <w:pPr>
              <w:spacing w:after="0"/>
              <w:rPr>
                <w:sz w:val="1"/>
                <w:szCs w:val="1"/>
                <w:color w:val="auto"/>
              </w:rPr>
            </w:pPr>
          </w:p>
        </w:tc>
      </w:tr>
      <w:tr>
        <w:trPr>
          <w:trHeight w:val="21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96.7 %</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decrease in interest expense for the three months ended September 30, 2020, compared to the three months ended September 30, 2019, was due to lower outstanding debt during the period, offset by a lower amount of capitalized interest associated with the new vessel construction.</w:t>
      </w:r>
    </w:p>
    <w:p>
      <w:pPr>
        <w:spacing w:after="0" w:line="184" w:lineRule="exact"/>
        <w:rPr>
          <w:sz w:val="20"/>
          <w:szCs w:val="20"/>
          <w:color w:val="auto"/>
        </w:rPr>
      </w:pPr>
    </w:p>
    <w:p>
      <w:pPr>
        <w:jc w:val="both"/>
        <w:ind w:left="60" w:right="279"/>
        <w:spacing w:after="0" w:line="259"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 and interest received from income tax refunds. The increase in Other income (expense) was due to favorable adjustments related to the Company’s pension and post-retirement plan liabilities during the three months ended September 30, 2020.</w:t>
      </w:r>
    </w:p>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Income tax expense was $24.2 million or 25.4 percent of income before income taxes for the three months ended September 30, 2020, compared to $12.3 million or 25.4 percent of income before income taxes for the three months ended September 30,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Nine months ended September 30, 2020, compared with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w w:val="96"/>
              </w:rPr>
              <w:t>Nine Months Ended 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(1,520.6)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(1,558.7)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400.0 %</w:t>
            </w:r>
          </w:p>
        </w:tc>
        <w:tc>
          <w:tcPr>
            <w:tcW w:w="0" w:type="dxa"/>
            <w:vAlign w:val="bottom"/>
          </w:tcPr>
          <w:p>
            <w:pPr>
              <w:spacing w:after="0"/>
              <w:rPr>
                <w:sz w:val="1"/>
                <w:szCs w:val="1"/>
                <w:color w:val="auto"/>
              </w:rPr>
            </w:pPr>
          </w:p>
        </w:tc>
      </w:tr>
      <w:tr>
        <w:trPr>
          <w:trHeight w:val="20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599"/>
        <w:spacing w:after="0" w:line="381" w:lineRule="auto"/>
        <w:rPr>
          <w:sz w:val="20"/>
          <w:szCs w:val="20"/>
          <w:color w:val="auto"/>
        </w:rPr>
      </w:pPr>
      <w:r>
        <w:rPr>
          <w:rFonts w:ascii="Arial" w:cs="Arial" w:eastAsia="Arial" w:hAnsi="Arial"/>
          <w:sz w:val="15"/>
          <w:szCs w:val="15"/>
          <w:color w:val="auto"/>
        </w:rPr>
        <w:t>The increase in interest expense for the nine months ended September 30, 2020, compared to the nine months ended September 30, 2019, was due to a lower amount of capitalized interest associated with the new vessel construction.</w:t>
      </w:r>
    </w:p>
    <w:p>
      <w:pPr>
        <w:spacing w:after="0" w:line="100"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Other income (expense) relates to the amortization of certain components of net periodic benefit costs or gains related to the Company’s pension and post-retirement plans, and interest income received from income tax refunds. The increase in Other income (expense) was due to favorable adjustments related to the Company’s pension and post-retirement plan liabilities and higher interest received from income tax refunds during the nine months ended September 30, 2020.</w:t>
      </w:r>
    </w:p>
    <w:p>
      <w:pPr>
        <w:spacing w:after="0" w:line="157"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Income tax expense was $37.1 million or 25.7 percent of income before income taxes for the nine months ended September 30, 2020, compared to $20.6 million or 23.5 percent of income before income taxes for the nine months ended September 30, 2019. In connection with the Tax Cuts and Jobs Act of 2017 (the “Tax Act”), the Company recorded a non-cash tax adjustment of $2.9 million that decreased income taxes for the nine months ended September 30, 2019. Excluding the impact of this non-cash tax adjustment, the adjusted effective tax rate would have been 26.8 percent for the nine months ended September 30, 2019. The adjusted effective tax rate for the nine months ended September 30, 2019 is higher than the effective tax rate for the nine months ended September 30, 2020 due to discrete tax adjustments recorded during that period.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Ocean Transportation Operating Results - Three months ended September 30, 2020, compared with 2019:</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3040" w:type="dxa"/>
            <w:vAlign w:val="bottom"/>
            <w:gridSpan w:val="10"/>
          </w:tcPr>
          <w:p>
            <w:pPr>
              <w:jc w:val="right"/>
              <w:ind w:right="49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(411.8)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(393.3)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12,900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(2,800)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38,200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21,200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0"/>
              </w:rPr>
              <w:t>124.7 %</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Ocean Transportation revenue increased $61.1 million during the three months ended September 30, 2020, compared with the three months ended September 30, 2019. The increase was primarily due to higher freight revenue in the China service, including revenue associated with the CLX+, partially offset by lower fuel-related surcharge revenue and lower revenue in the Hawaii service.</w:t>
      </w:r>
    </w:p>
    <w:p>
      <w:pPr>
        <w:spacing w:after="0" w:line="187"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On a year-over-year FEU basis, Hawaii container volume decreased 0.8 percent primarily due to lower volume from the state’s COVID-19 mitigation efforts including restrictions on tourism and a second shelter-in-place order that took effect in August; Alaska volume increased 1.5 percent primarily due to higher southbound volume as a result of stronger seafood volume compared to the prior year, partially offset by modestly lower northbound volume; China volume was</w:t>
      </w:r>
    </w:p>
    <w:p>
      <w:pPr>
        <w:spacing w:after="0" w:line="1" w:lineRule="exact"/>
        <w:rPr>
          <w:sz w:val="20"/>
          <w:szCs w:val="20"/>
          <w:color w:val="auto"/>
        </w:rPr>
      </w:pPr>
    </w:p>
    <w:p>
      <w:pPr>
        <w:ind w:left="60" w:right="119"/>
        <w:spacing w:after="0" w:line="302" w:lineRule="auto"/>
        <w:rPr>
          <w:sz w:val="20"/>
          <w:szCs w:val="20"/>
          <w:color w:val="auto"/>
        </w:rPr>
      </w:pPr>
      <w:r>
        <w:rPr>
          <w:rFonts w:ascii="Arial" w:cs="Arial" w:eastAsia="Arial" w:hAnsi="Arial"/>
          <w:sz w:val="16"/>
          <w:szCs w:val="16"/>
          <w:color w:val="auto"/>
        </w:rPr>
        <w:t>124.7 percent higher primarily due to volume from the CLX+ service in addition to higher volume on the CLX service as a result of Matson’s increased capacity in the tradelane; Guam volume was 2.1 percent higher primarily due to increased demand for home improvement and government cargo; and Other containers volume increased 4.5 percent.</w:t>
      </w:r>
    </w:p>
    <w:p>
      <w:pPr>
        <w:spacing w:after="0" w:line="15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Ocean Transportation operating income increased $42.6 million, or 97.0 percent, during the three months ended September 30, 2020, compared with the three months ended September 30, 2019. The increase was primarily due to a higher contribution from the China service, including the contribution from the CLX+, lower vessel operating costs, including the impact of one less vessel operating in the Hawaii service, and the timing of fuel-related surcharge collections, partially offset by a lower contribution from the Hawaii service and higher general and administrative expenses.</w:t>
      </w:r>
    </w:p>
    <w:p>
      <w:pPr>
        <w:spacing w:after="0" w:line="16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SSAT terminal joint venture investment contributed $7.7 million during the three months ended September 30, 2020, compared to a contribution of $8.4 million during the three months ended September 30, 2019. The decrease was primarily due to lower lift volume.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Ocean Transportation Operating Results - Nine months ended September 30, 2020, compared with 2019:</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(1,173.3)</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(1,177.5)</w:t>
            </w:r>
          </w:p>
        </w:tc>
        <w:tc>
          <w:tcPr>
            <w:tcW w:w="1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87.3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Arial" w:cs="Arial" w:eastAsia="Arial" w:hAnsi="Arial"/>
                <w:sz w:val="18"/>
                <w:szCs w:val="18"/>
                <w:color w:val="auto"/>
                <w:w w:val="99"/>
              </w:rPr>
              <w:t>Volume (Forty-foot equivalent units (FEU), except for automobiles) (1)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w w:val="93"/>
              </w:rPr>
              <w:t>(15,000)(30.4)%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31,400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66.7 %</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Ocean Transportation revenue increased $59.5 million, or 4.8 percent, during the nine months ended September 30, 2020, compared with the nine months ended September 30, 2019. The increase was primarily due to higher freight revenue in the China service, including revenue associated with the CLX+, partially offset by lower revenue in the Hawaii service and lower fuel-related surcharge revenue.</w:t>
      </w:r>
    </w:p>
    <w:p>
      <w:pPr>
        <w:spacing w:after="0" w:line="187"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On a year-over-year FEU basis, Hawaii container volume decreased 1.1 percent primarily due to lower volume as a result of the state’s COVID-19 mitigation efforts including restrictions on tourism, partially offset by volume associated with the dry-docking of one of Pasha’s vessels; Alaska volume increased by 0.7 percent primarily due to higher northbound volume, including volume associated with the dry-docking of a competitor’s vessel, partially offset by modestly lower southbound volume; China volume was 66.7 percent higher primarily due to volume from the CLX+ service; Guam volume was 4.8 percent lower primarily due to lower demand for retail-related goods resulting from the COVID-19 pandemic and its related effects; and Other container volume decreased 0.8 percent.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Ocean Transportation operating income increased $63.7 million, or 87.3 percent, during the nine months ended September 30, 2020, compared with the nine months ended September 30, 2019. The increase was primarily due to a higher contribution from the China service, including the contribution from the CLX+, and lower vessel operating costs, including the impact of one less vessel operating in the Hawaii service, partially offset by a lower contribution from the Hawaii service.</w:t>
      </w:r>
    </w:p>
    <w:p>
      <w:pPr>
        <w:spacing w:after="0" w:line="18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Company’s SSAT terminal joint venture investment contributed $15.4 million during the nine months ended September 30, 2020, compared to a contribution of $17.8 million during the nine months ended September 30, 2019. The decrease was largely attributable to lower lift volume.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93"/>
              </w:rPr>
              <w:t>Three Months Ended 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(135.0)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(123.6)</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(11.4)</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9.2 %</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Logistics revenue increased $12.0 million, or 8.9 percent, during the three months ended September 30, 2020, compared with the three months ended September 30, 2019. The increase was primarily due to higher transportation brokerage revenue.</w:t>
      </w:r>
    </w:p>
    <w:p>
      <w:pPr>
        <w:spacing w:after="0" w:line="18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Logistics operating income increased $0.6 million, or 5.3 percent, for the three months ended September 30, 2020, compared with the three months ended September 30, 2019. The increase was due primarily to a higher contribution from transportation brokerage.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(15.6)%</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Logistics revenue decreased $38.7 million, or 9.4 percent, during the nine months ended September 30, 2020, compared with the nine months ended September 30, 2019. The decrease was primarily due to lower transportation brokerage and freight forwarding revenue.</w:t>
      </w:r>
    </w:p>
    <w:p>
      <w:pPr>
        <w:spacing w:after="0" w:line="184"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Logistics operating income decreased $4.8 million, or 15.6 percent, for the nine months ended September 30, 2020, compared with the nine months ended September 30, 2019. The decrease was due primarily to lower contributions from transportation brokerage and freight forwarding.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as of September 30, 2020, compared to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were as follows:</w:t>
      </w:r>
    </w:p>
    <w:tbl>
      <w:tblPr>
        <w:tblLayout w:type="fixed"/>
        <w:tblInd w:w="40" w:type="dxa"/>
        <w:tblCellMar>
          <w:top w:w="0" w:type="dxa"/>
          <w:left w:w="0" w:type="dxa"/>
          <w:bottom w:w="0" w:type="dxa"/>
          <w:right w:w="0" w:type="dxa"/>
        </w:tblCellMar>
      </w:tblPr>
      <w:tr>
        <w:trPr>
          <w:trHeight w:val="141"/>
        </w:trPr>
        <w:tc>
          <w:tcPr>
            <w:tcW w:w="6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79" w:hanging="330"/>
        <w:spacing w:after="0" w:line="25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September 30, 2020 and December 31, 2019, $1.7 million and $1.7 million, respectively, of eligible accounts receivable were assigned to the CCF (see Note 2 of the Condensed Consolidated Financial Statements).</w:t>
      </w:r>
    </w:p>
    <w:p>
      <w:pPr>
        <w:spacing w:after="0" w:line="17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 xml:space="preserve">Cash, Cash Equivalents and Restricted Cash: </w:t>
      </w:r>
      <w:r>
        <w:rPr>
          <w:rFonts w:ascii="Arial" w:cs="Arial" w:eastAsia="Arial" w:hAnsi="Arial"/>
          <w:sz w:val="18"/>
          <w:szCs w:val="18"/>
          <w:color w:val="auto"/>
        </w:rPr>
        <w:t>Significant changes in the Company’s cash, cash equivalents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for the nine months ended September 30, 2020, compared to the nine months ended September 30, 2019 are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420" w:type="dxa"/>
            <w:vAlign w:val="bottom"/>
            <w:gridSpan w:val="8"/>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(95.6)</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(168.3)</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 (3)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Changes in net cash provided by operating activities for the nine months ended September 30, 2020, compared to the nine months ended September 30, 2019, were due to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Other non-cash related changes,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Changes in accounts receivable were primarily due to the timing of collections associated with those receivables. Changes in accounts payable, accruals and other liabilities were primarily due to the timing of payments associated with those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Changes in net cash used in investing activities for the nine months ended September 30, 2020, compared to the nine months ended September 30, 2019, were due to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deposits into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Withdrawals from CCF</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Capitalized vessel construction expenditures (including capitalized interest) were $57.8 million for the nine months ended September 30, 2020, compared to $108.7 million for the nine months ended September 30, 2019. Capitalized vessel construction expenditures relate to progress payments for the construction of new vessels, capitalized interest and owner’s items.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$53.5 million for the nine months ended September 30, 2020, compared to $62.7 million for the nine months ended September 30, 2019. The decrease in other capital expenditures is primarily due to the timing of certain capital project activities incurred during 2020 as compared to 2019. The increase in proceeds from disposal of property and equipment is primarily due to the sale and leaseback of chassis and container equipment for net proceeds of $14.3 million during the nine months ended September 30, 2020. There were no sale and leaseback transactions during the nine months ended September 30, 2019.</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Changes in net cash used in financing activities for the nine months ended September 30, 2020, compared to the nine months ended September 30, 2019, were due to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issuance of fixed interest debt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 under revolving credit facility,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Payment of financing costs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 in other payments, net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During the nine months ended September 30, 2020, the Company received $325.5 million of proceeds from two new Title XI debt issuances, and paid $204.2 million in scheduled fixed debt payments and redeemed debt at par of $169.5 million, compared to $28.4 million in scheduled fixed debt payments during the nine months ended September 30, 2019. During the nine months ended September 30, 2020, the Company decreased net borrowings under the revolving credit facility by $256.1 million, compared to $55.0 million increase during the nine months ended September 30, 2019. During the nine months ended September 30, 2020, the Company paid $18.5 million in financing costs related to the amendment of its revolving credit facility, private placement term loans and Title XI debt. No financing costs were paid during the nine months ended September 30, 2019. During the nine months ended September 30, 2020, the Company paid $29.1 million in dividends, compared to $27.7 million during the nine months ended September 30, 2019. The increase in dividend payments resulted from an increase in dividends declared per share of common stock by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September 30, 2020 and December 31, 2019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(256.1)</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(134.8)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Total Debt decreased by $134.8 million during the nine months ended September 30, 2020. The decrease in the Company’s outstanding revolving credit borrowings was primarily due to the increase in net cash provided by operating activities, proceeds from issuance of new fixed interest debt and lower capital expenditure. The increase in fixed interest debt was due to the issuance of new Title XI debt partially offset by the repayment of private placement term loans during the nine months ended September 30, 2020.</w:t>
      </w:r>
    </w:p>
    <w:p>
      <w:pPr>
        <w:spacing w:after="0" w:line="188"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As of September 30, 2020, the Company had $518.9 million of remaining borrowing availability under the revolving credit facility, with a maturity date of June 29, 2022. The Company’s debt is described in Note 6 of Part I, Item 1 above.</w:t>
      </w:r>
    </w:p>
    <w:p>
      <w:pPr>
        <w:spacing w:after="0" w:line="124"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deficiency of $164.0 million and $147.1 million at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The increase in working capital deficiency at September 30, 2020 is partially due to the timing of billings and collections associated with accounts receivable and other assets, and the timing of payments associated with accounts payable, accruals and other liabilities.</w:t>
      </w:r>
    </w:p>
    <w:p>
      <w:pPr>
        <w:spacing w:after="0" w:line="167"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left="60" w:right="319"/>
        <w:spacing w:after="0" w:line="311" w:lineRule="auto"/>
        <w:rPr>
          <w:rFonts w:ascii="Arial" w:cs="Arial" w:eastAsia="Arial" w:hAnsi="Arial"/>
          <w:sz w:val="16"/>
          <w:szCs w:val="16"/>
          <w:color w:val="0000EE"/>
        </w:rPr>
      </w:pPr>
      <w:r>
        <w:rPr>
          <w:rFonts w:ascii="Arial" w:cs="Arial" w:eastAsia="Arial" w:hAnsi="Arial"/>
          <w:sz w:val="16"/>
          <w:szCs w:val="16"/>
          <w:color w:val="auto"/>
        </w:rPr>
        <w:t xml:space="preserve">Except as described below, there were no material changes during this quarter to the Company’s contractual obligations, commitments, contingencies and off-balance sheet arrangements that are described in Part II, Item 7 of the Company’s </w:t>
      </w:r>
      <w:hyperlink r:id="rId44">
        <w:r>
          <w:rPr>
            <w:rFonts w:ascii="Arial" w:cs="Arial" w:eastAsia="Arial" w:hAnsi="Arial"/>
            <w:sz w:val="16"/>
            <w:szCs w:val="16"/>
            <w:u w:val="single" w:color="auto"/>
            <w:color w:val="0000EE"/>
          </w:rPr>
          <w:t>Annual Report on Form 10-K for the year ended December 31, 2019</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which is incorporated herein by reference.</w:t>
      </w:r>
    </w:p>
    <w:p>
      <w:pPr>
        <w:spacing w:after="0" w:line="14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Company’s debt is described in Note 6 to the Condensed Consolidated Financial Statements included in the Company’s Quarterly Report on Form 10-Q for the three months ended March 31, 2020 and in the Company’s Quarterly Report on Form 10-Q for the three months ended June 30,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The Company’s third quarter 2020 cash dividend of $0.23 per share was paid on September 3, 2020. On October 29, 2020, the Company’s Board of Directors declared a cash dividend of $0.23 per share payable on December 3,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2020,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three months ended September 30, 2020, that have materially affected, or are reasonably likely to materially affect, the Company’s internal control over financial reporting.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 The risk factors described below include any material changes to and supersede the risk factors previously described in Part II, Item 1A, “Risk Factors” of the Company’s Quarterly Report on Form 10-Q for the quarter ended March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Jones Act</w:t>
      </w:r>
    </w:p>
    <w:p>
      <w:pPr>
        <w:spacing w:after="0" w:line="221"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6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position as a U.S. citizen operator of Jones Act vessels would be negatively impacted if periodic efforts and attempts by foreign interests to circumvent certain aspects of the Jones Act were ever successful. If maritime cabotage services were included in the General Agreement on Trade in Services, the United States-Mexico-Canada Agreement, the U.S.-EU Trade Agreement or other international trade agreements, or if the restrictions contained in the Jones Act were otherwise altered, the shipping of cargo between covered U.S. ports could be opened to foreign-flag or foreign-built vessels or would have other adverse impacts.</w:t>
      </w:r>
    </w:p>
    <w:p>
      <w:pPr>
        <w:spacing w:after="0" w:line="192"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The Company’s business would be adversely affected if the Company were determined not to be a U.S. citizen under the Jones Act.</w:t>
      </w:r>
    </w:p>
    <w:p>
      <w:pPr>
        <w:spacing w:after="0" w:line="16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would have an adverse effect on the Company’s financial condition and results of operation.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Operations</w:t>
      </w:r>
    </w:p>
    <w:p>
      <w:pPr>
        <w:spacing w:after="0" w:line="221"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Our results of operations have been adversely affected and could in the future be materially adversely impacted by the COVID-19 pandemic.</w:t>
      </w:r>
    </w:p>
    <w:p>
      <w:pPr>
        <w:spacing w:after="0" w:line="166"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On March 11, 2020, the World Health Organization declared COVID-19 a global pandemic. Although the full scope and final duration of the COVID-19 pandemic remains uncertain, the pandemic has resulted in severe global macroeconomic disruptions and financial market volatility. In the United States and in many other countries worldwide,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public health officials and state and local governments have recommended and mandated precautions to mitigate the spread of COVID-19, including prohibitions on large or public gatherings, prohibited or restricted travel which have forced businesses to change practices or in some cases close, quarantining people who have travelled, requiring individuals to “shelter-in-place,” and instituting social distancing, except as needed for critical services or businesses. The outbreak of COVID-19 has harmed the U.S. and global economies, shut down many business operations and disrupted manufacturing, supply chains, travel, drayage of containers, and transportation of goods. Although the full impact of such economic disruptions on our business remains uncertain, we have experienced reductions in container volume resulting from lower demand or service disruptions which could adversely affect volumes and rates in our business. Spread of COVID-19 has severely reduced tourism, and is expected to continue to limit tourism, including to Hawaii, Guam and Alaska, and has led to reduced demand for freight that we would otherwise carry. Our operations may also be impacted adversely if our employees’ ability to travel continues to be restricted or they are otherwise unable to perform their duties, including mariners aboard our vessels, or if our terminals are temporarily closed due to a COVID-19 outbreak. Vessel dry-dockings and scrubber installations could also be delayed or become more expensive if Chinese shipyards are unable to accommodate demand or obtain parts or if necessary personnel are not allowed to travel to China. The financial difficulties or bankruptcies of Matson’s customers could also impact our revenue. In addition to operational disruptions related to public health measures, the global macroeconomic effects of the COVID-19 pandemic and related impacts on our customers’ business operations may persist for an indefinite period, even after the COVID-19 pandemic has subsided. Due to the continuing uncertainty around the duration, breadth and severity of the COVID-19 pandemic, the actions taken to contain the virus or treat its impact, and the impact of economic stimulus measures, the ultimate impact on our business, financial condition, operating results or cash flows cannot be reasonably estimated at this time.</w:t>
      </w:r>
    </w:p>
    <w:p>
      <w:pPr>
        <w:spacing w:after="0" w:line="182" w:lineRule="exact"/>
        <w:rPr>
          <w:sz w:val="20"/>
          <w:szCs w:val="20"/>
          <w:color w:val="auto"/>
        </w:rPr>
      </w:pPr>
    </w:p>
    <w:p>
      <w:pPr>
        <w:ind w:left="60" w:right="359"/>
        <w:spacing w:after="0" w:line="301" w:lineRule="auto"/>
        <w:rPr>
          <w:sz w:val="20"/>
          <w:szCs w:val="20"/>
          <w:color w:val="auto"/>
        </w:rPr>
      </w:pPr>
      <w:r>
        <w:rPr>
          <w:rFonts w:ascii="Arial" w:cs="Arial" w:eastAsia="Arial" w:hAnsi="Arial"/>
          <w:sz w:val="16"/>
          <w:szCs w:val="16"/>
          <w:color w:val="auto"/>
        </w:rPr>
        <w:t>During the first quarter of 2020, we amended our bank credit facility and private lender note agreements to enhance our liquidity position and access to borrowings our bank credit facility in response to uncertainty related to the COVID-19 pandemic. However, if our access to capital is restricted or our borrowing costs increase as a result of developments in financial markets relating to the pandemic, our operations and financial condition could be adversely impacted.</w:t>
      </w:r>
    </w:p>
    <w:p>
      <w:pPr>
        <w:spacing w:after="0" w:line="153"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color w:val="auto"/>
        </w:rPr>
        <w:t>Changes in U.S., global, regional economic conditions or governmental policies have resulted in a decrease in consumer confidence and market demand for the Company’s services and products in Hawaii and Alaska, the U.S. Mainland, Guam and the South Pacific and have adversely affected the Company’s financial position, results of operations, liquidity, or cash flows.</w:t>
      </w:r>
    </w:p>
    <w:p>
      <w:pPr>
        <w:spacing w:after="0" w:line="184"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A weakening of domestic and global economies has adversely impacted, and will continue to adversely impact (although the duration is not yet known), the level of freight volumes and freight rates. Within the U.S., a weakening of economic drivers in Hawaii and Alaska, which include tourism, military spending, construction starts, personal income growth and employment, the weakening of consumer confidence, market demand, and the economy in the U.S. Mainland, or the effect of a change in the strength of the U.S. dollar against other foreign currencies, have further reduced the demand for goods, adversely affecting inland and ocean transportation volumes or rates. For example, the uncertainties regarding the COVID-19 pandemic and “shelter-in-place” restrictions have severely decreased tourism, weakened consumer demand, impacted the financial markets and contributed to an economic downturn in the U.S., impacting freight volumes and revenues. The dramatic decline in the price of oil due to the oil trade wars and reduced demand from the significant decline in air or car travel in response to COVID-19 will further impact the Alaska economy which in turn could impact our business. In addition, overcapacity in the global or transpacific ocean transportation markets, a change in the cost of goods or currency exchange rates, imposition of tariffs and uncertainty of tariff rates, or a change in international trade policies have adversely affected freight volumes and rates in the Company’s China service.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our volumes and rates. For example, in May 2020, the Company’s major competitor in the China service upsized its expedited service from China to the U.S. West Coast. As a result of this and other potential competitor actions, the Company could experience a reduction 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loss of or damage to key customer or agent relationships may adversely affect the Company’s business.</w:t>
      </w:r>
    </w:p>
    <w:p>
      <w:pPr>
        <w:spacing w:after="0" w:line="241"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large retailers and consumer goods and automobile manufacturers, as well as other larger customers. In 2019, the Company’s Ocean Transportation segment’s 10 largest customers accounted for approximately 23 percent of the business’ revenue. In 2019, the Company’s Logistics segment’s 10 largest customers accounted for approximately 21 percent of the business’ revenue.</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 could also be adversely affected by any changes in the services, or changes to the costs of services, provided by agents. Relationships with railroads and shipping companies and agents are important in the Company’s intermodal business as well as in the Guam, Micronesia, Japan and South Pacific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loss of or damage to any of these key relationships may adversely affect the Company’s business and revenue.</w:t>
      </w:r>
    </w:p>
    <w:p>
      <w:pPr>
        <w:spacing w:after="0" w:line="233"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Company’s businesses are dependent upon key vendors who provide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consolidated results of operations and financial condition could be adversely affected.</w:t>
      </w:r>
    </w:p>
    <w:p>
      <w:pPr>
        <w:spacing w:after="0" w:line="172" w:lineRule="exact"/>
        <w:rPr>
          <w:sz w:val="20"/>
          <w:szCs w:val="20"/>
          <w:color w:val="auto"/>
        </w:rPr>
      </w:pPr>
    </w:p>
    <w:p>
      <w:pPr>
        <w:ind w:left="60" w:right="419"/>
        <w:spacing w:after="0" w:line="347" w:lineRule="auto"/>
        <w:rPr>
          <w:sz w:val="20"/>
          <w:szCs w:val="20"/>
          <w:color w:val="auto"/>
        </w:rPr>
      </w:pPr>
      <w:r>
        <w:rPr>
          <w:rFonts w:ascii="Arial" w:cs="Arial" w:eastAsia="Arial" w:hAnsi="Arial"/>
          <w:sz w:val="16"/>
          <w:szCs w:val="16"/>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20"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also may adversely affect its results of operations.</w:t>
      </w:r>
    </w:p>
    <w:p>
      <w:pPr>
        <w:spacing w:after="0" w:line="192"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Effective January 1, 2020, the IMO has imposed a world-wide regulation that generally requires that all ships must burn compliant fuel oil with a maximum sulfur content of ≤0.5 percent. Currently, LSFO is priced significantly higher than HSFO due to the need to refine the oil and the lack of sufficient quantities of LSFO on a global basis. While the Company has entered into contracts to secure LSFO on the U.S. West Coast, there is no guarantee that sufficient quantities will be available at a reasonable cost. In addition, prolonged use of LSFO on some Matson vessels could degrade engine performance or lead to higher maintenance costs. While Matson has announced plans to install scrubbers on additional vessels, there may be delays or other unexpected complications. The Company’s ability to recover the higher costs of IMO 2020 compliant fuel through fuel-related surcharges, the availability of LSFO, and the potential impact on vessel performance and maintenance costs may adversely affect the Company’s operations, business and profit.</w:t>
      </w:r>
    </w:p>
    <w:p>
      <w:pPr>
        <w:spacing w:after="0" w:line="162" w:lineRule="exact"/>
        <w:rPr>
          <w:sz w:val="20"/>
          <w:szCs w:val="20"/>
          <w:color w:val="auto"/>
        </w:rPr>
      </w:pPr>
    </w:p>
    <w:p>
      <w:pPr>
        <w:ind w:left="60" w:right="359"/>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As of December 31, 2019, Matson and its subsidiaries had 1,988 employees, of which 794 employees were covered by collective bargaining agreements with shoreside unions. In addition, Matson’s fleet of active vessels require 298 billets to operate these vessels. Matson’s vessel management services also employed personnel in 28 billets to manage three vessels. Such employees are also subject to collective bargaining agreements. Furthermore, the Company relies on the services of third-parties including SSAT that employ persons covered by collective bargaining agreements. For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additional information on collective bargaining agreements with unions, see Item1. C. Employees and Labor Relations of Part I of the Company’s Annual Report on Form 10-K for the year ended December 31, 2019.</w:t>
      </w:r>
    </w:p>
    <w:p>
      <w:pPr>
        <w:spacing w:after="0" w:line="170"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Company could be adversely affected by actions taken by employees of the Company or other companies in related industries against efforts by management of the Company or other companies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5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halls could have an adverse impact on Matson’s or SSAT’s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susceptible to weather, natural disasters and other operating risks.</w:t>
      </w:r>
    </w:p>
    <w:p>
      <w:pPr>
        <w:spacing w:after="0" w:line="229"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The Company’s operations are vulnerable to disruption as a result of weather, natural disasters and other climate driven events,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loss or damage to containers, cargo and other equipment, and loss of life or physical injury to its employees, all of which could have an adverse effect on the Company’s business. These impacts could be particularly acute in certain ports in Alaska where the Company is dependent on a single crane.</w:t>
      </w:r>
    </w:p>
    <w:p>
      <w:pPr>
        <w:spacing w:after="0" w:line="178"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The Company’s vessels and their cargoes are also subject to operating risks such as mechanical failure, collisions and human error. The occurrence of any of these events may result in damage to or loss of vessels or other property, or injury or death of people. If any of these events were to occur, the Company could be exposed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w:t>
      </w:r>
    </w:p>
    <w:p>
      <w:pPr>
        <w:spacing w:after="0" w:line="192"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57"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We face risks related to actual or threatened health epidemics, pandemics or other major health crises, which could significantly disrupt our business.</w:t>
      </w:r>
    </w:p>
    <w:p>
      <w:pPr>
        <w:spacing w:after="0" w:line="16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Our business could be impacted adversely by the effects of public health epidemics, pandemics or other major heath crises (which we refer to collectively as public health crises). Actual or threatened public health crises may have a number of adverse impacts, including volatility in the global economy, impacts to our customers’ business operations, reduced tourism in the markets we serve, or significant disruptions in ocean-borne transportation of goods, logistics demand and supply chain activity, caused by a variety of factors such as quarantines, factory and office closures, port closures, or other government-imposed restrictions, any of which could adversely impact our business,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 when they expire.</w:t>
      </w:r>
    </w:p>
    <w:p>
      <w:pPr>
        <w:spacing w:after="0" w:line="166"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color w:val="auto"/>
        </w:rPr>
        <w:t xml:space="preserve">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 For example, on November 26, 2018, a wholly-owned subsidiary of the Company entered into agreements whereby </w:t>
      </w:r>
      <w:r>
        <w:rPr>
          <w:rFonts w:ascii="Arial" w:cs="Arial" w:eastAsia="Arial" w:hAnsi="Arial"/>
          <w:sz w:val="16"/>
          <w:szCs w:val="16"/>
          <w:i w:val="1"/>
          <w:iCs w:val="1"/>
          <w:color w:val="auto"/>
        </w:rPr>
        <w:t>Maunalei</w:t>
      </w:r>
      <w:r>
        <w:rPr>
          <w:rFonts w:ascii="Arial" w:cs="Arial" w:eastAsia="Arial" w:hAnsi="Arial"/>
          <w:sz w:val="16"/>
          <w:szCs w:val="16"/>
          <w:color w:val="auto"/>
        </w:rPr>
        <w:t>, a U.S. flagged and Jones Act qualified vessel, was sold for $106.0 million and leased back from the buyer under an operating lease agreement. While the agreements contain customary representations, warranties and covenants, there remain risks that (a) the lessor could lose its Jones Act status,</w:t>
      </w:r>
    </w:p>
    <w:p>
      <w:pPr>
        <w:spacing w:after="0" w:line="4" w:lineRule="exact"/>
        <w:rPr>
          <w:sz w:val="20"/>
          <w:szCs w:val="20"/>
          <w:color w:val="auto"/>
        </w:rPr>
      </w:pPr>
    </w:p>
    <w:p>
      <w:pPr>
        <w:ind w:left="60" w:right="319" w:hanging="10"/>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that the Company could not replace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in the event it is no longer Jones Act eligible, or (c) if the repurchase option is elected, that the Company would not be able to consummate the repurchase of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at the end of the lease term.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routinely engage shipyards to dry-dock our vessels for regulatory compliance and to provide repair and maintenance. Vessels may also have to be dry-docked or repaired at sea in the event of accidents or other unforeseen damage. We also operate a number of older active and reserve vessels that may require more frequent and extensive maintenance. The cost of repairs are difficult to predict with certainty and can be substantial. Large dry-docking and other repair expenses could adversely affect the Company’s results of operations and cash flows.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77" w:lineRule="exact"/>
        <w:rPr>
          <w:sz w:val="20"/>
          <w:szCs w:val="20"/>
          <w:color w:val="auto"/>
        </w:rPr>
      </w:pPr>
    </w:p>
    <w:p>
      <w:pPr>
        <w:ind w:left="60" w:right="159"/>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The Company is highly dependent on the proper functioning of our information technology systems to enable operations and compete effectively. We regularly update our information technology systems or implement new systems which could cause substantial business interruption. There is no assurance that the systems upgrades or new systems will meet our current or future business needs, or that they will operate as designed. Our information technology systems also rely on third-party service providers for access to the Internet, satellite-based communications systems, the electric grid, database storage facilities and telecommunications providers. We have no control over the operations of these third-party service providers. In response to the COVID-19 pandemic and in compliance with guidance from public health officials and state and local governments, many of our employees are working from home or remotely, increasing our dependence on our information technology systems and third-party providers. If our information technology and 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70" w:lineRule="exact"/>
        <w:rPr>
          <w:sz w:val="20"/>
          <w:szCs w:val="20"/>
          <w:color w:val="auto"/>
        </w:rPr>
      </w:pPr>
    </w:p>
    <w:p>
      <w:pPr>
        <w:ind w:left="60" w:right="299"/>
        <w:spacing w:after="0" w:line="347" w:lineRule="auto"/>
        <w:rPr>
          <w:sz w:val="20"/>
          <w:szCs w:val="20"/>
          <w:color w:val="auto"/>
        </w:rPr>
      </w:pPr>
      <w:r>
        <w:rPr>
          <w:rFonts w:ascii="Arial" w:cs="Arial" w:eastAsia="Arial" w:hAnsi="Arial"/>
          <w:sz w:val="16"/>
          <w:szCs w:val="16"/>
          <w:b w:val="1"/>
          <w:bCs w:val="1"/>
          <w:color w:val="auto"/>
        </w:rPr>
        <w:t>Our information technology systems have in the past and may in the future be exposed to cybersecurity risks and other disruptions that could impair the Company’s ability to operate and adversely affect its business.</w:t>
      </w:r>
    </w:p>
    <w:p>
      <w:pPr>
        <w:spacing w:after="0" w:line="120"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Company relies extensively on its information technology systems and third-party service providers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our continuous efforts to make investments in our information technology systems and system-wide data security program, the implementation of security measures to protect our data and infrastructure against breaches and other cyber threats, and our use of internal processes and controls designed to protect the security and availability of our systems, we have in the past experienced and may in the future experience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The Company’s future success will depend, in significant part, upon the continued services of its key personnel, including its senior management and skilled employees. The permanent or temporary loss of the services of key personnel could adversely affect the Company’s future operating results because of such employees’ experience and knowledge of the Company’s business and customer relationships. If key employees depart or are unable to work, the Company may incur significant costs to replace them. Additionally, the Company’s ability to execute its business model could be impaired if it cannot replace them in a timely manner. The Company does not maintain key person insurance on any of its key personnel.</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The Company is involved in a joint venture and is subject to risks associated with joint venture relationships.</w:t>
      </w:r>
    </w:p>
    <w:p>
      <w:pPr>
        <w:spacing w:after="0" w:line="252"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The Company is involved in a terminal joint venture, SSAT (and through SSAT, other joint ventures at U.S. West Coast terminals), and may initiate future joint venture projects. A joint venture involves certain risks such as:</w:t>
      </w:r>
    </w:p>
    <w:p>
      <w:pPr>
        <w:spacing w:after="0" w:line="146"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joint venture partner at any time may have economic or business interests that are inconsistent with the Company’s;</w:t>
      </w:r>
    </w:p>
    <w:p>
      <w:pPr>
        <w:spacing w:after="0" w:line="32" w:lineRule="exact"/>
        <w:rPr>
          <w:rFonts w:ascii="Arial" w:cs="Arial" w:eastAsia="Arial" w:hAnsi="Arial"/>
          <w:sz w:val="16"/>
          <w:szCs w:val="16"/>
          <w:color w:val="auto"/>
        </w:rPr>
      </w:pPr>
    </w:p>
    <w:p>
      <w:pPr>
        <w:ind w:left="380" w:right="139" w:hanging="330"/>
        <w:spacing w:after="0" w:line="25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joint venture partner may fail to fund its share of capital for operations or to fulfill its other commitments, including providing accurate and timely accounting and financial information to the Company;</w:t>
      </w:r>
    </w:p>
    <w:p>
      <w:pPr>
        <w:ind w:left="380" w:right="279" w:hanging="330"/>
        <w:spacing w:after="0" w:line="281"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380" w:right="379" w:hanging="330"/>
        <w:spacing w:after="0" w:line="25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Actions of the joint venture may result in reputational harm to the Company.</w:t>
      </w:r>
    </w:p>
    <w:p>
      <w:pPr>
        <w:spacing w:after="0" w:line="21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Matson’s China, Micronesia, Japan and South Pacific services are subject to risks associated with conducting business in a foreign shipping market, which include:</w:t>
      </w:r>
    </w:p>
    <w:p>
      <w:pPr>
        <w:spacing w:after="0" w:line="170" w:lineRule="exact"/>
        <w:rPr>
          <w:sz w:val="20"/>
          <w:szCs w:val="20"/>
          <w:color w:val="auto"/>
        </w:rPr>
      </w:pPr>
    </w:p>
    <w:p>
      <w:pPr>
        <w:ind w:left="380" w:right="619" w:hanging="330"/>
        <w:spacing w:after="0" w:line="258"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Challenges in working with and maintaining good relationships with business associates in our foreign operations;</w:t>
      </w:r>
    </w:p>
    <w:p>
      <w:pPr>
        <w:spacing w:after="0" w:line="32" w:lineRule="exact"/>
        <w:rPr>
          <w:rFonts w:ascii="Arial" w:cs="Arial" w:eastAsia="Arial" w:hAnsi="Arial"/>
          <w:sz w:val="16"/>
          <w:szCs w:val="16"/>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80" w:right="199" w:hanging="330"/>
        <w:spacing w:after="0" w:line="265"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be in compliance with U.S. and foreign legal and regulatory restrictions, including compliance with the Foreign Corrupt Practices Act and foreign laws that prohibit corrupt payments to government officials;</w:t>
      </w: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or transpacific vessel overcapacity that may lead to decreases in volumes and shipping rates;</w:t>
      </w:r>
    </w:p>
    <w:p>
      <w:pPr>
        <w:spacing w:after="0" w:line="9" w:lineRule="exact"/>
        <w:rPr>
          <w:rFonts w:ascii="Arial" w:cs="Arial" w:eastAsia="Arial" w:hAnsi="Arial"/>
          <w:sz w:val="18"/>
          <w:szCs w:val="18"/>
          <w:color w:val="auto"/>
        </w:rPr>
      </w:pPr>
    </w:p>
    <w:p>
      <w:pPr>
        <w:ind w:left="380" w:right="199" w:hanging="330"/>
        <w:spacing w:after="0" w:line="250"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capacity of transpacific air freight markets, which could reduce demand for our transpacific expedited ocean services;</w:t>
      </w: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from COVID-19 or other epidemics or pandemics;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vessel deployment by competitors that impact the Company’s services;</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cost of goods or currency exchange rate fluctuations and our ability to manage these fluctuations;</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80" w:right="279" w:hanging="330"/>
        <w:spacing w:after="0" w:line="250"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Dynamics involving U.S. trade relations with other countries, including measures such as the imposition of tariffs at varying levels, uncertainty of tariff rates, or other governmental actions, all of which may affect the Company’s operations; and</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In addition, in the second quarter of 2020, the Company introduced a chartered vessel service (“CLX+”) to supplement our CLX service. Increases in vessel charter rates or fuel costs, inability to recharter vessels, strains on moving cargo through our terminals, or limitations on the availability of adequate equipment, may adversely affect the Company’s profitability, volumes and rates in the China service. While the westbound seafood back-haul volume from the Alaska-Asia Express service call in Dutch Harbor, Alaska is expected to help the long-term economics of CLX+, there is no guarantee that the CLX+ service will become permanent or profitable.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related to an accident or spill event.</w:t>
      </w:r>
    </w:p>
    <w:p>
      <w:pPr>
        <w:spacing w:after="0" w:line="229"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Shipbuilding Agreement with NASSCO is subject to risks.</w:t>
      </w:r>
    </w:p>
    <w:p>
      <w:pPr>
        <w:spacing w:after="0" w:line="22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 xml:space="preserve">On August 25, 2016, MatNav and NASSCO entered into a definitive agreement pursuant to which NASSCO will construct two new 3,500-TEU sized Kanaloa Class dual-fuel capable container and roll-on/roll-off vessels. The first vessel, </w:t>
      </w:r>
      <w:r>
        <w:rPr>
          <w:rFonts w:ascii="Arial" w:cs="Arial" w:eastAsia="Arial" w:hAnsi="Arial"/>
          <w:sz w:val="18"/>
          <w:szCs w:val="18"/>
          <w:i w:val="1"/>
          <w:iCs w:val="1"/>
          <w:color w:val="auto"/>
        </w:rPr>
        <w:t>Lurline</w:t>
      </w:r>
      <w:r>
        <w:rPr>
          <w:rFonts w:ascii="Arial" w:cs="Arial" w:eastAsia="Arial" w:hAnsi="Arial"/>
          <w:sz w:val="18"/>
          <w:szCs w:val="18"/>
          <w:color w:val="auto"/>
        </w:rPr>
        <w:t xml:space="preserve">, was delivered on December 26, 2019. The second vessel, </w:t>
      </w:r>
      <w:r>
        <w:rPr>
          <w:rFonts w:ascii="Arial" w:cs="Arial" w:eastAsia="Arial" w:hAnsi="Arial"/>
          <w:sz w:val="18"/>
          <w:szCs w:val="18"/>
          <w:i w:val="1"/>
          <w:iCs w:val="1"/>
          <w:color w:val="auto"/>
        </w:rPr>
        <w:t>Matsonia</w:t>
      </w:r>
      <w:r>
        <w:rPr>
          <w:rFonts w:ascii="Arial" w:cs="Arial" w:eastAsia="Arial" w:hAnsi="Arial"/>
          <w:sz w:val="18"/>
          <w:szCs w:val="18"/>
          <w:color w:val="auto"/>
        </w:rPr>
        <w:t>, is expected to be delivered in the fourth quarter of 2020. Failure of any party to the shipbuilding agreement to fulfill its obligations under the agreement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which prevent one or more significant subcontractors from performing, or (iv) the refusal or inability of NASSCO or any of its subcontractors to perform for any reason.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are investing approximately $60 million, including the installation of three new gantry cranes and upgrade of three existing cranes, as part of the first phase of a broader project to expand and improve the Company’s Sand Island terminal in Honolulu Harbor. We have also begun discussions with state and local authorities in Anchorage, Alaska regarding upgrades to those terminal and port facilities. Regulatory, construction or other delays or cost overruns related to the expansion and modernization of the terminals could have an adverse impact on our business plans, financial condition and results of operations. In addition, the terminal modernization programs may not result in improved operational productivity or generate expected returns.</w:t>
      </w:r>
    </w:p>
    <w:p>
      <w:pPr>
        <w:spacing w:after="0" w:line="191" w:lineRule="exact"/>
        <w:rPr>
          <w:sz w:val="20"/>
          <w:szCs w:val="20"/>
          <w:color w:val="auto"/>
        </w:rPr>
      </w:pPr>
    </w:p>
    <w:p>
      <w:pPr>
        <w:ind w:left="60" w:right="399"/>
        <w:spacing w:after="0" w:line="312" w:lineRule="auto"/>
        <w:rPr>
          <w:sz w:val="20"/>
          <w:szCs w:val="20"/>
          <w:color w:val="auto"/>
        </w:rPr>
      </w:pPr>
      <w:r>
        <w:rPr>
          <w:rFonts w:ascii="Arial" w:cs="Arial" w:eastAsia="Arial" w:hAnsi="Arial"/>
          <w:sz w:val="17"/>
          <w:szCs w:val="17"/>
          <w:b w:val="1"/>
          <w:bCs w:val="1"/>
          <w:color w:val="auto"/>
        </w:rPr>
        <w:t>Heightened security measures, war, actual or threatened terrorist attacks, efforts to combat terrorism and other acts of violence may adversely impact the Company’s operations and profitability.</w:t>
      </w:r>
    </w:p>
    <w:p>
      <w:pPr>
        <w:spacing w:after="0" w:line="14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Lines, Inc. (“Horizon”) in 2015 and Span Intermediate, LLC (“Span Alaska”) in 2016.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Horizon and Span Alaska acquisitions may expose us to unknown liabilities.</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We acquired Horizon subject to all of the liabilities and obligations of its non-Hawaii business, including any remaining liabilities and obligations associated with its Puerto Rico operations, which Horizon ceased during the first quarter of 2015. Similarly, in August 2016, we acquired Span Alaska subject to all of its liabilities and obligations. The disposition of these liabilities, and any other obligations that are unknown to the Company, including contingent liabilities, could have an adverse effect on the Company’s financial condition and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84"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Horizon and Span Alaska acquisitions become impaired.</w:t>
      </w:r>
    </w:p>
    <w:p>
      <w:pPr>
        <w:spacing w:after="0" w:line="16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We recorded significant intangible assets related to goodwill, customer relationships and trade name arising from the Horizon and Span Alaska acquisitions.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Financial Matters</w:t>
      </w:r>
    </w:p>
    <w:p>
      <w:pPr>
        <w:spacing w:after="0" w:line="221"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was the case in connection with the U.S. Federal Reserve’s interest rate increases in 2018, which would adversely affect the Company’s cash flow and results of operations. In addition, as the floating rate on certain borrowings under our revolving credit facility is tied to LIBOR, the uncertainty regarding the future of LIBOR as well as the transition from LIBOR to an alternate benchmark rate or rates could pose funding risks for the Company and adversely affect the Company’s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financing costs. Disruptions to the credit markets as a result of the COVID-19 pandemic or other macroeconomic or financial market developments could increase the Company’s cost of capital and limit the Company’s access to capital.</w:t>
      </w:r>
    </w:p>
    <w:p>
      <w:pPr>
        <w:spacing w:after="0" w:line="120" w:lineRule="exact"/>
        <w:rPr>
          <w:sz w:val="20"/>
          <w:szCs w:val="20"/>
          <w:color w:val="auto"/>
        </w:rPr>
      </w:pPr>
    </w:p>
    <w:p>
      <w:pPr>
        <w:ind w:left="60" w:right="319"/>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certain prohibitions on sale leaseback transactions,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and acquisitions and changes in the Company’s corporate structure. These factors may result in periodic revisions to our effective income tax rate, which could affect the Company’s cash flow and results of operations.</w:t>
      </w:r>
    </w:p>
    <w:p>
      <w:pPr>
        <w:spacing w:after="0" w:line="162"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79"/>
        <w:spacing w:after="0" w:line="347" w:lineRule="auto"/>
        <w:rPr>
          <w:sz w:val="20"/>
          <w:szCs w:val="20"/>
          <w:color w:val="auto"/>
        </w:rPr>
      </w:pPr>
      <w:r>
        <w:rPr>
          <w:rFonts w:ascii="Arial" w:cs="Arial" w:eastAsia="Arial" w:hAnsi="Arial"/>
          <w:sz w:val="16"/>
          <w:szCs w:val="16"/>
          <w:b w:val="1"/>
          <w:bCs w:val="1"/>
          <w:color w:val="auto"/>
        </w:rPr>
        <w:t>The Company may have exposure under its multi-employer pension and post-retirement plans in which it participates that extends beyond its funding obligation with respect to the Company’s employees.</w:t>
      </w:r>
    </w:p>
    <w:p>
      <w:pPr>
        <w:spacing w:after="0" w:line="120"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the Company’s Annual Report on Form 10-K for the year ended December 31, 2019).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Legal and Legislative Matters</w:t>
      </w:r>
    </w:p>
    <w:p>
      <w:pPr>
        <w:spacing w:after="0" w:line="221"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166"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the American Bureau of Shipping or similar classification societies, and must be periodically inspected by, or on behalf of, the United States Coast Guard. We are subject to IMO regulations, including the new IMO 2020 regulations limiting the sulfur content of fuel oil. Federal environmental laws and certain State laws also require us, as a vessel operator, to comply with numerous environmental regulations and to obtain certificates of financial responsibility and to adopt procedures for oil and hazardous substance spill prevention, response and clean up.</w:t>
      </w:r>
    </w:p>
    <w:p>
      <w:pPr>
        <w:spacing w:after="0" w:line="172"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In complying with these laws, we have incurred expenses and may incur future expenses for vessel modifications, changes in operating procedures and undergoing additional oversight inspections.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 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 comply with changes in governmental regulations, safety or other equipment standards to meet our customers’ changing needs. If any such costs are material, they could adversely affect our financial condition.</w:t>
      </w:r>
    </w:p>
    <w:p>
      <w:pPr>
        <w:spacing w:after="0" w:line="162" w:lineRule="exact"/>
        <w:rPr>
          <w:sz w:val="20"/>
          <w:szCs w:val="20"/>
          <w:color w:val="auto"/>
        </w:rPr>
      </w:pPr>
    </w:p>
    <w:p>
      <w:pPr>
        <w:ind w:left="60" w:right="659"/>
        <w:spacing w:after="0" w:line="312" w:lineRule="auto"/>
        <w:rPr>
          <w:sz w:val="20"/>
          <w:szCs w:val="20"/>
          <w:color w:val="auto"/>
        </w:rPr>
      </w:pPr>
      <w:r>
        <w:rPr>
          <w:rFonts w:ascii="Arial" w:cs="Arial" w:eastAsia="Arial" w:hAnsi="Arial"/>
          <w:sz w:val="17"/>
          <w:szCs w:val="17"/>
          <w:b w:val="1"/>
          <w:bCs w:val="1"/>
          <w:color w:val="auto"/>
        </w:rPr>
        <w:t>We are subject to regulation and liability under environmental laws that could result in substantial fines and penalties that may have a material adverse effect on our results of operations.</w:t>
      </w:r>
    </w:p>
    <w:p>
      <w:pPr>
        <w:spacing w:after="0" w:line="144"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U.S. Act to Prevent Pollution from vessels, which implements the International Maritime Pollution (MARPOL) treaty, and the Oil Pollution Act of 1990, among many other laws, treaties and regulations, provides for severe civil and criminal penalties related to vessel-generated pollution for incidents in U.S. waters within three nautical miles and in some cases within the 200-mile exclusive economic zone. The EPA requires vessels to obtain coverage under a general permit and to comply with inspection, monitoring, discharge, recordkeeping and reporting requirements. Matson’s vessels operate within emission control areas. If our vessels are not operated in accordance with these requirements, including waivers, permits or recordkeeping and other reporting requirements, such violations could result in substantial fines or penalties that could have a material adverse effect on our results of operations and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019"/>
        <w:spacing w:after="0" w:line="347" w:lineRule="auto"/>
        <w:rPr>
          <w:sz w:val="20"/>
          <w:szCs w:val="20"/>
          <w:color w:val="auto"/>
        </w:rPr>
      </w:pPr>
      <w:r>
        <w:rPr>
          <w:rFonts w:ascii="Arial" w:cs="Arial" w:eastAsia="Arial" w:hAnsi="Arial"/>
          <w:sz w:val="16"/>
          <w:szCs w:val="16"/>
          <w:b w:val="1"/>
          <w:bCs w:val="1"/>
          <w:color w:val="auto"/>
        </w:rPr>
        <w:t>The Company is subject to, and may in the future be subject to disputes, legal or other proceedings, and government inquiries or investigations that could have an adverse effect on the Company.</w:t>
      </w:r>
    </w:p>
    <w:p>
      <w:pPr>
        <w:spacing w:after="0" w:line="12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190"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66"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 through increased payments from customers. Further changes to these laws and regulations could adversely affect the Company.</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6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9">
        <w:r>
          <w:rPr>
            <w:rFonts w:ascii="Arial" w:cs="Arial" w:eastAsia="Arial" w:hAnsi="Arial"/>
            <w:sz w:val="16"/>
            <w:szCs w:val="16"/>
            <w:u w:val="single" w:color="auto"/>
            <w:color w:val="0000EE"/>
          </w:rPr>
          <w:t>Amendment No. 1 to Matson, Inc. Deferred Compensation Plan</w:t>
        </w:r>
      </w:hyperlink>
    </w:p>
    <w:p>
      <w:pPr>
        <w:spacing w:after="0" w:line="279" w:lineRule="exact"/>
        <w:rPr>
          <w:sz w:val="20"/>
          <w:szCs w:val="20"/>
          <w:color w:val="auto"/>
        </w:rPr>
      </w:pPr>
    </w:p>
    <w:p>
      <w:pPr>
        <w:ind w:left="880" w:right="35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41">
        <w:r>
          <w:rPr>
            <w:rFonts w:ascii="Arial" w:cs="Arial" w:eastAsia="Arial" w:hAnsi="Arial"/>
            <w:sz w:val="18"/>
            <w:szCs w:val="18"/>
            <w:u w:val="single" w:color="auto"/>
            <w:color w:val="0000EE"/>
          </w:rPr>
          <w:t>Certification of Chief Executive Officer pursuant to Rule 13a-14(a) or 15d-14(a) of the Securities Exchange</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Act of 1934.</w:t>
        </w:r>
      </w:hyperlink>
    </w:p>
    <w:p>
      <w:pPr>
        <w:spacing w:after="0" w:line="198" w:lineRule="exact"/>
        <w:rPr>
          <w:sz w:val="20"/>
          <w:szCs w:val="20"/>
          <w:color w:val="auto"/>
        </w:rPr>
      </w:pPr>
    </w:p>
    <w:p>
      <w:pPr>
        <w:ind w:left="880" w:right="1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42">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of 1934.</w:t>
        </w:r>
      </w:hyperlink>
    </w:p>
    <w:p>
      <w:pPr>
        <w:spacing w:after="0" w:line="198" w:lineRule="exact"/>
        <w:rPr>
          <w:sz w:val="20"/>
          <w:szCs w:val="20"/>
          <w:color w:val="auto"/>
        </w:rPr>
      </w:pPr>
    </w:p>
    <w:p>
      <w:pPr>
        <w:ind w:left="880" w:hanging="824"/>
        <w:spacing w:after="0"/>
        <w:tabs>
          <w:tab w:leader="none" w:pos="880" w:val="left"/>
        </w:tabs>
        <w:numPr>
          <w:ilvl w:val="0"/>
          <w:numId w:val="30"/>
        </w:numPr>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Certification of Chief Executive Officer and Chief Financial Officer pursuant to 18 U.S.C. Section 1350.</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880" w:hanging="824"/>
        <w:spacing w:after="0"/>
        <w:tabs>
          <w:tab w:leader="none" w:pos="8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as Exhibit 101).</w:t>
      </w:r>
    </w:p>
    <w:p>
      <w:pPr>
        <w:spacing w:after="0" w:line="252"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Senior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MATSON, INC. DEFERRED COMPENSATION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AMENDMENT NO. 1</w:t>
      </w:r>
    </w:p>
    <w:p>
      <w:pPr>
        <w:spacing w:after="0" w:line="220" w:lineRule="exact"/>
        <w:rPr>
          <w:sz w:val="20"/>
          <w:szCs w:val="20"/>
          <w:color w:val="auto"/>
        </w:rPr>
      </w:pPr>
    </w:p>
    <w:p>
      <w:pPr>
        <w:jc w:val="both"/>
        <w:ind w:left="200" w:right="599" w:firstLine="648"/>
        <w:spacing w:after="0" w:line="343" w:lineRule="auto"/>
        <w:rPr>
          <w:sz w:val="20"/>
          <w:szCs w:val="20"/>
          <w:color w:val="auto"/>
        </w:rPr>
      </w:pPr>
      <w:r>
        <w:rPr>
          <w:rFonts w:ascii="Arial" w:cs="Arial" w:eastAsia="Arial" w:hAnsi="Arial"/>
          <w:sz w:val="19"/>
          <w:szCs w:val="19"/>
          <w:color w:val="auto"/>
        </w:rPr>
        <w:t>WHEREAS, Matson, Inc. (the “Company”) desires to amend the Matson, Inc. Deferred Compensation Plan, as amended and restated effective February 28, 2013, as described below;</w:t>
      </w:r>
    </w:p>
    <w:p>
      <w:pPr>
        <w:spacing w:after="0" w:line="104" w:lineRule="exact"/>
        <w:rPr>
          <w:sz w:val="20"/>
          <w:szCs w:val="20"/>
          <w:color w:val="auto"/>
        </w:rPr>
      </w:pPr>
    </w:p>
    <w:p>
      <w:pPr>
        <w:ind w:left="200" w:right="299" w:firstLine="648"/>
        <w:spacing w:after="0" w:line="263" w:lineRule="auto"/>
        <w:rPr>
          <w:sz w:val="20"/>
          <w:szCs w:val="20"/>
          <w:color w:val="auto"/>
        </w:rPr>
      </w:pPr>
      <w:r>
        <w:rPr>
          <w:rFonts w:ascii="Arial" w:cs="Arial" w:eastAsia="Arial" w:hAnsi="Arial"/>
          <w:sz w:val="22"/>
          <w:szCs w:val="22"/>
          <w:color w:val="auto"/>
        </w:rPr>
        <w:t>WHEREAS, the Board of Directors has the authority to amend the Plan pursuant to Article XIII of the Plan;</w:t>
      </w:r>
    </w:p>
    <w:p>
      <w:pPr>
        <w:spacing w:after="0" w:line="175" w:lineRule="exact"/>
        <w:rPr>
          <w:sz w:val="20"/>
          <w:szCs w:val="20"/>
          <w:color w:val="auto"/>
        </w:rPr>
      </w:pPr>
    </w:p>
    <w:p>
      <w:pPr>
        <w:jc w:val="both"/>
        <w:ind w:left="200" w:right="399" w:firstLine="648"/>
        <w:spacing w:after="0" w:line="253" w:lineRule="auto"/>
        <w:rPr>
          <w:sz w:val="20"/>
          <w:szCs w:val="20"/>
          <w:color w:val="auto"/>
        </w:rPr>
      </w:pPr>
      <w:r>
        <w:rPr>
          <w:rFonts w:ascii="Arial" w:cs="Arial" w:eastAsia="Arial" w:hAnsi="Arial"/>
          <w:sz w:val="22"/>
          <w:szCs w:val="22"/>
          <w:color w:val="auto"/>
        </w:rPr>
        <w:t>WHEREAS, the Company desires to amend the Plan to limit participation in the Deferred Compensation Plan to those employees employed at grade level 38 or higher who are selected to participate in the Matson, Inc. Cash Incentive Plan; and</w:t>
      </w:r>
    </w:p>
    <w:p>
      <w:pPr>
        <w:spacing w:after="0" w:line="185" w:lineRule="exact"/>
        <w:rPr>
          <w:sz w:val="20"/>
          <w:szCs w:val="20"/>
          <w:color w:val="auto"/>
        </w:rPr>
      </w:pPr>
    </w:p>
    <w:p>
      <w:pPr>
        <w:ind w:left="200" w:right="319" w:firstLine="648"/>
        <w:spacing w:after="0" w:line="263" w:lineRule="auto"/>
        <w:rPr>
          <w:sz w:val="20"/>
          <w:szCs w:val="20"/>
          <w:color w:val="auto"/>
        </w:rPr>
      </w:pPr>
      <w:r>
        <w:rPr>
          <w:rFonts w:ascii="Arial" w:cs="Arial" w:eastAsia="Arial" w:hAnsi="Arial"/>
          <w:sz w:val="22"/>
          <w:szCs w:val="22"/>
          <w:color w:val="auto"/>
        </w:rPr>
        <w:t>WHEREAS, the Company also desires to amend the definition of “Fair Market Value” and the valuation method for deferred cash amounts.</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NOW, THEREFORE, the Plan is amended, effective as of January 1, 2020, as follows:</w:t>
      </w:r>
    </w:p>
    <w:p>
      <w:pPr>
        <w:spacing w:after="0" w:line="254" w:lineRule="exact"/>
        <w:rPr>
          <w:sz w:val="20"/>
          <w:szCs w:val="20"/>
          <w:color w:val="auto"/>
        </w:rPr>
      </w:pPr>
    </w:p>
    <w:p>
      <w:pPr>
        <w:ind w:left="940" w:hanging="731"/>
        <w:spacing w:after="0"/>
        <w:tabs>
          <w:tab w:leader="none" w:pos="9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Article I of the Plan is hereby amended and restated to read as follows:</w:t>
      </w:r>
    </w:p>
    <w:p>
      <w:pPr>
        <w:spacing w:after="0" w:line="200" w:lineRule="exact"/>
        <w:rPr>
          <w:rFonts w:ascii="Arial" w:cs="Arial" w:eastAsia="Arial" w:hAnsi="Arial"/>
          <w:sz w:val="22"/>
          <w:szCs w:val="22"/>
          <w:color w:val="auto"/>
        </w:rPr>
      </w:pPr>
    </w:p>
    <w:p>
      <w:pPr>
        <w:spacing w:after="0" w:line="310" w:lineRule="exact"/>
        <w:rPr>
          <w:rFonts w:ascii="Arial" w:cs="Arial" w:eastAsia="Arial" w:hAnsi="Arial"/>
          <w:sz w:val="22"/>
          <w:szCs w:val="22"/>
          <w:color w:val="auto"/>
        </w:rPr>
      </w:pPr>
    </w:p>
    <w:p>
      <w:pPr>
        <w:jc w:val="both"/>
        <w:ind w:left="200" w:right="219" w:firstLine="648"/>
        <w:spacing w:after="0" w:line="284" w:lineRule="auto"/>
        <w:rPr>
          <w:rFonts w:ascii="Arial" w:cs="Arial" w:eastAsia="Arial" w:hAnsi="Arial"/>
          <w:sz w:val="22"/>
          <w:szCs w:val="22"/>
          <w:color w:val="auto"/>
        </w:rPr>
      </w:pPr>
      <w:r>
        <w:rPr>
          <w:rFonts w:ascii="Arial" w:cs="Arial" w:eastAsia="Arial" w:hAnsi="Arial"/>
          <w:sz w:val="19"/>
          <w:szCs w:val="19"/>
          <w:b w:val="1"/>
          <w:bCs w:val="1"/>
          <w:color w:val="auto"/>
        </w:rPr>
        <w:t xml:space="preserve">I. PURPOSE. </w:t>
      </w:r>
      <w:r>
        <w:rPr>
          <w:rFonts w:ascii="Arial" w:cs="Arial" w:eastAsia="Arial" w:hAnsi="Arial"/>
          <w:sz w:val="19"/>
          <w:szCs w:val="19"/>
          <w:color w:val="auto"/>
        </w:rPr>
        <w:t>Pursuant to a corporate reorganization in 2012 by which, in relevant</w:t>
      </w:r>
      <w:r>
        <w:rPr>
          <w:rFonts w:ascii="Arial" w:cs="Arial" w:eastAsia="Arial" w:hAnsi="Arial"/>
          <w:sz w:val="19"/>
          <w:szCs w:val="19"/>
          <w:b w:val="1"/>
          <w:bCs w:val="1"/>
          <w:color w:val="auto"/>
        </w:rPr>
        <w:t xml:space="preserve"> </w:t>
      </w:r>
      <w:r>
        <w:rPr>
          <w:rFonts w:ascii="Arial" w:cs="Arial" w:eastAsia="Arial" w:hAnsi="Arial"/>
          <w:sz w:val="19"/>
          <w:szCs w:val="19"/>
          <w:color w:val="auto"/>
        </w:rPr>
        <w:t>part, Matson, Inc. (the “Company” and also referred to herein as “Holdings”) distributed its ownership of its subsidiary, A&amp;B II, Inc., renamed Alexander &amp; Baldwin, Inc. (“New A&amp;B”) to the Company’s stockholders (the “New A&amp;B Distribution”), the Company adopted the amended, renamed and restated Matson, Inc. Deferred Compensation Plan effective as of the Distribution Date to provide a select group of management or highly compensated employees with the opportunity to defer payment of awards under the Bonus Plan for a period extending until retirement or other termination of employment or until the expiration of the specific term (at least one full year in duration) elected by the participant. The Company hereby amends and restates the Plan effective as of February 28, 2013 (the "Effective Date") and hereby clarifies that participation in the Plan is limited to participants in the Company’s Bonus Plan who are employed at grade level</w:t>
      </w:r>
    </w:p>
    <w:p>
      <w:pPr>
        <w:spacing w:after="0" w:line="1" w:lineRule="exact"/>
        <w:rPr>
          <w:rFonts w:ascii="Arial" w:cs="Arial" w:eastAsia="Arial" w:hAnsi="Arial"/>
          <w:sz w:val="22"/>
          <w:szCs w:val="22"/>
          <w:color w:val="auto"/>
        </w:rPr>
      </w:pPr>
    </w:p>
    <w:p>
      <w:pPr>
        <w:ind w:left="480" w:hanging="271"/>
        <w:spacing w:after="0"/>
        <w:tabs>
          <w:tab w:leader="none" w:pos="4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(or equivalent) or higher.</w:t>
      </w:r>
    </w:p>
    <w:p>
      <w:pPr>
        <w:spacing w:after="0" w:line="202"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The Plan is intended to be exempt from the participation, vesting, funding and fiduciary requirements of Title I of the Employee Retirement Income Security Act of 197 4 ("ERISA") pursuant to Sections 201(2), 301(a)(3) and 401(a)(l) of ERISA as a plan that is unfunded and maintained primarily for the purpose of providing deferred compensation for a select group of management or highly compensated employees.</w:t>
      </w:r>
    </w:p>
    <w:p>
      <w:pPr>
        <w:spacing w:after="0" w:line="200" w:lineRule="exact"/>
        <w:rPr>
          <w:sz w:val="20"/>
          <w:szCs w:val="20"/>
          <w:color w:val="auto"/>
        </w:rPr>
      </w:pPr>
    </w:p>
    <w:p>
      <w:pPr>
        <w:spacing w:after="0" w:line="248" w:lineRule="exact"/>
        <w:rPr>
          <w:sz w:val="20"/>
          <w:szCs w:val="20"/>
          <w:color w:val="auto"/>
        </w:rPr>
      </w:pPr>
    </w:p>
    <w:p>
      <w:pPr>
        <w:ind w:left="200" w:right="779" w:firstLine="9"/>
        <w:spacing w:after="0" w:line="263" w:lineRule="auto"/>
        <w:tabs>
          <w:tab w:leader="none" w:pos="84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definition of “Fair Market Value” in Article II of the Plan is hereby amended and restated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9" w:name="page40"/>
    <w:bookmarkEnd w:id="39"/>
    <w:p>
      <w:pPr>
        <w:ind w:left="200" w:right="339" w:firstLine="648"/>
        <w:spacing w:after="0" w:line="287" w:lineRule="auto"/>
        <w:rPr>
          <w:sz w:val="20"/>
          <w:szCs w:val="20"/>
          <w:color w:val="auto"/>
        </w:rPr>
      </w:pPr>
      <w:r>
        <w:rPr>
          <w:rFonts w:ascii="Arial" w:cs="Arial" w:eastAsia="Arial" w:hAnsi="Arial"/>
          <w:sz w:val="19"/>
          <w:szCs w:val="19"/>
          <w:color w:val="auto"/>
        </w:rPr>
        <w:t>Fair Market Value shall, with respect to the per share valuation of Common Stock on any relevant date, be the closing selling price per share of Common Stock at the close of regular hours of trading (i.e., before after hours trading begins) on the date in question on the Stock Exchange serving as the primary market for the Common Stock, as such price is reported by the National Association of Securities Dealers (if primarily traded on the Nasdaq Global Select Market) or as officially quoted in the composite tape of transactions on any other Stock Exchange on which the Common Stock is then primarily traded. If there is no closing selling price for the Common Stock on the date in question, then the Fair Market Value shall be the closing selling price on the last preceding date for which such quotation exists. In the absence of such markets for the Common Stock, the Fair Market Value will be determined by the Plan Administrator in good faith and in a manner that complies with Sections 409A and 422 of the Code.</w:t>
      </w:r>
    </w:p>
    <w:p>
      <w:pPr>
        <w:spacing w:after="0" w:line="200" w:lineRule="exact"/>
        <w:rPr>
          <w:sz w:val="20"/>
          <w:szCs w:val="20"/>
          <w:color w:val="auto"/>
        </w:rPr>
      </w:pPr>
    </w:p>
    <w:p>
      <w:pPr>
        <w:spacing w:after="0" w:line="220" w:lineRule="exact"/>
        <w:rPr>
          <w:sz w:val="20"/>
          <w:szCs w:val="20"/>
          <w:color w:val="auto"/>
        </w:rPr>
      </w:pPr>
    </w:p>
    <w:p>
      <w:pPr>
        <w:ind w:left="200" w:right="699" w:firstLine="9"/>
        <w:spacing w:after="0" w:line="263" w:lineRule="auto"/>
        <w:tabs>
          <w:tab w:leader="none" w:pos="84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first paragraph of Article IV of the Plan is hereby amended and restated to read as follows:</w:t>
      </w:r>
    </w:p>
    <w:p>
      <w:pPr>
        <w:spacing w:after="0" w:line="200" w:lineRule="exact"/>
        <w:rPr>
          <w:sz w:val="20"/>
          <w:szCs w:val="20"/>
          <w:color w:val="auto"/>
        </w:rPr>
      </w:pPr>
    </w:p>
    <w:p>
      <w:pPr>
        <w:spacing w:after="0" w:line="225" w:lineRule="exact"/>
        <w:rPr>
          <w:sz w:val="20"/>
          <w:szCs w:val="20"/>
          <w:color w:val="auto"/>
        </w:rPr>
      </w:pPr>
    </w:p>
    <w:p>
      <w:pPr>
        <w:ind w:left="200" w:right="359" w:firstLine="648"/>
        <w:spacing w:after="0" w:line="249" w:lineRule="auto"/>
        <w:rPr>
          <w:sz w:val="20"/>
          <w:szCs w:val="20"/>
          <w:color w:val="auto"/>
        </w:rPr>
      </w:pPr>
      <w:r>
        <w:rPr>
          <w:rFonts w:ascii="Arial" w:cs="Arial" w:eastAsia="Arial" w:hAnsi="Arial"/>
          <w:sz w:val="22"/>
          <w:szCs w:val="22"/>
          <w:b w:val="1"/>
          <w:bCs w:val="1"/>
          <w:color w:val="auto"/>
        </w:rPr>
        <w:t xml:space="preserve">IV. DEFERRAL ELECTION. </w:t>
      </w:r>
      <w:r>
        <w:rPr>
          <w:rFonts w:ascii="Arial" w:cs="Arial" w:eastAsia="Arial" w:hAnsi="Arial"/>
          <w:sz w:val="22"/>
          <w:szCs w:val="22"/>
          <w:color w:val="auto"/>
        </w:rPr>
        <w:t>An individual selected for participation in the Bonus</w:t>
      </w:r>
      <w:r>
        <w:rPr>
          <w:rFonts w:ascii="Arial" w:cs="Arial" w:eastAsia="Arial" w:hAnsi="Arial"/>
          <w:sz w:val="22"/>
          <w:szCs w:val="22"/>
          <w:b w:val="1"/>
          <w:bCs w:val="1"/>
          <w:color w:val="auto"/>
        </w:rPr>
        <w:t xml:space="preserve"> </w:t>
      </w:r>
      <w:r>
        <w:rPr>
          <w:rFonts w:ascii="Arial" w:cs="Arial" w:eastAsia="Arial" w:hAnsi="Arial"/>
          <w:sz w:val="22"/>
          <w:szCs w:val="22"/>
          <w:color w:val="auto"/>
        </w:rPr>
        <w:t>Plan who is employed at grade level 38 (or equivalent) or higher may elect to defer, for the period of time described below ("Deferral Period"), all or part of his/her award(s) under the Bonus Plan. Any such election ("Deferral Election") must be made in accordance with the following provisions:</w:t>
      </w:r>
    </w:p>
    <w:p>
      <w:pPr>
        <w:spacing w:after="0" w:line="200" w:lineRule="exact"/>
        <w:rPr>
          <w:sz w:val="20"/>
          <w:szCs w:val="20"/>
          <w:color w:val="auto"/>
        </w:rPr>
      </w:pPr>
    </w:p>
    <w:p>
      <w:pPr>
        <w:spacing w:after="0" w:line="249" w:lineRule="exact"/>
        <w:rPr>
          <w:sz w:val="20"/>
          <w:szCs w:val="20"/>
          <w:color w:val="auto"/>
        </w:rPr>
      </w:pPr>
    </w:p>
    <w:p>
      <w:pPr>
        <w:ind w:left="860" w:hanging="651"/>
        <w:spacing w:after="0"/>
        <w:tabs>
          <w:tab w:leader="none" w:pos="8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Paragraph 1 of Article VI of the Plan is hereby amended and restated to read as follows:</w:t>
      </w:r>
    </w:p>
    <w:p>
      <w:pPr>
        <w:spacing w:after="0" w:line="294" w:lineRule="exact"/>
        <w:rPr>
          <w:rFonts w:ascii="Arial" w:cs="Arial" w:eastAsia="Arial" w:hAnsi="Arial"/>
          <w:sz w:val="19"/>
          <w:szCs w:val="19"/>
          <w:color w:val="auto"/>
        </w:rPr>
      </w:pPr>
    </w:p>
    <w:p>
      <w:pPr>
        <w:ind w:left="200" w:right="459" w:firstLine="657"/>
        <w:spacing w:after="0" w:line="292" w:lineRule="auto"/>
        <w:tabs>
          <w:tab w:leader="none" w:pos="1496"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Cash Balance</w:t>
      </w:r>
      <w:r>
        <w:rPr>
          <w:rFonts w:ascii="Arial" w:cs="Arial" w:eastAsia="Arial" w:hAnsi="Arial"/>
          <w:sz w:val="19"/>
          <w:szCs w:val="19"/>
          <w:color w:val="auto"/>
        </w:rPr>
        <w:t>. The deferred portion of any award valued in cash shall be credited with interest, compound annually, for each calendar year falling in whole or in part within the Deferral Period. To the extent a participant elects to be paid out in installments, following the Deferral Period, the unpaid portion of the deferred award shall continue to be credited with interest, compound annually, for each calendar year falling in whole or in part within the installment period. Interest shall be at a per annum rate equal to the New York Reserve Bank discount rate in effect as of January 15 of each calendar year within the Deferral Period plus 1%.</w:t>
      </w:r>
    </w:p>
    <w:p>
      <w:pPr>
        <w:spacing w:after="0" w:line="200" w:lineRule="exact"/>
        <w:rPr>
          <w:sz w:val="20"/>
          <w:szCs w:val="20"/>
          <w:color w:val="auto"/>
        </w:rPr>
      </w:pPr>
    </w:p>
    <w:p>
      <w:pPr>
        <w:spacing w:after="0" w:line="248" w:lineRule="exact"/>
        <w:rPr>
          <w:sz w:val="20"/>
          <w:szCs w:val="20"/>
          <w:color w:val="auto"/>
        </w:rPr>
      </w:pPr>
    </w:p>
    <w:p>
      <w:pPr>
        <w:ind w:left="200" w:right="299" w:firstLine="702"/>
        <w:spacing w:after="0" w:line="263" w:lineRule="auto"/>
        <w:rPr>
          <w:sz w:val="20"/>
          <w:szCs w:val="20"/>
          <w:color w:val="auto"/>
        </w:rPr>
      </w:pPr>
      <w:r>
        <w:rPr>
          <w:rFonts w:ascii="Arial" w:cs="Arial" w:eastAsia="Arial" w:hAnsi="Arial"/>
          <w:sz w:val="22"/>
          <w:szCs w:val="22"/>
          <w:color w:val="auto"/>
        </w:rPr>
        <w:t>IN WITNESS WHEREOF, Matson, Inc. has caused this Amendment No. 1 to be executed on its behalf by a duly authorized officer effective as of January 1, 2020.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6985</wp:posOffset>
            </wp:positionV>
            <wp:extent cx="2820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-3175</wp:posOffset>
            </wp:positionV>
            <wp:extent cx="2820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-3175</wp:posOffset>
            </wp:positionV>
            <wp:extent cx="2820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0" w:name="page41"/>
    <w:bookmarkEnd w:id="40"/>
    <w:p>
      <w:pPr>
        <w:ind w:left="880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6350</wp:posOffset>
            </wp:positionV>
            <wp:extent cx="2922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ind w:left="53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ind w:left="880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6350</wp:posOffset>
            </wp:positionV>
            <wp:extent cx="2914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Senior Vice President and</w:t>
      </w:r>
    </w:p>
    <w:p>
      <w:pPr>
        <w:ind w:left="53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ind w:left="796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02" w:lineRule="exact"/>
        <w:rPr>
          <w:sz w:val="20"/>
          <w:szCs w:val="20"/>
          <w:color w:val="auto"/>
        </w:rPr>
      </w:pPr>
    </w:p>
    <w:p>
      <w:pPr>
        <w:ind w:left="60" w:right="199"/>
        <w:spacing w:after="0" w:line="284"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September 30, 2020,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42" w:lineRule="exact"/>
        <w:rPr>
          <w:sz w:val="20"/>
          <w:szCs w:val="20"/>
          <w:color w:val="auto"/>
        </w:rPr>
      </w:pPr>
    </w:p>
    <w:p>
      <w:pPr>
        <w:ind w:left="60" w:right="519" w:hanging="10"/>
        <w:spacing w:after="0" w:line="261" w:lineRule="auto"/>
        <w:tabs>
          <w:tab w:leader="none" w:pos="7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0" w:right="99" w:hanging="10"/>
        <w:spacing w:after="0" w:line="261" w:lineRule="auto"/>
        <w:tabs>
          <w:tab w:leader="none" w:pos="7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2, 2020</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3"/>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4"/>
    </w:lvl>
  </w:abstractNum>
  <w:abstractNum w:abstractNumId="12">
    <w:nsid w:val="2901D82"/>
    <w:multiLevelType w:val="hybridMultilevel"/>
    <w:lvl w:ilvl="0">
      <w:lvlJc w:val="left"/>
      <w:lvlText w:val="%1."/>
      <w:numFmt w:val="decimal"/>
      <w:start w:val="5"/>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7"/>
    </w:lvl>
  </w:abstractNum>
  <w:abstractNum w:abstractNumId="17">
    <w:nsid w:val="737B8DDC"/>
    <w:multiLevelType w:val="hybridMultilevel"/>
    <w:lvl w:ilvl="0">
      <w:lvlJc w:val="left"/>
      <w:lvlText w:val="%1."/>
      <w:numFmt w:val="decimal"/>
      <w:start w:val="8"/>
    </w:lvl>
  </w:abstractNum>
  <w:abstractNum w:abstractNumId="18">
    <w:nsid w:val="6CEAF087"/>
    <w:multiLevelType w:val="hybridMultilevel"/>
    <w:lvl w:ilvl="0">
      <w:lvlJc w:val="left"/>
      <w:lvlText w:val="%1."/>
      <w:numFmt w:val="decimal"/>
      <w:start w:val="9"/>
    </w:lvl>
  </w:abstractNum>
  <w:abstractNum w:abstractNumId="19">
    <w:nsid w:val="22221A70"/>
    <w:multiLevelType w:val="hybridMultilevel"/>
    <w:lvl w:ilvl="0">
      <w:lvlJc w:val="left"/>
      <w:lvlText w:val="%1."/>
      <w:numFmt w:val="decimal"/>
      <w:start w:val="10"/>
    </w:lvl>
  </w:abstractNum>
  <w:abstractNum w:abstractNumId="20">
    <w:nsid w:val="4516DDE9"/>
    <w:multiLevelType w:val="hybridMultilevel"/>
    <w:lvl w:ilvl="0">
      <w:lvlJc w:val="left"/>
      <w:lvlText w:val="%1."/>
      <w:numFmt w:val="decimal"/>
      <w:start w:val="11"/>
    </w:lvl>
  </w:abstractNum>
  <w:abstractNum w:abstractNumId="21">
    <w:nsid w:val="3006C83E"/>
    <w:multiLevelType w:val="hybridMultilevel"/>
    <w:lvl w:ilvl="0">
      <w:lvlJc w:val="left"/>
      <w:lvlText w:val="%1."/>
      <w:numFmt w:val="decimal"/>
      <w:start w:val="12"/>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32"/>
    </w:lvl>
  </w:abstractNum>
  <w:abstractNum w:abstractNumId="30">
    <w:nsid w:val="5C482A97"/>
    <w:multiLevelType w:val="hybridMultilevel"/>
    <w:lvl w:ilvl="0">
      <w:lvlJc w:val="left"/>
      <w:lvlText w:val="*"/>
      <w:numFmt w:val="bullet"/>
      <w:start w:val="1"/>
    </w:lvl>
    <w:lvl w:ilvl="1">
      <w:lvlJc w:val="left"/>
      <w:lvlText w:val="%2"/>
      <w:numFmt w:val="decimal"/>
      <w:start w:val="104"/>
    </w:lvl>
  </w:abstractNum>
  <w:abstractNum w:abstractNumId="31">
    <w:nsid w:val="2463B9EA"/>
    <w:multiLevelType w:val="hybridMultilevel"/>
    <w:lvl w:ilvl="0">
      <w:lvlJc w:val="left"/>
      <w:lvlText w:val="%1."/>
      <w:numFmt w:val="decimal"/>
      <w:start w:val="1"/>
    </w:lvl>
    <w:lvl w:ilvl="1">
      <w:lvlJc w:val="left"/>
      <w:lvlText w:val="%2"/>
      <w:numFmt w:val="upperLetter"/>
      <w:start w:val="1"/>
    </w:lvl>
  </w:abstractNum>
  <w:abstractNum w:abstractNumId="32">
    <w:nsid w:val="5E884ADC"/>
    <w:multiLevelType w:val="hybridMultilevel"/>
    <w:lvl w:ilvl="0">
      <w:lvlJc w:val="left"/>
      <w:lvlText w:val="%1"/>
      <w:numFmt w:val="decimal"/>
      <w:start w:val="38"/>
    </w:lvl>
    <w:lvl w:ilvl="1">
      <w:lvlJc w:val="left"/>
      <w:lvlText w:val="%2"/>
      <w:numFmt w:val="upperLetter"/>
      <w:start w:val="1"/>
    </w:lvl>
  </w:abstractNum>
  <w:abstractNum w:abstractNumId="33">
    <w:nsid w:val="51EAD36B"/>
    <w:multiLevelType w:val="hybridMultilevel"/>
    <w:lvl w:ilvl="0">
      <w:lvlJc w:val="left"/>
      <w:lvlText w:val="%1."/>
      <w:numFmt w:val="decimal"/>
      <w:start w:val="2"/>
    </w:lvl>
  </w:abstractNum>
  <w:abstractNum w:abstractNumId="34">
    <w:nsid w:val="2D517796"/>
    <w:multiLevelType w:val="hybridMultilevel"/>
    <w:lvl w:ilvl="0">
      <w:lvlJc w:val="left"/>
      <w:lvlText w:val="%1."/>
      <w:numFmt w:val="decimal"/>
      <w:start w:val="3"/>
    </w:lvl>
  </w:abstractNum>
  <w:abstractNum w:abstractNumId="35">
    <w:nsid w:val="580BD78F"/>
    <w:multiLevelType w:val="hybridMultilevel"/>
    <w:lvl w:ilvl="0">
      <w:lvlJc w:val="left"/>
      <w:lvlText w:val="%1."/>
      <w:numFmt w:val="decimal"/>
      <w:start w:val="4"/>
    </w:lvl>
    <w:lvl w:ilvl="1">
      <w:lvlJc w:val="left"/>
      <w:lvlText w:val="%2."/>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5"/>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5"/>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44" Type="http://schemas.openxmlformats.org/officeDocument/2006/relationships/hyperlink" Target="https://www.sec.gov/ix?doc=/Archives/edgar/data/3453/000155837020001757/matx-20191231x10kddf34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2020-11-02T15:26:22Z</dcterms:created>
  <dcterms:modified xsi:type="dcterms:W3CDTF">2020-11-02T15:26:22Z</dcterms:modified>
</cp:coreProperties>
</file>