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matx-20230930x10q.htm"/>
        <w:bookmarkStart w:id="1" w:name="ksmatx2023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lineRule="atLeast" w:line="142" w:before="0" w:after="0"/>
        <w:ind w:left="0" w:right="0" w:hanging="0"/>
        <w:jc w:val="left"/>
        <w:rPr/>
      </w:pPr>
      <w:r>
        <w:rPr/>
        <w:t>​</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825ffb71_80e8_414b_a2ce_549ff6b0cf92"/>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765" w:type="dxa"/>
            <w:tcBorders/>
            <w:vAlign w:val="center"/>
          </w:tcPr>
          <w:p>
            <w:pPr>
              <w:pStyle w:val="TableContents"/>
              <w:bidi w:val="0"/>
              <w:spacing w:before="0" w:after="0"/>
              <w:jc w:val="left"/>
              <w:rPr>
                <w:rFonts w:ascii="Times New Roman;Times;serif" w:hAnsi="Times New Roman;Times;serif"/>
                <w:b/>
                <w:sz w:val="24"/>
              </w:rPr>
            </w:pPr>
            <w:r>
              <w:rPr>
                <w:rFonts w:ascii="Times New Roman;Times;serif" w:hAnsi="Times New Roman;Times;serif"/>
                <w:b/>
                <w:sz w:val="24"/>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September 30, 2023</w:t>
      </w:r>
    </w:p>
    <w:p>
      <w:pPr>
        <w:pStyle w:val="TextBody"/>
        <w:pBdr/>
        <w:bidi w:val="0"/>
        <w:spacing w:before="0" w:after="0"/>
        <w:ind w:left="0" w:right="0" w:hanging="72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765" w:type="dxa"/>
            <w:tcBorders/>
            <w:vAlign w:val="center"/>
          </w:tcPr>
          <w:p>
            <w:pPr>
              <w:pStyle w:val="TableContents"/>
              <w:bidi w:val="0"/>
              <w:spacing w:before="0" w:after="0"/>
              <w:jc w:val="left"/>
              <w:rPr>
                <w:rFonts w:ascii="Times New Roman;Times;serif" w:hAnsi="Times New Roman;Times;serif"/>
                <w:b/>
                <w:sz w:val="24"/>
              </w:rPr>
            </w:pPr>
            <w:r>
              <w:rPr>
                <w:rFonts w:ascii="Times New Roman;Times;serif" w:hAnsi="Times New Roman;Times;serif"/>
                <w:b/>
                <w:sz w:val="24"/>
              </w:rPr>
              <w:t>TRANSITION REPORT PURSUANT TO SECTION 13 OR 15(d) OF THE SECURITIES EXCHANGE ACT OF 1934</w:t>
            </w:r>
          </w:p>
        </w:tc>
      </w:tr>
    </w:tbl>
    <w:p>
      <w:pPr>
        <w:pStyle w:val="TextBody"/>
        <w:bidi w:val="0"/>
        <w:spacing w:lineRule="atLeast" w:line="160"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                   </w:t>
      </w:r>
    </w:p>
    <w:p>
      <w:pPr>
        <w:pStyle w:val="TextBody"/>
        <w:bidi w:val="0"/>
        <w:spacing w:lineRule="atLeast" w:line="160"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001-34187</w:t>
      </w:r>
    </w:p>
    <w:p>
      <w:pPr>
        <w:pStyle w:val="TextBody"/>
        <w:bidi w:val="0"/>
        <w:spacing w:lineRule="atLeast" w:line="160"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Matson,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0BBpd-DfRk2AIx38HhKAQQ_4_1"/>
      <w:bookmarkStart w:id="4" w:name="Tc_fcvwfXzoxUC_7H-vvFuMcg_4_0"/>
      <w:bookmarkStart w:id="5" w:name="Tc_u_a8aHKnGkq8VjXj6eyJJw_2_1"/>
      <w:bookmarkStart w:id="6" w:name="Tc_8aAarIkwiEWy6Acq75o0Yg_2_0"/>
      <w:bookmarkStart w:id="7" w:name="_af43c18c_e622_4da7_b8c0_a30e09a9a76f"/>
      <w:bookmarkStart w:id="8" w:name="Tc_0BBpd-DfRk2AIx38HhKAQQ_4_1"/>
      <w:bookmarkStart w:id="9" w:name="Tc_fcvwfXzoxUC_7H-vvFuMcg_4_0"/>
      <w:bookmarkStart w:id="10" w:name="Tc_u_a8aHKnGkq8VjXj6eyJJw_2_1"/>
      <w:bookmarkStart w:id="11" w:name="Tc_8aAarIkwiEWy6Acq75o0Yg_2_0"/>
      <w:bookmarkStart w:id="12" w:name="_af43c18c_e622_4da7_b8c0_a30e09a9a76f"/>
      <w:bookmarkEnd w:id="8"/>
      <w:bookmarkEnd w:id="9"/>
      <w:bookmarkEnd w:id="10"/>
      <w:bookmarkEnd w:id="11"/>
      <w:bookmarkEnd w:id="12"/>
    </w:p>
    <w:tbl>
      <w:tblPr>
        <w:tblW w:w="4952" w:type="dxa"/>
        <w:jc w:val="left"/>
        <w:tblInd w:w="0" w:type="dxa"/>
        <w:tblLayout w:type="fixed"/>
        <w:tblCellMar>
          <w:top w:w="0" w:type="dxa"/>
          <w:left w:w="0" w:type="dxa"/>
          <w:bottom w:w="0" w:type="dxa"/>
          <w:right w:w="0" w:type="dxa"/>
        </w:tblCellMar>
      </w:tblPr>
      <w:tblGrid>
        <w:gridCol w:w="3301"/>
        <w:gridCol w:w="1651"/>
      </w:tblGrid>
      <w:tr>
        <w:trPr/>
        <w:tc>
          <w:tcPr>
            <w:tcW w:w="3301" w:type="dxa"/>
            <w:tcBorders/>
            <w:vAlign w:val="center"/>
          </w:tcPr>
          <w:p>
            <w:pPr>
              <w:pStyle w:val="TableContents"/>
              <w:bidi w:val="0"/>
              <w:spacing w:lineRule="atLeast" w:line="220" w:before="0" w:after="0"/>
              <w:ind w:left="0" w:right="0" w:hanging="0"/>
              <w:jc w:val="left"/>
              <w:rPr/>
            </w:pPr>
            <w:r>
              <w:rPr/>
              <w:t>​</w:t>
            </w:r>
          </w:p>
        </w:tc>
        <w:tc>
          <w:tcPr>
            <w:tcW w:w="1651" w:type="dxa"/>
            <w:tcBorders/>
            <w:vAlign w:val="center"/>
          </w:tcPr>
          <w:p>
            <w:pPr>
              <w:pStyle w:val="TableContents"/>
              <w:bidi w:val="0"/>
              <w:spacing w:lineRule="atLeast" w:line="220" w:before="0" w:after="0"/>
              <w:ind w:left="0" w:right="0" w:hanging="0"/>
              <w:jc w:val="left"/>
              <w:rPr/>
            </w:pPr>
            <w:r>
              <w:rPr/>
              <w:t>​</w:t>
            </w:r>
          </w:p>
        </w:tc>
      </w:tr>
      <w:tr>
        <w:trPr/>
        <w:tc>
          <w:tcPr>
            <w:tcW w:w="3301" w:type="dxa"/>
            <w:tcBorders/>
            <w:vAlign w:val="center"/>
          </w:tcPr>
          <w:p>
            <w:pPr>
              <w:pStyle w:val="TableContents"/>
              <w:pBdr/>
              <w:bidi w:val="0"/>
              <w:spacing w:lineRule="atLeast" w:line="220" w:before="0" w:after="0"/>
              <w:ind w:left="0" w:right="0" w:hanging="0"/>
              <w:jc w:val="center"/>
              <w:rPr>
                <w:rFonts w:ascii="Times New Roman;Times;serif" w:hAnsi="Times New Roman;Times;serif"/>
                <w:b/>
                <w:sz w:val="20"/>
              </w:rPr>
            </w:pPr>
            <w:r>
              <w:rPr>
                <w:rFonts w:ascii="Times New Roman;Times;serif" w:hAnsi="Times New Roman;Times;serif"/>
                <w:b/>
                <w:sz w:val="20"/>
              </w:rPr>
              <w:t>Hawaii</w:t>
            </w:r>
          </w:p>
        </w:tc>
        <w:tc>
          <w:tcPr>
            <w:tcW w:w="1651" w:type="dxa"/>
            <w:tcBorders/>
            <w:vAlign w:val="center"/>
          </w:tcPr>
          <w:p>
            <w:pPr>
              <w:pStyle w:val="TableContents"/>
              <w:bidi w:val="0"/>
              <w:spacing w:lineRule="atLeast" w:line="220" w:before="0" w:after="0"/>
              <w:ind w:left="0" w:right="0" w:hanging="0"/>
              <w:jc w:val="center"/>
              <w:rPr>
                <w:rFonts w:ascii="Times New Roman;Times;serif" w:hAnsi="Times New Roman;Times;serif"/>
                <w:b/>
                <w:sz w:val="20"/>
              </w:rPr>
            </w:pPr>
            <w:r>
              <w:rPr>
                <w:rFonts w:ascii="Times New Roman;Times;serif" w:hAnsi="Times New Roman;Times;serif"/>
                <w:b/>
                <w:sz w:val="20"/>
              </w:rPr>
              <w:t>99-0032630</w:t>
            </w:r>
          </w:p>
        </w:tc>
      </w:tr>
      <w:tr>
        <w:trPr/>
        <w:tc>
          <w:tcPr>
            <w:tcW w:w="3301" w:type="dxa"/>
            <w:tcBorders/>
            <w:vAlign w:val="center"/>
          </w:tcPr>
          <w:p>
            <w:pPr>
              <w:pStyle w:val="TableContents"/>
              <w:pBdr/>
              <w:bidi w:val="0"/>
              <w:spacing w:lineRule="atLeast" w:line="220" w:before="0" w:after="0"/>
              <w:ind w:left="0" w:right="0" w:hanging="144"/>
              <w:jc w:val="center"/>
              <w:rPr>
                <w:rFonts w:ascii="Times New Roman;Times;serif" w:hAnsi="Times New Roman;Times;serif"/>
                <w:sz w:val="20"/>
              </w:rPr>
            </w:pPr>
            <w:r>
              <w:rPr>
                <w:rFonts w:ascii="Times New Roman;Times;serif" w:hAnsi="Times New Roman;Times;serif"/>
                <w:sz w:val="20"/>
              </w:rPr>
              <w:t>(State or other jurisdiction of</w:t>
            </w:r>
          </w:p>
          <w:p>
            <w:pPr>
              <w:pStyle w:val="TableContents"/>
              <w:pBdr/>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incorporation or organization)</w:t>
            </w:r>
          </w:p>
        </w:tc>
        <w:tc>
          <w:tcPr>
            <w:tcW w:w="1651" w:type="dxa"/>
            <w:tcBorders/>
            <w:vAlign w:val="center"/>
          </w:tcPr>
          <w:p>
            <w:pPr>
              <w:pStyle w:val="TableContents"/>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p>
            <w:pPr>
              <w:pStyle w:val="TableContents"/>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r>
        <w:trPr/>
        <w:tc>
          <w:tcPr>
            <w:tcW w:w="3301" w:type="dxa"/>
            <w:tcBorders/>
            <w:vAlign w:val="center"/>
          </w:tcPr>
          <w:p>
            <w:pPr>
              <w:pStyle w:val="TableContents"/>
              <w:bidi w:val="0"/>
              <w:spacing w:lineRule="atLeast" w:line="160" w:before="0" w:after="0"/>
              <w:ind w:left="0" w:right="0" w:hanging="0"/>
              <w:jc w:val="center"/>
              <w:rPr/>
            </w:pPr>
            <w:r>
              <w:rPr/>
              <w:t>​</w:t>
            </w:r>
          </w:p>
        </w:tc>
        <w:tc>
          <w:tcPr>
            <w:tcW w:w="1651" w:type="dxa"/>
            <w:tcBorders/>
            <w:vAlign w:val="center"/>
          </w:tcPr>
          <w:p>
            <w:pPr>
              <w:pStyle w:val="TableContents"/>
              <w:bidi w:val="0"/>
              <w:spacing w:lineRule="atLeast" w:line="160" w:before="0" w:after="0"/>
              <w:ind w:left="0" w:right="0" w:hanging="0"/>
              <w:jc w:val="center"/>
              <w:rPr/>
            </w:pPr>
            <w:r>
              <w:rPr/>
              <w:t>​</w:t>
            </w:r>
          </w:p>
        </w:tc>
      </w:tr>
      <w:tr>
        <w:trPr/>
        <w:tc>
          <w:tcPr>
            <w:tcW w:w="3301" w:type="dxa"/>
            <w:tcBorders/>
            <w:vAlign w:val="center"/>
          </w:tcPr>
          <w:p>
            <w:pPr>
              <w:pStyle w:val="TableContents"/>
              <w:pBdr/>
              <w:bidi w:val="0"/>
              <w:spacing w:lineRule="atLeast" w:line="220" w:before="0" w:after="0"/>
              <w:ind w:left="0" w:right="0" w:hanging="144"/>
              <w:jc w:val="center"/>
              <w:rPr>
                <w:rFonts w:ascii="Times New Roman;Times;serif" w:hAnsi="Times New Roman;Times;serif"/>
                <w:b/>
                <w:sz w:val="20"/>
              </w:rPr>
            </w:pPr>
            <w:r>
              <w:rPr>
                <w:rFonts w:ascii="Times New Roman;Times;serif" w:hAnsi="Times New Roman;Times;serif"/>
                <w:b/>
                <w:sz w:val="20"/>
              </w:rPr>
              <w:t>1411 Sand Island Parkway</w:t>
            </w:r>
          </w:p>
          <w:p>
            <w:pPr>
              <w:pStyle w:val="TableContents"/>
              <w:pBdr/>
              <w:bidi w:val="0"/>
              <w:spacing w:lineRule="atLeast" w:line="220" w:before="0" w:after="0"/>
              <w:ind w:left="0" w:right="0" w:hanging="144"/>
              <w:jc w:val="center"/>
              <w:rPr>
                <w:rFonts w:ascii="Times New Roman;Times;serif" w:hAnsi="Times New Roman;Times;serif"/>
                <w:b/>
                <w:sz w:val="20"/>
              </w:rPr>
            </w:pPr>
            <w:r>
              <w:rPr>
                <w:rFonts w:ascii="Times New Roman;Times;serif" w:hAnsi="Times New Roman;Times;serif"/>
                <w:b/>
                <w:sz w:val="20"/>
              </w:rPr>
              <w:t>Honolulu, HI</w:t>
            </w:r>
          </w:p>
          <w:p>
            <w:pPr>
              <w:pStyle w:val="TableContents"/>
              <w:pBdr/>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651" w:type="dxa"/>
            <w:tcBorders/>
            <w:vAlign w:val="center"/>
          </w:tcPr>
          <w:p>
            <w:pPr>
              <w:pStyle w:val="TableContents"/>
              <w:bidi w:val="0"/>
              <w:spacing w:lineRule="atLeast" w:line="220" w:before="0" w:after="0"/>
              <w:ind w:left="0" w:right="0" w:hanging="0"/>
              <w:jc w:val="center"/>
              <w:rPr>
                <w:rFonts w:ascii="Times New Roman;Times;serif" w:hAnsi="Times New Roman;Times;serif"/>
                <w:b/>
                <w:sz w:val="20"/>
              </w:rPr>
            </w:pPr>
            <w:r>
              <w:rPr>
                <w:rFonts w:ascii="Times New Roman;Times;serif" w:hAnsi="Times New Roman;Times;serif"/>
                <w:b/>
                <w:sz w:val="20"/>
              </w:rPr>
              <w:t>96819</w:t>
            </w:r>
          </w:p>
          <w:p>
            <w:pPr>
              <w:pStyle w:val="TableContents"/>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lineRule="atLeast" w:line="160"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(808) 848-1211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lineRule="atLeast" w:line="160"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former address, and former fiscal year, if changed since last report)</w:t>
      </w:r>
    </w:p>
    <w:p>
      <w:pPr>
        <w:pStyle w:val="TextBody"/>
        <w:bidi w:val="0"/>
        <w:spacing w:lineRule="atLeast" w:line="160" w:before="0" w:after="0"/>
        <w:ind w:left="0" w:right="0" w:hanging="0"/>
        <w:jc w:val="center"/>
        <w:rPr/>
      </w:pPr>
      <w:r>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13" w:name="Tc_FK2_qU-0X0e4uTR5cMHA9g_1_2"/>
      <w:bookmarkStart w:id="14" w:name="Tc_nOCorxvNkkSq69yfIBJcYA_1_1"/>
      <w:bookmarkStart w:id="15" w:name="Tc_LLHhO1JOjES9oD2cAMQUeQ_1_0"/>
      <w:bookmarkStart w:id="16" w:name="_9ec5e65e_c459_445f_8eeb_4921fa4e128f"/>
      <w:bookmarkStart w:id="17" w:name="Tc_FK2_qU-0X0e4uTR5cMHA9g_1_2"/>
      <w:bookmarkStart w:id="18" w:name="Tc_nOCorxvNkkSq69yfIBJcYA_1_1"/>
      <w:bookmarkStart w:id="19" w:name="Tc_LLHhO1JOjES9oD2cAMQUeQ_1_0"/>
      <w:bookmarkStart w:id="20" w:name="_9ec5e65e_c459_445f_8eeb_4921fa4e128f"/>
      <w:bookmarkEnd w:id="17"/>
      <w:bookmarkEnd w:id="18"/>
      <w:bookmarkEnd w:id="19"/>
      <w:bookmarkEnd w:id="20"/>
    </w:p>
    <w:tbl>
      <w:tblPr>
        <w:tblW w:w="8223" w:type="dxa"/>
        <w:jc w:val="left"/>
        <w:tblInd w:w="0" w:type="dxa"/>
        <w:tblLayout w:type="fixed"/>
        <w:tblCellMar>
          <w:top w:w="0" w:type="dxa"/>
          <w:left w:w="0" w:type="dxa"/>
          <w:bottom w:w="0" w:type="dxa"/>
          <w:right w:w="0" w:type="dxa"/>
        </w:tblCellMar>
      </w:tblPr>
      <w:tblGrid>
        <w:gridCol w:w="2896"/>
        <w:gridCol w:w="1621"/>
        <w:gridCol w:w="3706"/>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28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8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without par value</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MATX</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r>
    </w:tbl>
    <w:p>
      <w:pPr>
        <w:pStyle w:val="TextBody"/>
        <w:bidi w:val="0"/>
        <w:spacing w:before="0" w:after="60"/>
        <w:ind w:left="0" w:right="0" w:hanging="0"/>
        <w:jc w:val="left"/>
        <w:rPr/>
      </w:pPr>
      <w:r>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tLeast" w:line="160" w:before="0" w:after="0"/>
        <w:ind w:left="0" w:right="0" w:hanging="0"/>
        <w:jc w:val="left"/>
        <w:rPr/>
      </w:pPr>
      <w:r>
        <w:rPr/>
        <w:t>​</w:t>
      </w:r>
    </w:p>
    <w:tbl>
      <w:tblPr>
        <w:tblW w:w="4727" w:type="dxa"/>
        <w:jc w:val="left"/>
        <w:tblInd w:w="0" w:type="dxa"/>
        <w:tblLayout w:type="fixed"/>
        <w:tblCellMar>
          <w:top w:w="0" w:type="dxa"/>
          <w:left w:w="0" w:type="dxa"/>
          <w:bottom w:w="0" w:type="dxa"/>
          <w:right w:w="0" w:type="dxa"/>
        </w:tblCellMar>
      </w:tblPr>
      <w:tblGrid>
        <w:gridCol w:w="2146"/>
        <w:gridCol w:w="2581"/>
      </w:tblGrid>
      <w:tr>
        <w:trPr/>
        <w:tc>
          <w:tcPr>
            <w:tcW w:w="2146" w:type="dxa"/>
            <w:tcBorders/>
            <w:vAlign w:val="center"/>
          </w:tcPr>
          <w:p>
            <w:pPr>
              <w:pStyle w:val="TableContents"/>
              <w:bidi w:val="0"/>
              <w:spacing w:lineRule="atLeast" w:line="142" w:before="0" w:after="0"/>
              <w:ind w:left="0" w:right="0" w:hanging="0"/>
              <w:jc w:val="left"/>
              <w:rPr/>
            </w:pPr>
            <w:r>
              <w:rPr/>
              <w:t>​</w:t>
            </w:r>
          </w:p>
        </w:tc>
        <w:tc>
          <w:tcPr>
            <w:tcW w:w="2581" w:type="dxa"/>
            <w:tcBorders/>
            <w:vAlign w:val="center"/>
          </w:tcPr>
          <w:p>
            <w:pPr>
              <w:pStyle w:val="TableContents"/>
              <w:bidi w:val="0"/>
              <w:spacing w:lineRule="atLeast" w:line="142" w:before="0" w:after="0"/>
              <w:ind w:left="0" w:right="0" w:hanging="0"/>
              <w:jc w:val="left"/>
              <w:rPr/>
            </w:pPr>
            <w:r>
              <w:rPr/>
              <w:t>​</w:t>
            </w:r>
          </w:p>
        </w:tc>
      </w:tr>
      <w:tr>
        <w:trPr/>
        <w:tc>
          <w:tcPr>
            <w:tcW w:w="214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 filer ☒</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Accelerated filer ☐</w:t>
            </w:r>
          </w:p>
        </w:tc>
      </w:tr>
      <w:tr>
        <w:trPr/>
        <w:tc>
          <w:tcPr>
            <w:tcW w:w="2146" w:type="dxa"/>
            <w:tcBorders/>
            <w:vAlign w:val="center"/>
          </w:tcPr>
          <w:p>
            <w:pPr>
              <w:pStyle w:val="TableContents"/>
              <w:bidi w:val="0"/>
              <w:spacing w:before="0" w:after="0"/>
              <w:ind w:left="0" w:right="0" w:hanging="0"/>
              <w:jc w:val="center"/>
              <w:rPr/>
            </w:pPr>
            <w:r>
              <w:rPr/>
              <w:t>​</w:t>
            </w:r>
          </w:p>
        </w:tc>
        <w:tc>
          <w:tcPr>
            <w:tcW w:w="2581" w:type="dxa"/>
            <w:tcBorders/>
            <w:vAlign w:val="center"/>
          </w:tcPr>
          <w:p>
            <w:pPr>
              <w:pStyle w:val="TableContents"/>
              <w:bidi w:val="0"/>
              <w:spacing w:before="0" w:after="0"/>
              <w:ind w:left="0" w:right="0" w:hanging="0"/>
              <w:jc w:val="center"/>
              <w:rPr/>
            </w:pPr>
            <w:r>
              <w:rPr/>
              <w:t>​</w:t>
            </w:r>
          </w:p>
        </w:tc>
      </w:tr>
      <w:tr>
        <w:trPr/>
        <w:tc>
          <w:tcPr>
            <w:tcW w:w="214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 filer ☐</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 company ☐</w:t>
            </w:r>
          </w:p>
        </w:tc>
      </w:tr>
      <w:tr>
        <w:trPr/>
        <w:tc>
          <w:tcPr>
            <w:tcW w:w="2146" w:type="dxa"/>
            <w:tcBorders/>
            <w:vAlign w:val="center"/>
          </w:tcPr>
          <w:p>
            <w:pPr>
              <w:pStyle w:val="TableContents"/>
              <w:pBdr/>
              <w:bidi w:val="0"/>
              <w:spacing w:before="0" w:after="0"/>
              <w:ind w:left="0" w:right="0" w:hanging="0"/>
              <w:jc w:val="center"/>
              <w:rPr/>
            </w:pPr>
            <w:r>
              <w:rPr/>
              <w:t>​</w:t>
            </w:r>
          </w:p>
        </w:tc>
        <w:tc>
          <w:tcPr>
            <w:tcW w:w="2581" w:type="dxa"/>
            <w:tcBorders/>
            <w:vAlign w:val="center"/>
          </w:tcPr>
          <w:p>
            <w:pPr>
              <w:pStyle w:val="TableContents"/>
              <w:bidi w:val="0"/>
              <w:spacing w:before="0" w:after="0"/>
              <w:ind w:left="0" w:right="0" w:hanging="0"/>
              <w:jc w:val="center"/>
              <w:rPr/>
            </w:pPr>
            <w:r>
              <w:rPr/>
              <w:t>​</w:t>
            </w:r>
          </w:p>
        </w:tc>
      </w:tr>
      <w:tr>
        <w:trPr/>
        <w:tc>
          <w:tcPr>
            <w:tcW w:w="2146" w:type="dxa"/>
            <w:tcBorders/>
            <w:vAlign w:val="center"/>
          </w:tcPr>
          <w:p>
            <w:pPr>
              <w:pStyle w:val="TableContents"/>
              <w:pBdr/>
              <w:bidi w:val="0"/>
              <w:spacing w:before="0" w:after="0"/>
              <w:ind w:left="0" w:right="0" w:hanging="0"/>
              <w:jc w:val="center"/>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center"/>
        <w:rPr/>
      </w:pPr>
      <w:r>
        <w:rPr/>
        <w:t>​</w:t>
      </w:r>
    </w:p>
    <w:p>
      <w:pPr>
        <w:pStyle w:val="TextBody"/>
        <w:bidi w:val="0"/>
        <w:spacing w:before="60" w:after="6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Number of shares of common stock outstanding as of September 30, 2023: 34,934,880</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1" w:name="_69f00e1a_6e94_4874_87d4_e73441d8196b"/>
      <w:bookmarkEnd w:id="21"/>
      <w:r>
        <w:rPr>
          <w:rFonts w:ascii="Times New Roman;Times;serif" w:hAnsi="Times New Roman;Times;serif"/>
          <w:b/>
          <w:sz w:val="20"/>
        </w:rPr>
        <w:t>MATSON, INC. AND SUBSIDIARIES</w:t>
      </w:r>
    </w:p>
    <w:p>
      <w:pPr>
        <w:pStyle w:val="TextBody"/>
        <w:shd w:fill="FFFFFF" w:val="clear"/>
        <w:bidi w:val="0"/>
        <w:spacing w:before="240" w:after="0"/>
        <w:ind w:left="0" w:right="0" w:hanging="0"/>
        <w:jc w:val="center"/>
        <w:rPr>
          <w:rFonts w:ascii="Times New Roman;Times;serif" w:hAnsi="Times New Roman;Times;serif"/>
          <w:b/>
          <w:sz w:val="20"/>
        </w:rPr>
      </w:pPr>
      <w:bookmarkStart w:id="22" w:name="Toc"/>
      <w:bookmarkEnd w:id="22"/>
      <w:r>
        <w:rPr>
          <w:rFonts w:ascii="Times New Roman;Times;serif" w:hAnsi="Times New Roman;Times;serif"/>
          <w:b/>
          <w:sz w:val="20"/>
        </w:rPr>
        <w:t>TABLE OF CONTENTS</w:t>
      </w:r>
    </w:p>
    <w:p>
      <w:pPr>
        <w:pStyle w:val="TextBody"/>
        <w:shd w:fill="FFFFFF" w:val="clear"/>
        <w:bidi w:val="0"/>
        <w:spacing w:before="0" w:after="0"/>
        <w:ind w:left="0" w:right="0" w:hanging="0"/>
        <w:jc w:val="center"/>
        <w:rPr/>
      </w:pPr>
      <w:r>
        <w:rPr/>
        <w:t>​</w:t>
      </w:r>
    </w:p>
    <w:tbl>
      <w:tblPr>
        <w:tblW w:w="8924" w:type="dxa"/>
        <w:jc w:val="left"/>
        <w:tblInd w:w="0" w:type="dxa"/>
        <w:shd w:fill="FFFFFF" w:val="clear"/>
        <w:tblLayout w:type="fixed"/>
        <w:tblCellMar>
          <w:top w:w="0" w:type="dxa"/>
          <w:left w:w="0" w:type="dxa"/>
          <w:bottom w:w="0" w:type="dxa"/>
          <w:right w:w="0" w:type="dxa"/>
        </w:tblCellMar>
      </w:tblPr>
      <w:tblGrid>
        <w:gridCol w:w="811"/>
        <w:gridCol w:w="7366"/>
        <w:gridCol w:w="206"/>
        <w:gridCol w:w="541"/>
      </w:tblGrid>
      <w:tr>
        <w:trPr/>
        <w:tc>
          <w:tcPr>
            <w:tcW w:w="811" w:type="dxa"/>
            <w:tcBorders/>
            <w:shd w:fill="FFFFFF" w:val="clear"/>
            <w:vAlign w:val="center"/>
          </w:tcPr>
          <w:p>
            <w:pPr>
              <w:pStyle w:val="TableContents"/>
              <w:bidi w:val="0"/>
              <w:spacing w:lineRule="atLeast" w:line="240" w:before="0" w:after="0"/>
              <w:ind w:left="0" w:right="0" w:hanging="0"/>
              <w:jc w:val="left"/>
              <w:rPr/>
            </w:pPr>
            <w:r>
              <w:rPr/>
              <w:t>​</w:t>
            </w:r>
          </w:p>
          <w:p>
            <w:pPr>
              <w:pStyle w:val="TableContents"/>
              <w:bidi w:val="0"/>
              <w:spacing w:lineRule="atLeast" w:line="240" w:before="0" w:after="0"/>
              <w:ind w:left="0" w:right="0" w:hanging="0"/>
              <w:jc w:val="left"/>
              <w:rPr/>
            </w:pPr>
            <w:r>
              <w:rPr/>
              <w:t>​</w:t>
            </w:r>
          </w:p>
        </w:tc>
        <w:tc>
          <w:tcPr>
            <w:tcW w:w="736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06" w:type="dxa"/>
            <w:tcBorders/>
            <w:shd w:fill="FFFFFF" w:val="clear"/>
            <w:vAlign w:val="center"/>
          </w:tcPr>
          <w:p>
            <w:pPr>
              <w:pStyle w:val="TableContents"/>
              <w:bidi w:val="0"/>
              <w:spacing w:lineRule="atLeast" w:line="240" w:before="0" w:after="0"/>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8177" w:type="dxa"/>
            <w:gridSpan w:val="2"/>
            <w:tcBorders/>
            <w:shd w:fill="FFFFFF" w:val="clear"/>
            <w:vAlign w:val="center"/>
          </w:tcPr>
          <w:p>
            <w:pPr>
              <w:pStyle w:val="TableContents"/>
              <w:bidi w:val="0"/>
              <w:spacing w:lineRule="atLeast" w:line="240" w:before="0" w:after="0"/>
              <w:ind w:left="0" w:right="0" w:hanging="0"/>
              <w:jc w:val="left"/>
              <w:rPr/>
            </w:pPr>
            <w:hyperlink w:anchor="PART_I_FINANCIAL_INFORMATION">
              <w:r>
                <w:rPr>
                  <w:rStyle w:val="InternetLink"/>
                  <w:rFonts w:ascii="Times New Roman;Times;serif" w:hAnsi="Times New Roman;Times;serif"/>
                  <w:b w:val="false"/>
                  <w:i w:val="false"/>
                  <w:caps w:val="false"/>
                  <w:smallCaps w:val="false"/>
                  <w:sz w:val="20"/>
                </w:rPr>
                <w:t>Part I—FINANCIAL INFORMATION</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top w:val="single" w:sz="2" w:space="0" w:color="000000"/>
            </w:tcBorders>
            <w:shd w:fill="FFFFFF" w:val="clear"/>
            <w:tcMar>
              <w:top w:w="28" w:type="dxa"/>
            </w:tcM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shd w:fill="FFFFFF" w:val="clear"/>
            <w:vAlign w:val="center"/>
          </w:tcPr>
          <w:p>
            <w:pPr>
              <w:pStyle w:val="TableContents"/>
              <w:bidi w:val="0"/>
              <w:spacing w:lineRule="atLeast" w:line="240" w:before="0" w:after="0"/>
              <w:ind w:left="0" w:right="0" w:hanging="0"/>
              <w:jc w:val="left"/>
              <w:rPr/>
            </w:pPr>
            <w:r>
              <w:rPr/>
              <w:t>​</w:t>
            </w:r>
          </w:p>
        </w:tc>
        <w:tc>
          <w:tcPr>
            <w:tcW w:w="7366" w:type="dxa"/>
            <w:tcBorders/>
            <w:shd w:fill="FFFFFF" w:val="clear"/>
            <w:vAlign w:val="center"/>
          </w:tcPr>
          <w:p>
            <w:pPr>
              <w:pStyle w:val="TableContents"/>
              <w:bidi w:val="0"/>
              <w:spacing w:lineRule="atLeast" w:line="240" w:before="0" w:after="0"/>
              <w:ind w:left="0" w:right="0" w:hanging="0"/>
              <w:jc w:val="left"/>
              <w:rPr/>
            </w:pPr>
            <w:r>
              <w:rPr/>
              <w:t>​</w:t>
            </w:r>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left"/>
              <w:rPr/>
            </w:pPr>
            <w:r>
              <w:rPr/>
              <w:t>​</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_1_FINANCIAL_STATEMENTS">
              <w:r>
                <w:rPr>
                  <w:rStyle w:val="InternetLink"/>
                  <w:rFonts w:ascii="Times New Roman;Times;serif" w:hAnsi="Times New Roman;Times;serif"/>
                  <w:b w:val="false"/>
                  <w:i w:val="false"/>
                  <w:caps w:val="false"/>
                  <w:smallCaps w:val="false"/>
                  <w:sz w:val="20"/>
                </w:rPr>
                <w:t>Item 1.</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_1_FINANCIAL_STATEMENTS">
              <w:r>
                <w:rPr>
                  <w:rStyle w:val="InternetLink"/>
                  <w:rFonts w:ascii="Times New Roman;Times;serif" w:hAnsi="Times New Roman;Times;serif"/>
                  <w:b w:val="false"/>
                  <w:i w:val="false"/>
                  <w:caps w:val="false"/>
                  <w:smallCaps w:val="false"/>
                  <w:sz w:val="20"/>
                </w:rPr>
                <w:t>Financial Statements (Unaudited)</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FFFFFF" w:val="clear"/>
            <w:vAlign w:val="center"/>
          </w:tcPr>
          <w:p>
            <w:pPr>
              <w:pStyle w:val="TableContents"/>
              <w:bidi w:val="0"/>
              <w:spacing w:lineRule="atLeast" w:line="240" w:before="0" w:after="0"/>
              <w:ind w:left="0" w:right="0" w:hanging="0"/>
              <w:jc w:val="left"/>
              <w:rPr/>
            </w:pPr>
            <w:hyperlink w:anchor="Consolidated_Statements_of_Income">
              <w:r>
                <w:rPr>
                  <w:rStyle w:val="InternetLink"/>
                  <w:rFonts w:ascii="Times New Roman;Times;serif" w:hAnsi="Times New Roman;Times;serif"/>
                  <w:b w:val="false"/>
                  <w:i w:val="false"/>
                  <w:caps w:val="false"/>
                  <w:smallCaps w:val="false"/>
                  <w:sz w:val="20"/>
                </w:rPr>
                <w:t>Condensed Consolidated Statements of Income and Comprehensive Income</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FFFFFF" w:val="clear"/>
            <w:vAlign w:val="center"/>
          </w:tcPr>
          <w:p>
            <w:pPr>
              <w:pStyle w:val="TableContents"/>
              <w:bidi w:val="0"/>
              <w:spacing w:lineRule="atLeast" w:line="240" w:before="0" w:after="0"/>
              <w:ind w:left="0" w:right="0" w:hanging="0"/>
              <w:jc w:val="left"/>
              <w:rPr/>
            </w:pPr>
            <w:hyperlink w:anchor="ConsolidatedBalanceSheets_846706">
              <w:r>
                <w:rPr>
                  <w:rStyle w:val="InternetLink"/>
                  <w:rFonts w:ascii="Times New Roman;Times;serif" w:hAnsi="Times New Roman;Times;serif"/>
                  <w:b w:val="false"/>
                  <w:i w:val="false"/>
                  <w:caps w:val="false"/>
                  <w:smallCaps w:val="false"/>
                  <w:sz w:val="20"/>
                </w:rPr>
                <w:t>Condensed Consolidated Balance Sheets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8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FFFFFF" w:val="clear"/>
            <w:vAlign w:val="center"/>
          </w:tcPr>
          <w:p>
            <w:pPr>
              <w:pStyle w:val="TableContents"/>
              <w:bidi w:val="0"/>
              <w:spacing w:lineRule="atLeast" w:line="240" w:before="0" w:after="0"/>
              <w:ind w:left="0" w:right="0" w:hanging="0"/>
              <w:jc w:val="left"/>
              <w:rPr/>
            </w:pPr>
            <w:hyperlink w:anchor="StatementsofCashFlows_473640">
              <w:r>
                <w:rPr>
                  <w:rStyle w:val="InternetLink"/>
                  <w:rFonts w:ascii="Times New Roman;Times;serif" w:hAnsi="Times New Roman;Times;serif"/>
                  <w:b w:val="false"/>
                  <w:i w:val="false"/>
                  <w:caps w:val="false"/>
                  <w:smallCaps w:val="false"/>
                  <w:sz w:val="20"/>
                </w:rPr>
                <w:t>Condensed Consolidated Statements of Cash Flows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1" w:type="dxa"/>
            <w:tcBorders/>
            <w:shd w:fill="FFFFFF" w:val="clear"/>
            <w:vAlign w:val="center"/>
          </w:tcPr>
          <w:p>
            <w:pPr>
              <w:pStyle w:val="TableContents"/>
              <w:bidi w:val="0"/>
              <w:spacing w:lineRule="atLeast" w:line="240" w:before="0" w:after="0"/>
              <w:ind w:left="0" w:right="0" w:hanging="0"/>
              <w:jc w:val="left"/>
              <w:rPr/>
            </w:pPr>
            <w:r>
              <w:rPr/>
              <w:t>​</w:t>
            </w:r>
          </w:p>
        </w:tc>
        <w:tc>
          <w:tcPr>
            <w:tcW w:w="7366" w:type="dxa"/>
            <w:tcBorders/>
            <w:shd w:fill="FFFFFF" w:val="clear"/>
            <w:vAlign w:val="center"/>
          </w:tcPr>
          <w:p>
            <w:pPr>
              <w:pStyle w:val="TableContents"/>
              <w:bidi w:val="0"/>
              <w:spacing w:lineRule="atLeast" w:line="240" w:before="0" w:after="0"/>
              <w:ind w:left="0" w:right="0" w:hanging="0"/>
              <w:jc w:val="left"/>
              <w:rPr/>
            </w:pPr>
            <w:hyperlink w:anchor="StatementsofShareholdersEquity">
              <w:r>
                <w:rPr>
                  <w:rStyle w:val="InternetLink"/>
                  <w:rFonts w:ascii="Times New Roman;Times;serif" w:hAnsi="Times New Roman;Times;serif"/>
                  <w:b w:val="false"/>
                  <w:i w:val="false"/>
                  <w:caps w:val="false"/>
                  <w:smallCaps w:val="false"/>
                  <w:sz w:val="20"/>
                </w:rPr>
                <w:t>Condensed Consolidated Statements of Shareholders’ Equity</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FFFFFF" w:val="clear"/>
            <w:vAlign w:val="center"/>
          </w:tcPr>
          <w:p>
            <w:pPr>
              <w:pStyle w:val="TableContents"/>
              <w:bidi w:val="0"/>
              <w:spacing w:lineRule="atLeast" w:line="240" w:before="0" w:after="0"/>
              <w:ind w:left="0" w:right="0" w:hanging="0"/>
              <w:jc w:val="left"/>
              <w:rPr/>
            </w:pPr>
            <w:hyperlink w:anchor="NOTESTOTHECONDENSEDCONSOLIDATEDFINANICAL">
              <w:r>
                <w:rPr>
                  <w:rStyle w:val="InternetLink"/>
                  <w:rFonts w:ascii="Times New Roman;Times;serif" w:hAnsi="Times New Roman;Times;serif"/>
                  <w:b w:val="false"/>
                  <w:i w:val="false"/>
                  <w:caps w:val="false"/>
                  <w:smallCaps w:val="false"/>
                  <w:sz w:val="20"/>
                </w:rPr>
                <w:t>Notes to the Condensed Consolidated Financial Statements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_2_MDA">
              <w:r>
                <w:rPr>
                  <w:rStyle w:val="InternetLink"/>
                  <w:rFonts w:ascii="Times New Roman;Times;serif" w:hAnsi="Times New Roman;Times;serif"/>
                  <w:b w:val="false"/>
                  <w:i w:val="false"/>
                  <w:caps w:val="false"/>
                  <w:smallCaps w:val="false"/>
                  <w:sz w:val="20"/>
                </w:rPr>
                <w:t>Item 2.</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_2_MDA">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15</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23</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4CONTROLSANDPROCEDURES_278454">
              <w:r>
                <w:rPr>
                  <w:rStyle w:val="InternetLink"/>
                  <w:rFonts w:ascii="Times New Roman;Times;serif" w:hAnsi="Times New Roman;Times;serif"/>
                  <w:b w:val="false"/>
                  <w:i w:val="false"/>
                  <w:caps w:val="false"/>
                  <w:smallCaps w:val="false"/>
                  <w:sz w:val="20"/>
                </w:rPr>
                <w:t>Item 4.</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4CONTROLSANDPROCEDURES_278454">
              <w:r>
                <w:rPr>
                  <w:rStyle w:val="InternetLink"/>
                  <w:rFonts w:ascii="Times New Roman;Times;serif" w:hAnsi="Times New Roman;Times;serif"/>
                  <w:b w:val="false"/>
                  <w:i w:val="false"/>
                  <w:caps w:val="false"/>
                  <w:smallCaps w:val="false"/>
                  <w:sz w:val="20"/>
                </w:rPr>
                <w:t>Controls and Procedures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23</w:t>
            </w:r>
          </w:p>
        </w:tc>
      </w:tr>
      <w:tr>
        <w:trPr/>
        <w:tc>
          <w:tcPr>
            <w:tcW w:w="811" w:type="dxa"/>
            <w:tcBorders/>
            <w:shd w:fill="FFFFFF" w:val="clear"/>
            <w:vAlign w:val="center"/>
          </w:tcPr>
          <w:p>
            <w:pPr>
              <w:pStyle w:val="TableContents"/>
              <w:bidi w:val="0"/>
              <w:spacing w:lineRule="atLeast" w:line="240" w:before="0" w:after="0"/>
              <w:ind w:left="0" w:right="0" w:hanging="0"/>
              <w:jc w:val="left"/>
              <w:rPr>
                <w:shd w:fill="FFFF00" w:val="clear"/>
              </w:rPr>
            </w:pPr>
            <w:r>
              <w:rPr>
                <w:shd w:fill="FFFF00" w:val="clear"/>
              </w:rPr>
              <w:t>​</w:t>
            </w:r>
          </w:p>
        </w:tc>
        <w:tc>
          <w:tcPr>
            <w:tcW w:w="7366" w:type="dxa"/>
            <w:tcBorders/>
            <w:shd w:fill="FFFFFF" w:val="clear"/>
            <w:vAlign w:val="center"/>
          </w:tcPr>
          <w:p>
            <w:pPr>
              <w:pStyle w:val="TableContents"/>
              <w:bidi w:val="0"/>
              <w:spacing w:lineRule="atLeast" w:line="240" w:before="0" w:after="0"/>
              <w:ind w:left="0" w:right="0" w:hanging="0"/>
              <w:jc w:val="left"/>
              <w:rPr>
                <w:shd w:fill="FFFF00" w:val="clear"/>
              </w:rPr>
            </w:pPr>
            <w:r>
              <w:rPr>
                <w:shd w:fill="FFFF00" w:val="clear"/>
              </w:rPr>
              <w:t>​</w:t>
            </w:r>
          </w:p>
        </w:tc>
        <w:tc>
          <w:tcPr>
            <w:tcW w:w="206" w:type="dxa"/>
            <w:tcBorders/>
            <w:shd w:fill="FFFFFF" w:val="clear"/>
            <w:vAlign w:val="center"/>
          </w:tcPr>
          <w:p>
            <w:pPr>
              <w:pStyle w:val="TableContents"/>
              <w:bidi w:val="0"/>
              <w:spacing w:lineRule="atLeast" w:line="240" w:before="0" w:after="0"/>
              <w:ind w:left="0" w:right="0" w:hanging="0"/>
              <w:jc w:val="right"/>
              <w:rPr>
                <w:shd w:fill="FFFF00" w:val="clear"/>
              </w:rPr>
            </w:pPr>
            <w:r>
              <w:rPr>
                <w:shd w:fill="FFFF00" w:val="clear"/>
              </w:rPr>
              <w:t>​</w:t>
            </w:r>
          </w:p>
        </w:tc>
        <w:tc>
          <w:tcPr>
            <w:tcW w:w="541" w:type="dxa"/>
            <w:tcBorders/>
            <w:shd w:fill="FFFFFF" w:val="clear"/>
            <w:vAlign w:val="center"/>
          </w:tcPr>
          <w:p>
            <w:pPr>
              <w:pStyle w:val="TableContents"/>
              <w:bidi w:val="0"/>
              <w:spacing w:lineRule="atLeast" w:line="240" w:before="0" w:after="0"/>
              <w:ind w:left="0" w:right="0" w:hanging="0"/>
              <w:jc w:val="center"/>
              <w:rPr>
                <w:shd w:fill="FFFF00" w:val="clear"/>
              </w:rPr>
            </w:pPr>
            <w:r>
              <w:rPr>
                <w:shd w:fill="FFFF00" w:val="clear"/>
              </w:rPr>
              <w:t>​</w:t>
            </w:r>
          </w:p>
        </w:tc>
      </w:tr>
      <w:tr>
        <w:trPr/>
        <w:tc>
          <w:tcPr>
            <w:tcW w:w="8177" w:type="dxa"/>
            <w:gridSpan w:val="2"/>
            <w:tcBorders/>
            <w:shd w:fill="FFFFFF" w:val="clear"/>
            <w:vAlign w:val="center"/>
          </w:tcPr>
          <w:p>
            <w:pPr>
              <w:pStyle w:val="TableContents"/>
              <w:bidi w:val="0"/>
              <w:spacing w:lineRule="atLeast" w:line="240" w:before="0" w:after="0"/>
              <w:ind w:left="0" w:right="0" w:hanging="0"/>
              <w:jc w:val="left"/>
              <w:rPr/>
            </w:pPr>
            <w:hyperlink w:anchor="PARTIIOTHERINFORMATION_744928">
              <w:r>
                <w:rPr>
                  <w:rStyle w:val="InternetLink"/>
                  <w:rFonts w:ascii="Times New Roman;Times;serif" w:hAnsi="Times New Roman;Times;serif"/>
                  <w:b w:val="false"/>
                  <w:i w:val="false"/>
                  <w:caps w:val="false"/>
                  <w:smallCaps w:val="false"/>
                  <w:sz w:val="20"/>
                </w:rPr>
                <w:t>Part II—OTHER INFORMATION</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77" w:type="dxa"/>
            <w:gridSpan w:val="2"/>
            <w:tcBorders/>
            <w:shd w:fill="FFFFFF" w:val="clear"/>
            <w:vAlign w:val="center"/>
          </w:tcPr>
          <w:p>
            <w:pPr>
              <w:pStyle w:val="TableContents"/>
              <w:bidi w:val="0"/>
              <w:spacing w:lineRule="atLeast" w:line="240" w:before="0" w:after="0"/>
              <w:ind w:left="0" w:right="0" w:hanging="0"/>
              <w:jc w:val="left"/>
              <w:rPr/>
            </w:pPr>
            <w:r>
              <w:rPr/>
              <w:t>​</w:t>
            </w:r>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pPr>
            <w:r>
              <w:rPr/>
              <w:t>​</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1LEGALPROCEEDINGS_436162">
              <w:r>
                <w:rPr>
                  <w:rStyle w:val="InternetLink"/>
                  <w:rFonts w:ascii="Times New Roman;Times;serif" w:hAnsi="Times New Roman;Times;serif"/>
                  <w:b w:val="false"/>
                  <w:i w:val="false"/>
                  <w:caps w:val="false"/>
                  <w:smallCaps w:val="false"/>
                  <w:sz w:val="20"/>
                </w:rPr>
                <w:t>Item 1.</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1LEGALPROCEEDINGS_436162">
              <w:r>
                <w:rPr>
                  <w:rStyle w:val="InternetLink"/>
                  <w:rFonts w:ascii="Times New Roman;Times;serif" w:hAnsi="Times New Roman;Times;serif"/>
                  <w:b w:val="false"/>
                  <w:i w:val="false"/>
                  <w:caps w:val="false"/>
                  <w:smallCaps w:val="false"/>
                  <w:sz w:val="20"/>
                </w:rPr>
                <w:t>Legal Proceedings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1ARISKFACTORS_897747">
              <w:r>
                <w:rPr>
                  <w:rStyle w:val="InternetLink"/>
                  <w:rFonts w:ascii="Times New Roman;Times;serif" w:hAnsi="Times New Roman;Times;serif"/>
                  <w:b w:val="false"/>
                  <w:i w:val="false"/>
                  <w:caps w:val="false"/>
                  <w:smallCaps w:val="false"/>
                  <w:sz w:val="20"/>
                </w:rPr>
                <w:t>Item 1A.</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1ARISKFACTORS_897747">
              <w:r>
                <w:rPr>
                  <w:rStyle w:val="InternetLink"/>
                  <w:rFonts w:ascii="Times New Roman;Times;serif" w:hAnsi="Times New Roman;Times;serif"/>
                  <w:b w:val="false"/>
                  <w:i w:val="false"/>
                  <w:caps w:val="false"/>
                  <w:smallCaps w:val="false"/>
                  <w:sz w:val="20"/>
                </w:rPr>
                <w:t>Risk Factors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3DEFAULTSUPONSENIORSECURITIES_766025">
              <w:r>
                <w:rPr>
                  <w:rStyle w:val="InternetLink"/>
                  <w:rFonts w:ascii="Times New Roman;Times;serif" w:hAnsi="Times New Roman;Times;serif"/>
                  <w:b w:val="false"/>
                  <w:i w:val="false"/>
                  <w:caps w:val="false"/>
                  <w:smallCaps w:val="false"/>
                  <w:sz w:val="20"/>
                </w:rPr>
                <w:t>Item 3.</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3DEFAULTSUPONSENIORSECURITIES_766025">
              <w:r>
                <w:rPr>
                  <w:rStyle w:val="InternetLink"/>
                  <w:rFonts w:ascii="Times New Roman;Times;serif" w:hAnsi="Times New Roman;Times;serif"/>
                  <w:b w:val="false"/>
                  <w:i w:val="false"/>
                  <w:caps w:val="false"/>
                  <w:smallCaps w:val="false"/>
                  <w:sz w:val="20"/>
                </w:rPr>
                <w:t>Defaults Upon Senior Securities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4MINESAFETYDISCLOSURES_922547">
              <w:r>
                <w:rPr>
                  <w:rStyle w:val="InternetLink"/>
                  <w:rFonts w:ascii="Times New Roman;Times;serif" w:hAnsi="Times New Roman;Times;serif"/>
                  <w:b w:val="false"/>
                  <w:i w:val="false"/>
                  <w:caps w:val="false"/>
                  <w:smallCaps w:val="false"/>
                  <w:sz w:val="20"/>
                </w:rPr>
                <w:t>Item 4.</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4MINESAFETYDISCLOSURES_922547">
              <w:r>
                <w:rPr>
                  <w:rStyle w:val="InternetLink"/>
                  <w:rFonts w:ascii="Times New Roman;Times;serif" w:hAnsi="Times New Roman;Times;serif"/>
                  <w:b w:val="false"/>
                  <w:i w:val="false"/>
                  <w:caps w:val="false"/>
                  <w:smallCaps w:val="false"/>
                  <w:sz w:val="20"/>
                </w:rPr>
                <w:t>Mine Safety Disclosures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5OTHERINFORMATION_110834">
              <w:r>
                <w:rPr>
                  <w:rStyle w:val="InternetLink"/>
                  <w:rFonts w:ascii="Times New Roman;Times;serif" w:hAnsi="Times New Roman;Times;serif"/>
                  <w:b w:val="false"/>
                  <w:i w:val="false"/>
                  <w:caps w:val="false"/>
                  <w:smallCaps w:val="false"/>
                  <w:sz w:val="20"/>
                </w:rPr>
                <w:t>Item 5.</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5OTHERINFORMATION_110834">
              <w:r>
                <w:rPr>
                  <w:rStyle w:val="InternetLink"/>
                  <w:rFonts w:ascii="Times New Roman;Times;serif" w:hAnsi="Times New Roman;Times;serif"/>
                  <w:b w:val="false"/>
                  <w:i w:val="false"/>
                  <w:caps w:val="false"/>
                  <w:smallCaps w:val="false"/>
                  <w:sz w:val="20"/>
                </w:rPr>
                <w:t>Other Information</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6EXHIBITS_599668">
              <w:r>
                <w:rPr>
                  <w:rStyle w:val="InternetLink"/>
                  <w:rFonts w:ascii="Times New Roman;Times;serif" w:hAnsi="Times New Roman;Times;serif"/>
                  <w:b w:val="false"/>
                  <w:i w:val="false"/>
                  <w:caps w:val="false"/>
                  <w:smallCaps w:val="false"/>
                  <w:sz w:val="20"/>
                </w:rPr>
                <w:t>Item 6.</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6EXHIBITS_599668">
              <w:r>
                <w:rPr>
                  <w:rStyle w:val="InternetLink"/>
                  <w:rFonts w:ascii="Times New Roman;Times;serif" w:hAnsi="Times New Roman;Times;serif"/>
                  <w:b w:val="false"/>
                  <w:i w:val="false"/>
                  <w:caps w:val="false"/>
                  <w:smallCaps w:val="false"/>
                  <w:sz w:val="20"/>
                </w:rPr>
                <w:t>Exhibits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26</w:t>
            </w:r>
          </w:p>
        </w:tc>
      </w:tr>
      <w:tr>
        <w:trPr/>
        <w:tc>
          <w:tcPr>
            <w:tcW w:w="8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FFFFFF" w:val="clear"/>
            <w:vAlign w:val="center"/>
          </w:tcPr>
          <w:p>
            <w:pPr>
              <w:pStyle w:val="TableContents"/>
              <w:bidi w:val="0"/>
              <w:spacing w:lineRule="atLeast" w:line="240" w:before="0" w:after="0"/>
              <w:ind w:left="0" w:right="0" w:hanging="0"/>
              <w:jc w:val="left"/>
              <w:rPr/>
            </w:pPr>
            <w:hyperlink w:anchor="SIGNATURES_841218">
              <w:r>
                <w:rPr>
                  <w:rStyle w:val="InternetLink"/>
                  <w:rFonts w:ascii="Times New Roman;Times;serif" w:hAnsi="Times New Roman;Times;serif"/>
                  <w:b w:val="false"/>
                  <w:i w:val="false"/>
                  <w:caps w:val="false"/>
                  <w:smallCaps w:val="false"/>
                  <w:sz w:val="20"/>
                </w:rPr>
                <w:t>Signatures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27</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 w:name="PART_I_FINANCIAL_INFORMATION"/>
      <w:bookmarkStart w:id="24" w:name="_2fecf42b_7215_4d8f_b966_487b3fac3e66"/>
      <w:bookmarkEnd w:id="23"/>
      <w:bookmarkEnd w:id="24"/>
      <w:r>
        <w:rPr>
          <w:rFonts w:ascii="Times New Roman;Times;serif" w:hAnsi="Times New Roman;Times;serif"/>
          <w:b/>
          <w:sz w:val="20"/>
        </w:rPr>
        <w:t>PART I. FINANCIAL INFORMATION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25" w:name="ITEM_1_FINANCIAL_STATEMENTS"/>
      <w:bookmarkEnd w:id="25"/>
      <w:r>
        <w:rPr>
          <w:rFonts w:ascii="Times New Roman;Times;serif" w:hAnsi="Times New Roman;Times;serif"/>
          <w:b/>
          <w:sz w:val="20"/>
        </w:rPr>
        <w:t>ITEM 1.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26" w:name="Consolidated_Statements_of_Income"/>
      <w:bookmarkEnd w:id="26"/>
      <w:r>
        <w:rPr>
          <w:rFonts w:ascii="Times New Roman;Times;serif" w:hAnsi="Times New Roman;Times;serif"/>
          <w:b/>
          <w:sz w:val="20"/>
        </w:rPr>
        <w:t>Condensed Consolidated Statements of Income and Comprehensive Income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7" w:name="Tc_nUpDwLSXG0CEfVgZ9fjuNw_36_0"/>
      <w:bookmarkStart w:id="28" w:name="Tc_40eZIX-LG028Jb5ZEsoDXQ_35_0"/>
      <w:bookmarkStart w:id="29" w:name="Tc_VGTdBHdzdkyTxCoejNPT9g_34_0"/>
      <w:bookmarkStart w:id="30" w:name="Tc_4t4Hfs30-UytE12rWXNbRQ_32_11"/>
      <w:bookmarkStart w:id="31" w:name="Tc_f6gZK8saqU-RzeTuITHF7A_32_8"/>
      <w:bookmarkStart w:id="32" w:name="Tc_SICgOb6FgUi2iujdghUZuw_32_5"/>
      <w:bookmarkStart w:id="33" w:name="Tc_t7IijYtMRkezh2eorPqo7A_32_2"/>
      <w:bookmarkStart w:id="34" w:name="Tc_9xc6hZD75USrIGiu_zzNEg_32_0"/>
      <w:bookmarkStart w:id="35" w:name="Tc_XSWH1nJ6f0CakY0ZNr9TpQ_31_11"/>
      <w:bookmarkStart w:id="36" w:name="Tc_gpQEDWPgh0yPI89yk3mlgg_31_8"/>
      <w:bookmarkStart w:id="37" w:name="Tc_5-kvU5cm6UOdYQMpoHLmtA_31_5"/>
      <w:bookmarkStart w:id="38" w:name="Tc_NopXyyxtUkiyHrjsUKJNFQ_31_2"/>
      <w:bookmarkStart w:id="39" w:name="Tc_YGXtJfZebEOHZ3MKrZsaoQ_31_0"/>
      <w:bookmarkStart w:id="40" w:name="Tc_L3cRODRBnEO5PxE9w1JVMw_29_11"/>
      <w:bookmarkStart w:id="41" w:name="Tc_x6Xg3N8_70OcQOn_tlURWA_29_8"/>
      <w:bookmarkStart w:id="42" w:name="Tc_4FE_p9RF30CAP4dYjea39w_29_5"/>
      <w:bookmarkStart w:id="43" w:name="Tc_PeT38udgKUWes-gR6UrT3A_29_2"/>
      <w:bookmarkStart w:id="44" w:name="Tc_BT5t3EjM9keHtU9Bwl5Z2Q_29_0"/>
      <w:bookmarkStart w:id="45" w:name="Tc_XqzGBi5yPkuqgf4p9PF1Og_28_0"/>
      <w:bookmarkStart w:id="46" w:name="Tc_nnX8TC2t2kqAdYJCAjE-bw_27_0"/>
      <w:bookmarkStart w:id="47" w:name="Tc_5Rj7sXKi8kOibbqZ97B-tg_26_0"/>
      <w:bookmarkStart w:id="48" w:name="Tc_zrz9dVG5oEm98Ww-doH6XA_25_0"/>
      <w:bookmarkStart w:id="49" w:name="Tc_r7-nMDyVbECap8MIVvIbeA_24_11"/>
      <w:bookmarkStart w:id="50" w:name="Tc_53bOUldEPESPpFS3niycgQ_24_8"/>
      <w:bookmarkStart w:id="51" w:name="Tc_T59ovsNc7USvHB9WH_bZ-w_24_5"/>
      <w:bookmarkStart w:id="52" w:name="Tc_05CW8qcqgkqcs9_P_pRU7Q_24_2"/>
      <w:bookmarkStart w:id="53" w:name="Tc_XGThTKmTVEm1PLjxeGZNug_24_0"/>
      <w:bookmarkStart w:id="54" w:name="Tc_CNYrMryewEuJ6B4oXvhz0w_23_0"/>
      <w:bookmarkStart w:id="55" w:name="Tc_TpAg4bCj2k6n32LGxI4e2w_21_11"/>
      <w:bookmarkStart w:id="56" w:name="Tc_gPnrDpzmvkirJQ0W7WTgxw_21_8"/>
      <w:bookmarkStart w:id="57" w:name="Tc_5xytKLJTHEWus31V7nIzpw_21_5"/>
      <w:bookmarkStart w:id="58" w:name="Tc_-Q9v3kbkrUSptua_ze5ojw_21_2"/>
      <w:bookmarkStart w:id="59" w:name="Tc_D3MUUuZNKk6fKXxzmm5o5Q_21_0"/>
      <w:bookmarkStart w:id="60" w:name="Tc_DBXJzGmf2kC6XJMZBwEYkw_20_0"/>
      <w:bookmarkStart w:id="61" w:name="Tc_qA2KE6uOmEG11BoqfHAYCQ_19_0"/>
      <w:bookmarkStart w:id="62" w:name="Tc_yDJB9YY5TUSdXH2S-IyXpg_18_0"/>
      <w:bookmarkStart w:id="63" w:name="Tc_e_wz3HeOSEWpGEvr_PY71Q_17_0"/>
      <w:bookmarkStart w:id="64" w:name="Tc_tBmX_x8Rp0yr1HOj0YHOjw_16_0"/>
      <w:bookmarkStart w:id="65" w:name="Tc_OsRV1Qv50EWsKSraekbykQ_15_0"/>
      <w:bookmarkStart w:id="66" w:name="Tc_IeuGUVYu40qUIUV-L0aTtA_13_0"/>
      <w:bookmarkStart w:id="67" w:name="Tc_xyqMVLigM06h0KlOsQYdVw_12_0"/>
      <w:bookmarkStart w:id="68" w:name="Tc_JZfQhszs8kC1sOxyA_KBag_11_0"/>
      <w:bookmarkStart w:id="69" w:name="Tc_S19JaKgEg0m1MEkVe4hQ0g_10_0"/>
      <w:bookmarkStart w:id="70" w:name="Tc_8UqLmx0a3E6wqflHQpWpeg_9_0"/>
      <w:bookmarkStart w:id="71" w:name="Tc_kYamayOM2UK3k6MBh5dYvw_7_0"/>
      <w:bookmarkStart w:id="72" w:name="Tc_77Oe0938T0ipk9RL2HB2_A_6_0"/>
      <w:bookmarkStart w:id="73" w:name="Tc_owLosLlcr0OUn3QmkiSadA_5_11"/>
      <w:bookmarkStart w:id="74" w:name="Tc_NibZ38TB_UyOcltBWMtq5A_5_8"/>
      <w:bookmarkStart w:id="75" w:name="Tc_jWQiDN-eS02FiHvCaD5JhQ_5_5"/>
      <w:bookmarkStart w:id="76" w:name="Tc_mVBxZWx07Ei0qoowI2CfwA_5_2"/>
      <w:bookmarkStart w:id="77" w:name="Tc_OyyoPGD7xkGQ52TrJ4RFzw_5_0"/>
      <w:bookmarkStart w:id="78" w:name="Tc_5z-zeTICnkK9VRpsSEKX4Q_4_0"/>
      <w:bookmarkStart w:id="79" w:name="Tc_uWiP4o3JxEa7ruoIm2UXow_3_11"/>
      <w:bookmarkStart w:id="80" w:name="Tc_L-awh4Z7LUqFIesfvcqWVw_3_8"/>
      <w:bookmarkStart w:id="81" w:name="Tc_C9jjK4qrhUS4wC2RfYhZMQ_3_5"/>
      <w:bookmarkStart w:id="82" w:name="Tc_hJXqbgpfe0S7KZb9yrAVqw_3_2"/>
      <w:bookmarkStart w:id="83" w:name="Tc_fBppDqqs50WRfOKugJaQ9w_3_0"/>
      <w:bookmarkStart w:id="84" w:name="Tc_7NyvQeqQvEaLnFppu_3fSw_2_8"/>
      <w:bookmarkStart w:id="85" w:name="Tc_814-OOiLSUCrtnT1H8r61A_2_2"/>
      <w:bookmarkStart w:id="86" w:name="Tc_a6WDAiWynEO8WbDAuPiNyQ_1_8"/>
      <w:bookmarkStart w:id="87" w:name="Tc_yKCZJ9mOm0alsFEnTY5O2w_1_2"/>
      <w:bookmarkStart w:id="88" w:name="_40632128_9b38_41f2_99c4_634cee63da95"/>
      <w:bookmarkStart w:id="89" w:name="Tc_nUpDwLSXG0CEfVgZ9fjuNw_36_0"/>
      <w:bookmarkStart w:id="90" w:name="Tc_40eZIX-LG028Jb5ZEsoDXQ_35_0"/>
      <w:bookmarkStart w:id="91" w:name="Tc_VGTdBHdzdkyTxCoejNPT9g_34_0"/>
      <w:bookmarkStart w:id="92" w:name="Tc_4t4Hfs30-UytE12rWXNbRQ_32_11"/>
      <w:bookmarkStart w:id="93" w:name="Tc_f6gZK8saqU-RzeTuITHF7A_32_8"/>
      <w:bookmarkStart w:id="94" w:name="Tc_SICgOb6FgUi2iujdghUZuw_32_5"/>
      <w:bookmarkStart w:id="95" w:name="Tc_t7IijYtMRkezh2eorPqo7A_32_2"/>
      <w:bookmarkStart w:id="96" w:name="Tc_9xc6hZD75USrIGiu_zzNEg_32_0"/>
      <w:bookmarkStart w:id="97" w:name="Tc_XSWH1nJ6f0CakY0ZNr9TpQ_31_11"/>
      <w:bookmarkStart w:id="98" w:name="Tc_gpQEDWPgh0yPI89yk3mlgg_31_8"/>
      <w:bookmarkStart w:id="99" w:name="Tc_5-kvU5cm6UOdYQMpoHLmtA_31_5"/>
      <w:bookmarkStart w:id="100" w:name="Tc_NopXyyxtUkiyHrjsUKJNFQ_31_2"/>
      <w:bookmarkStart w:id="101" w:name="Tc_YGXtJfZebEOHZ3MKrZsaoQ_31_0"/>
      <w:bookmarkStart w:id="102" w:name="Tc_L3cRODRBnEO5PxE9w1JVMw_29_11"/>
      <w:bookmarkStart w:id="103" w:name="Tc_x6Xg3N8_70OcQOn_tlURWA_29_8"/>
      <w:bookmarkStart w:id="104" w:name="Tc_4FE_p9RF30CAP4dYjea39w_29_5"/>
      <w:bookmarkStart w:id="105" w:name="Tc_PeT38udgKUWes-gR6UrT3A_29_2"/>
      <w:bookmarkStart w:id="106" w:name="Tc_BT5t3EjM9keHtU9Bwl5Z2Q_29_0"/>
      <w:bookmarkStart w:id="107" w:name="Tc_XqzGBi5yPkuqgf4p9PF1Og_28_0"/>
      <w:bookmarkStart w:id="108" w:name="Tc_nnX8TC2t2kqAdYJCAjE-bw_27_0"/>
      <w:bookmarkStart w:id="109" w:name="Tc_5Rj7sXKi8kOibbqZ97B-tg_26_0"/>
      <w:bookmarkStart w:id="110" w:name="Tc_zrz9dVG5oEm98Ww-doH6XA_25_0"/>
      <w:bookmarkStart w:id="111" w:name="Tc_r7-nMDyVbECap8MIVvIbeA_24_11"/>
      <w:bookmarkStart w:id="112" w:name="Tc_53bOUldEPESPpFS3niycgQ_24_8"/>
      <w:bookmarkStart w:id="113" w:name="Tc_T59ovsNc7USvHB9WH_bZ-w_24_5"/>
      <w:bookmarkStart w:id="114" w:name="Tc_05CW8qcqgkqcs9_P_pRU7Q_24_2"/>
      <w:bookmarkStart w:id="115" w:name="Tc_XGThTKmTVEm1PLjxeGZNug_24_0"/>
      <w:bookmarkStart w:id="116" w:name="Tc_CNYrMryewEuJ6B4oXvhz0w_23_0"/>
      <w:bookmarkStart w:id="117" w:name="Tc_TpAg4bCj2k6n32LGxI4e2w_21_11"/>
      <w:bookmarkStart w:id="118" w:name="Tc_gPnrDpzmvkirJQ0W7WTgxw_21_8"/>
      <w:bookmarkStart w:id="119" w:name="Tc_5xytKLJTHEWus31V7nIzpw_21_5"/>
      <w:bookmarkStart w:id="120" w:name="Tc_-Q9v3kbkrUSptua_ze5ojw_21_2"/>
      <w:bookmarkStart w:id="121" w:name="Tc_D3MUUuZNKk6fKXxzmm5o5Q_21_0"/>
      <w:bookmarkStart w:id="122" w:name="Tc_DBXJzGmf2kC6XJMZBwEYkw_20_0"/>
      <w:bookmarkStart w:id="123" w:name="Tc_qA2KE6uOmEG11BoqfHAYCQ_19_0"/>
      <w:bookmarkStart w:id="124" w:name="Tc_yDJB9YY5TUSdXH2S-IyXpg_18_0"/>
      <w:bookmarkStart w:id="125" w:name="Tc_e_wz3HeOSEWpGEvr_PY71Q_17_0"/>
      <w:bookmarkStart w:id="126" w:name="Tc_tBmX_x8Rp0yr1HOj0YHOjw_16_0"/>
      <w:bookmarkStart w:id="127" w:name="Tc_OsRV1Qv50EWsKSraekbykQ_15_0"/>
      <w:bookmarkStart w:id="128" w:name="Tc_IeuGUVYu40qUIUV-L0aTtA_13_0"/>
      <w:bookmarkStart w:id="129" w:name="Tc_xyqMVLigM06h0KlOsQYdVw_12_0"/>
      <w:bookmarkStart w:id="130" w:name="Tc_JZfQhszs8kC1sOxyA_KBag_11_0"/>
      <w:bookmarkStart w:id="131" w:name="Tc_S19JaKgEg0m1MEkVe4hQ0g_10_0"/>
      <w:bookmarkStart w:id="132" w:name="Tc_8UqLmx0a3E6wqflHQpWpeg_9_0"/>
      <w:bookmarkStart w:id="133" w:name="Tc_kYamayOM2UK3k6MBh5dYvw_7_0"/>
      <w:bookmarkStart w:id="134" w:name="Tc_77Oe0938T0ipk9RL2HB2_A_6_0"/>
      <w:bookmarkStart w:id="135" w:name="Tc_owLosLlcr0OUn3QmkiSadA_5_11"/>
      <w:bookmarkStart w:id="136" w:name="Tc_NibZ38TB_UyOcltBWMtq5A_5_8"/>
      <w:bookmarkStart w:id="137" w:name="Tc_jWQiDN-eS02FiHvCaD5JhQ_5_5"/>
      <w:bookmarkStart w:id="138" w:name="Tc_mVBxZWx07Ei0qoowI2CfwA_5_2"/>
      <w:bookmarkStart w:id="139" w:name="Tc_OyyoPGD7xkGQ52TrJ4RFzw_5_0"/>
      <w:bookmarkStart w:id="140" w:name="Tc_5z-zeTICnkK9VRpsSEKX4Q_4_0"/>
      <w:bookmarkStart w:id="141" w:name="Tc_uWiP4o3JxEa7ruoIm2UXow_3_11"/>
      <w:bookmarkStart w:id="142" w:name="Tc_L-awh4Z7LUqFIesfvcqWVw_3_8"/>
      <w:bookmarkStart w:id="143" w:name="Tc_C9jjK4qrhUS4wC2RfYhZMQ_3_5"/>
      <w:bookmarkStart w:id="144" w:name="Tc_hJXqbgpfe0S7KZb9yrAVqw_3_2"/>
      <w:bookmarkStart w:id="145" w:name="Tc_fBppDqqs50WRfOKugJaQ9w_3_0"/>
      <w:bookmarkStart w:id="146" w:name="Tc_7NyvQeqQvEaLnFppu_3fSw_2_8"/>
      <w:bookmarkStart w:id="147" w:name="Tc_814-OOiLSUCrtnT1H8r61A_2_2"/>
      <w:bookmarkStart w:id="148" w:name="Tc_a6WDAiWynEO8WbDAuPiNyQ_1_8"/>
      <w:bookmarkStart w:id="149" w:name="Tc_yKCZJ9mOm0alsFEnTY5O2w_1_2"/>
      <w:bookmarkStart w:id="150" w:name="_40632128_9b38_41f2_99c4_634cee63da95"/>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tbl>
      <w:tblPr>
        <w:tblW w:w="10205" w:type="dxa"/>
        <w:jc w:val="left"/>
        <w:tblInd w:w="0" w:type="dxa"/>
        <w:tblLayout w:type="fixed"/>
        <w:tblCellMar>
          <w:top w:w="0" w:type="dxa"/>
          <w:left w:w="0" w:type="dxa"/>
          <w:bottom w:w="0" w:type="dxa"/>
          <w:right w:w="0" w:type="dxa"/>
        </w:tblCellMar>
      </w:tblPr>
      <w:tblGrid>
        <w:gridCol w:w="4795"/>
        <w:gridCol w:w="326"/>
        <w:gridCol w:w="211"/>
        <w:gridCol w:w="683"/>
        <w:gridCol w:w="326"/>
        <w:gridCol w:w="211"/>
        <w:gridCol w:w="721"/>
        <w:gridCol w:w="326"/>
        <w:gridCol w:w="211"/>
        <w:gridCol w:w="833"/>
        <w:gridCol w:w="326"/>
        <w:gridCol w:w="211"/>
        <w:gridCol w:w="833"/>
        <w:gridCol w:w="192"/>
      </w:tblGrid>
      <w:tr>
        <w:trPr/>
        <w:tc>
          <w:tcPr>
            <w:tcW w:w="4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044825" cy="175260"/>
                      <wp:effectExtent l="0" t="0" r="0" b="0"/>
                      <wp:wrapNone/>
                      <wp:docPr id="1" name="Frame1"/>
                      <a:graphic xmlns:a="http://schemas.openxmlformats.org/drawingml/2006/main">
                        <a:graphicData uri="http://schemas.microsoft.com/office/word/2010/wordprocessingShape">
                          <wps:wsp>
                            <wps:cNvSpPr txBox="1"/>
                            <wps:spPr>
                              <a:xfrm>
                                <a:off x="0" y="0"/>
                                <a:ext cx="3044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33705" cy="175260"/>
                      <wp:effectExtent l="0" t="0" r="0" b="0"/>
                      <wp:wrapNone/>
                      <wp:docPr id="4" name="Frame4"/>
                      <a:graphic xmlns:a="http://schemas.openxmlformats.org/drawingml/2006/main">
                        <a:graphicData uri="http://schemas.microsoft.com/office/word/2010/wordprocessingShape">
                          <wps:wsp>
                            <wps:cNvSpPr txBox="1"/>
                            <wps:spPr>
                              <a:xfrm>
                                <a:off x="0" y="0"/>
                                <a:ext cx="433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57835" cy="175260"/>
                      <wp:effectExtent l="0" t="0" r="0" b="0"/>
                      <wp:wrapNone/>
                      <wp:docPr id="7" name="Frame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28955" cy="175260"/>
                      <wp:effectExtent l="0" t="0" r="0" b="0"/>
                      <wp:wrapNone/>
                      <wp:docPr id="10" name="Frame10"/>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11"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3985" cy="175260"/>
                      <wp:effectExtent l="0" t="0" r="0" b="0"/>
                      <wp:wrapNone/>
                      <wp:docPr id="12"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28955" cy="175260"/>
                      <wp:effectExtent l="0" t="0" r="0" b="0"/>
                      <wp:wrapNone/>
                      <wp:docPr id="13" name="Frame13"/>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21920" cy="175260"/>
                      <wp:effectExtent l="0" t="0" r="0" b="0"/>
                      <wp:wrapNone/>
                      <wp:docPr id="14" name="Frame14"/>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5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241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92" w:type="dxa"/>
            <w:tcBorders/>
            <w:vAlign w:val="center"/>
          </w:tcPr>
          <w:p>
            <w:pPr>
              <w:pStyle w:val="TableContents"/>
              <w:bidi w:val="0"/>
              <w:spacing w:before="0" w:after="0"/>
              <w:ind w:left="0" w:right="0" w:hanging="0"/>
              <w:jc w:val="left"/>
              <w:rPr/>
            </w:pPr>
            <w:r>
              <w:rPr/>
              <w:t> </w:t>
            </w:r>
          </w:p>
        </w:tc>
      </w:tr>
      <w:tr>
        <w:trPr/>
        <w:tc>
          <w:tcPr>
            <w:tcW w:w="47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5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24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92" w:type="dxa"/>
            <w:tcBorders/>
            <w:vAlign w:val="center"/>
          </w:tcPr>
          <w:p>
            <w:pPr>
              <w:pStyle w:val="TableContents"/>
              <w:bidi w:val="0"/>
              <w:spacing w:before="0" w:after="0"/>
              <w:ind w:left="0" w:right="0" w:hanging="0"/>
              <w:jc w:val="left"/>
              <w:rPr/>
            </w:pPr>
            <w:r>
              <w:rPr/>
              <w:t>​</w:t>
            </w:r>
          </w:p>
        </w:tc>
      </w:tr>
      <w:tr>
        <w:trPr/>
        <w:tc>
          <w:tcPr>
            <w:tcW w:w="47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 except per share amounts)</w:t>
            </w:r>
          </w:p>
        </w:tc>
        <w:tc>
          <w:tcPr>
            <w:tcW w:w="326" w:type="dxa"/>
            <w:tcBorders/>
            <w:vAlign w:val="center"/>
          </w:tcPr>
          <w:p>
            <w:pPr>
              <w:pStyle w:val="TableContents"/>
              <w:bidi w:val="0"/>
              <w:spacing w:before="0" w:after="0"/>
              <w:ind w:left="0" w:right="0" w:hanging="0"/>
              <w:jc w:val="left"/>
              <w:rPr/>
            </w:pPr>
            <w:r>
              <w:rPr/>
              <w:t>    </w:t>
            </w:r>
          </w:p>
        </w:tc>
        <w:tc>
          <w:tcPr>
            <w:tcW w:w="8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0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2" w:type="dxa"/>
            <w:tcBorders/>
            <w:vAlign w:val="center"/>
          </w:tcPr>
          <w:p>
            <w:pPr>
              <w:pStyle w:val="TableContents"/>
              <w:bidi w:val="0"/>
              <w:spacing w:before="0" w:after="0"/>
              <w:ind w:left="0" w:right="0" w:hanging="0"/>
              <w:jc w:val="left"/>
              <w:rPr/>
            </w:pPr>
            <w:r>
              <w:rPr/>
              <w:t> </w:t>
            </w:r>
          </w:p>
        </w:tc>
      </w:tr>
      <w:tr>
        <w:trPr/>
        <w:tc>
          <w:tcPr>
            <w:tcW w:w="47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7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1,837.3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2,911.6</w:t>
            </w:r>
          </w:p>
        </w:tc>
        <w:tc>
          <w:tcPr>
            <w:tcW w:w="192" w:type="dxa"/>
            <w:tcBorders/>
            <w:vAlign w:val="center"/>
          </w:tcPr>
          <w:p>
            <w:pPr>
              <w:pStyle w:val="TableContents"/>
              <w:bidi w:val="0"/>
              <w:spacing w:before="0" w:after="0"/>
              <w:ind w:left="0" w:right="0" w:hanging="0"/>
              <w:jc w:val="left"/>
              <w:rPr/>
            </w:pPr>
            <w:r>
              <w:rPr/>
              <w:t>​</w:t>
            </w:r>
          </w:p>
        </w:tc>
      </w:tr>
      <w:tr>
        <w:trPr/>
        <w:tc>
          <w:tcPr>
            <w:tcW w:w="47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629.8</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7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2,305.7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3,541.4</w:t>
            </w:r>
          </w:p>
        </w:tc>
        <w:tc>
          <w:tcPr>
            <w:tcW w:w="192" w:type="dxa"/>
            <w:tcBorders/>
            <w:vAlign w:val="center"/>
          </w:tcPr>
          <w:p>
            <w:pPr>
              <w:pStyle w:val="TableContents"/>
              <w:bidi w:val="0"/>
              <w:spacing w:before="0" w:after="0"/>
              <w:ind w:left="0" w:right="0" w:hanging="0"/>
              <w:jc w:val="left"/>
              <w:rPr/>
            </w:pPr>
            <w:r>
              <w:rPr/>
              <w:t>​</w:t>
            </w:r>
          </w:p>
        </w:tc>
      </w:tr>
      <w:tr>
        <w:trPr/>
        <w:tc>
          <w:tcPr>
            <w:tcW w:w="479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7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47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(2,170.5)</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7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SSAT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w:t>
            </w:r>
          </w:p>
        </w:tc>
        <w:tc>
          <w:tcPr>
            <w:tcW w:w="192" w:type="dxa"/>
            <w:tcBorders/>
            <w:vAlign w:val="center"/>
          </w:tcPr>
          <w:p>
            <w:pPr>
              <w:pStyle w:val="TableContents"/>
              <w:bidi w:val="0"/>
              <w:spacing w:before="0" w:after="0"/>
              <w:ind w:left="0" w:right="0" w:hanging="0"/>
              <w:jc w:val="left"/>
              <w:rPr/>
            </w:pPr>
            <w:r>
              <w:rPr/>
              <w:t>​</w:t>
            </w:r>
          </w:p>
        </w:tc>
      </w:tr>
      <w:tr>
        <w:trPr/>
        <w:tc>
          <w:tcPr>
            <w:tcW w:w="47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(192.0)</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7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(2,038.2)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(2,280.4)</w:t>
            </w:r>
          </w:p>
        </w:tc>
        <w:tc>
          <w:tcPr>
            <w:tcW w:w="192" w:type="dxa"/>
            <w:tcBorders/>
            <w:vAlign w:val="center"/>
          </w:tcPr>
          <w:p>
            <w:pPr>
              <w:pStyle w:val="TableContents"/>
              <w:bidi w:val="0"/>
              <w:spacing w:before="0" w:after="0"/>
              <w:ind w:left="0" w:right="0" w:hanging="0"/>
              <w:jc w:val="left"/>
              <w:rPr/>
            </w:pPr>
            <w:r>
              <w:rPr/>
              <w:t>​</w:t>
            </w:r>
          </w:p>
        </w:tc>
      </w:tr>
      <w:tr>
        <w:trPr/>
        <w:tc>
          <w:tcPr>
            <w:tcW w:w="479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7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1,261.0</w:t>
            </w:r>
          </w:p>
        </w:tc>
        <w:tc>
          <w:tcPr>
            <w:tcW w:w="192" w:type="dxa"/>
            <w:tcBorders/>
            <w:vAlign w:val="center"/>
          </w:tcPr>
          <w:p>
            <w:pPr>
              <w:pStyle w:val="TableContents"/>
              <w:bidi w:val="0"/>
              <w:spacing w:before="0" w:after="0"/>
              <w:ind w:left="0" w:right="0" w:hanging="0"/>
              <w:jc w:val="left"/>
              <w:rPr/>
            </w:pPr>
            <w:r>
              <w:rPr/>
              <w:t>​</w:t>
            </w:r>
          </w:p>
        </w:tc>
      </w:tr>
      <w:tr>
        <w:trPr/>
        <w:tc>
          <w:tcPr>
            <w:tcW w:w="47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7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192" w:type="dxa"/>
            <w:tcBorders/>
            <w:vAlign w:val="center"/>
          </w:tcPr>
          <w:p>
            <w:pPr>
              <w:pStyle w:val="TableContents"/>
              <w:bidi w:val="0"/>
              <w:spacing w:before="0" w:after="0"/>
              <w:ind w:left="0" w:right="0" w:hanging="0"/>
              <w:jc w:val="left"/>
              <w:rPr/>
            </w:pPr>
            <w:r>
              <w:rPr/>
              <w:t>​</w:t>
            </w:r>
          </w:p>
        </w:tc>
      </w:tr>
      <w:tr>
        <w:trPr/>
        <w:tc>
          <w:tcPr>
            <w:tcW w:w="47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7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1,254.3</w:t>
            </w:r>
          </w:p>
        </w:tc>
        <w:tc>
          <w:tcPr>
            <w:tcW w:w="192" w:type="dxa"/>
            <w:tcBorders/>
            <w:vAlign w:val="center"/>
          </w:tcPr>
          <w:p>
            <w:pPr>
              <w:pStyle w:val="TableContents"/>
              <w:bidi w:val="0"/>
              <w:spacing w:before="0" w:after="0"/>
              <w:ind w:left="0" w:right="0" w:hanging="0"/>
              <w:jc w:val="left"/>
              <w:rPr/>
            </w:pPr>
            <w:r>
              <w:rPr/>
              <w:t>​</w:t>
            </w:r>
          </w:p>
        </w:tc>
      </w:tr>
      <w:tr>
        <w:trPr/>
        <w:tc>
          <w:tcPr>
            <w:tcW w:w="47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(268.4)</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7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985.9</w:t>
            </w:r>
          </w:p>
        </w:tc>
        <w:tc>
          <w:tcPr>
            <w:tcW w:w="192" w:type="dxa"/>
            <w:tcBorders/>
            <w:vAlign w:val="center"/>
          </w:tcPr>
          <w:p>
            <w:pPr>
              <w:pStyle w:val="TableContents"/>
              <w:bidi w:val="0"/>
              <w:spacing w:before="0" w:after="0"/>
              <w:ind w:left="0" w:right="0" w:hanging="0"/>
              <w:jc w:val="left"/>
              <w:rPr/>
            </w:pPr>
            <w:r>
              <w:rPr/>
              <w:t>​</w:t>
            </w:r>
          </w:p>
        </w:tc>
      </w:tr>
      <w:tr>
        <w:trPr/>
        <w:tc>
          <w:tcPr>
            <w:tcW w:w="479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7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Net of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47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985.9</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7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47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pension and post-retirement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7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192" w:type="dxa"/>
            <w:tcBorders/>
            <w:vAlign w:val="center"/>
          </w:tcPr>
          <w:p>
            <w:pPr>
              <w:pStyle w:val="TableContents"/>
              <w:bidi w:val="0"/>
              <w:spacing w:before="0" w:after="0"/>
              <w:ind w:left="0" w:right="0" w:hanging="0"/>
              <w:jc w:val="left"/>
              <w:rPr/>
            </w:pPr>
            <w:r>
              <w:rPr/>
              <w:t>​</w:t>
            </w:r>
          </w:p>
        </w:tc>
      </w:tr>
      <w:tr>
        <w:trPr/>
        <w:tc>
          <w:tcPr>
            <w:tcW w:w="47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 Net of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7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982.7</w:t>
            </w:r>
          </w:p>
        </w:tc>
        <w:tc>
          <w:tcPr>
            <w:tcW w:w="192" w:type="dxa"/>
            <w:tcBorders/>
            <w:vAlign w:val="center"/>
          </w:tcPr>
          <w:p>
            <w:pPr>
              <w:pStyle w:val="TableContents"/>
              <w:bidi w:val="0"/>
              <w:spacing w:before="0" w:after="0"/>
              <w:ind w:left="0" w:right="0" w:hanging="0"/>
              <w:jc w:val="left"/>
              <w:rPr/>
            </w:pPr>
            <w:r>
              <w:rPr/>
              <w:t>​</w:t>
            </w:r>
          </w:p>
        </w:tc>
      </w:tr>
      <w:tr>
        <w:trPr/>
        <w:tc>
          <w:tcPr>
            <w:tcW w:w="479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7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24.83</w:t>
            </w:r>
          </w:p>
        </w:tc>
        <w:tc>
          <w:tcPr>
            <w:tcW w:w="192" w:type="dxa"/>
            <w:tcBorders/>
            <w:vAlign w:val="center"/>
          </w:tcPr>
          <w:p>
            <w:pPr>
              <w:pStyle w:val="TableContents"/>
              <w:bidi w:val="0"/>
              <w:spacing w:before="0" w:after="0"/>
              <w:ind w:left="0" w:right="0" w:hanging="0"/>
              <w:jc w:val="left"/>
              <w:rPr/>
            </w:pPr>
            <w:r>
              <w:rPr/>
              <w:t>​</w:t>
            </w:r>
          </w:p>
        </w:tc>
      </w:tr>
      <w:tr>
        <w:trPr/>
        <w:tc>
          <w:tcPr>
            <w:tcW w:w="47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24.65</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7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47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7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192" w:type="dxa"/>
            <w:tcBorders/>
            <w:vAlign w:val="center"/>
          </w:tcPr>
          <w:p>
            <w:pPr>
              <w:pStyle w:val="TableContents"/>
              <w:bidi w:val="0"/>
              <w:spacing w:before="0" w:after="0"/>
              <w:ind w:left="0" w:right="0" w:hanging="0"/>
              <w:jc w:val="left"/>
              <w:rPr/>
            </w:pPr>
            <w:r>
              <w:rPr/>
              <w:t>​</w:t>
            </w:r>
          </w:p>
        </w:tc>
      </w:tr>
      <w:tr>
        <w:trPr/>
        <w:tc>
          <w:tcPr>
            <w:tcW w:w="47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192"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1" w:name="_8e2dc7f0_a6c1_4a5e_846f_fe071c714429"/>
      <w:bookmarkEnd w:id="151"/>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152" w:name="ConsolidatedBalanceSheets_846706"/>
      <w:bookmarkEnd w:id="152"/>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53" w:name="Tc_Bmt0xButX0erXYqCWYedxg_41_5"/>
      <w:bookmarkStart w:id="154" w:name="Tc_d1mDaMeTN0S0Z6MlsX-R9w_41_2"/>
      <w:bookmarkStart w:id="155" w:name="Tc_GN0oY4pdcE68ZR_TtHZmsA_41_0"/>
      <w:bookmarkStart w:id="156" w:name="Tc_5iEKsnZvXUCbfaTTR4ZwQg_40_0"/>
      <w:bookmarkStart w:id="157" w:name="Tc_T60rcCivEEmVN1N5RiH-Ag_39_0"/>
      <w:bookmarkStart w:id="158" w:name="Tc_vynYHKIcMk-jjihDLtpBUA_38_0"/>
      <w:bookmarkStart w:id="159" w:name="Tc_aC9iOChHuke4TSSNbHkd0Q_37_0"/>
      <w:bookmarkStart w:id="160" w:name="Tc_qZXzH33WaEC7i8TA2l6CBA_36_0"/>
      <w:bookmarkStart w:id="161" w:name="Tc_HwOIZaLKe0aGQ6xxejnTug_35_0"/>
      <w:bookmarkStart w:id="162" w:name="Tc__97QNVmOiU-MtZtwSx5r_A_34_0"/>
      <w:bookmarkStart w:id="163" w:name="Tc_IP7STW3umES-CORGWKVbOw_33_0"/>
      <w:bookmarkStart w:id="164" w:name="Tc_CvXwArMXAUSmUS-2CPKB4A_32_0"/>
      <w:bookmarkStart w:id="165" w:name="Tc_ZBRUQ5-dc0OlWfwn2Sq0-Q_31_0"/>
      <w:bookmarkStart w:id="166" w:name="Tc_2mY8oTucpketlaZ6YjP_qw_30_0"/>
      <w:bookmarkStart w:id="167" w:name="Tc_RES8HuGuh0yxDxsvoBl_cA_29_0"/>
      <w:bookmarkStart w:id="168" w:name="Tc_qacbl46JG0mJS3nnJdaKJg_28_0"/>
      <w:bookmarkStart w:id="169" w:name="Tc_PNwICowv1EGaLMoYCUvDCg_27_0"/>
      <w:bookmarkStart w:id="170" w:name="Tc_-0oonuYAlEeNNUz6vMphOA_26_0"/>
      <w:bookmarkStart w:id="171" w:name="Tc_HupfP0s95021JWV9tWJ4Sg_25_0"/>
      <w:bookmarkStart w:id="172" w:name="Tc_T7tcCJelHUG-VADAEYXY1Q_24_0"/>
      <w:bookmarkStart w:id="173" w:name="Tc_uMksgdRcL0Kygldhn3UX9Q_23_5"/>
      <w:bookmarkStart w:id="174" w:name="Tc__UrmHHMZYEm4XWyHICnNSw_23_2"/>
      <w:bookmarkStart w:id="175" w:name="Tc_rj8XGKjtT0uJ_F8kojw3fw_23_0"/>
      <w:bookmarkStart w:id="176" w:name="Tc_TKLSo8DSqkeKOoiOtqefsg_22_0"/>
      <w:bookmarkStart w:id="177" w:name="Tc_MjL0l-I6u0GAUnE-TqWSyg_21_0"/>
      <w:bookmarkStart w:id="178" w:name="Tc__q8A3XqtE0-NSUj1bUTNKw_19_5"/>
      <w:bookmarkStart w:id="179" w:name="Tc_WlL8yPP1Kkm1TEGgujEHgw_19_2"/>
      <w:bookmarkStart w:id="180" w:name="Tc_2W5Q7XpibkuBzXToHa9NLA_19_0"/>
      <w:bookmarkStart w:id="181" w:name="Tc_Fwp5u_LCKkWYLnz7hzdDVg_18_0"/>
      <w:bookmarkStart w:id="182" w:name="Tc_RzEsmZ9NMEW5oVxbOwoo1Q_17_0"/>
      <w:bookmarkStart w:id="183" w:name="Tc_VRwgcXmnckODEjvkJGQqbg_16_0"/>
      <w:bookmarkStart w:id="184" w:name="Tc_e1XDtvcvYEmMMTwSVqWENw_15_0"/>
      <w:bookmarkStart w:id="185" w:name="Tc_CLy4RYD8zUOJfl6D1v9B4Q_14_0"/>
      <w:bookmarkStart w:id="186" w:name="Tc_mo8IawdROUaru_KS36GK6w_13_0"/>
      <w:bookmarkStart w:id="187" w:name="Tc_XYBSow-YkkeGr4NRQtUnFQ_12_0"/>
      <w:bookmarkStart w:id="188" w:name="Tc_gt02OKa56U26l7eYDy-IRA_11_0"/>
      <w:bookmarkStart w:id="189" w:name="Tc_9X7jAg1vcUeUlynq6_Iuaw_10_0"/>
      <w:bookmarkStart w:id="190" w:name="Tc_1xP7WAw1sE-sYKpQvgbtUg_9_0"/>
      <w:bookmarkStart w:id="191" w:name="Tc_VQqxJ0feIEGuo0F8_XnXSA_8_0"/>
      <w:bookmarkStart w:id="192" w:name="Tc_Q_igZFeMiUKif8aLzm952g_7_0"/>
      <w:bookmarkStart w:id="193" w:name="Tc_aawDk8stnEyjdZCxQF2Ajg_6_0"/>
      <w:bookmarkStart w:id="194" w:name="Tc_h4lF20MO6kqphJmFbc9EPw_5_5"/>
      <w:bookmarkStart w:id="195" w:name="Tc_6xPiaU0BM0yl10wTgIV86g_5_2"/>
      <w:bookmarkStart w:id="196" w:name="Tc_2MtYKlRz90GOZmI_LbtjaA_5_0"/>
      <w:bookmarkStart w:id="197" w:name="Tc_UXKCCCS7W0ScbcvPe1bnBA_4_0"/>
      <w:bookmarkStart w:id="198" w:name="Tc_-kWWPBNKekmtMFHz3UzIGQ_3_0"/>
      <w:bookmarkStart w:id="199" w:name="Tc_ko--KuCjJUWepGomD_e_dQ_2_5"/>
      <w:bookmarkStart w:id="200" w:name="Tc_obArhxy1Ekyt6LvtEKxHRQ_2_2"/>
      <w:bookmarkStart w:id="201" w:name="Tc_ZGxvD5-C_USFyBjWH8CLcA_2_0"/>
      <w:bookmarkStart w:id="202" w:name="Tc_e82Znj9hnEuOeKZd9qc23g_1_5"/>
      <w:bookmarkStart w:id="203" w:name="Tc_od44L2n7WkqZJY2GYuN3ZA_1_2"/>
      <w:bookmarkStart w:id="204" w:name="_4e639415_3bef_4e1f_89c3_54bf7449adc0"/>
      <w:bookmarkStart w:id="205" w:name="Tc_Bmt0xButX0erXYqCWYedxg_41_5"/>
      <w:bookmarkStart w:id="206" w:name="Tc_d1mDaMeTN0S0Z6MlsX-R9w_41_2"/>
      <w:bookmarkStart w:id="207" w:name="Tc_GN0oY4pdcE68ZR_TtHZmsA_41_0"/>
      <w:bookmarkStart w:id="208" w:name="Tc_5iEKsnZvXUCbfaTTR4ZwQg_40_0"/>
      <w:bookmarkStart w:id="209" w:name="Tc_T60rcCivEEmVN1N5RiH-Ag_39_0"/>
      <w:bookmarkStart w:id="210" w:name="Tc_vynYHKIcMk-jjihDLtpBUA_38_0"/>
      <w:bookmarkStart w:id="211" w:name="Tc_aC9iOChHuke4TSSNbHkd0Q_37_0"/>
      <w:bookmarkStart w:id="212" w:name="Tc_qZXzH33WaEC7i8TA2l6CBA_36_0"/>
      <w:bookmarkStart w:id="213" w:name="Tc_HwOIZaLKe0aGQ6xxejnTug_35_0"/>
      <w:bookmarkStart w:id="214" w:name="Tc__97QNVmOiU-MtZtwSx5r_A_34_0"/>
      <w:bookmarkStart w:id="215" w:name="Tc_IP7STW3umES-CORGWKVbOw_33_0"/>
      <w:bookmarkStart w:id="216" w:name="Tc_CvXwArMXAUSmUS-2CPKB4A_32_0"/>
      <w:bookmarkStart w:id="217" w:name="Tc_ZBRUQ5-dc0OlWfwn2Sq0-Q_31_0"/>
      <w:bookmarkStart w:id="218" w:name="Tc_2mY8oTucpketlaZ6YjP_qw_30_0"/>
      <w:bookmarkStart w:id="219" w:name="Tc_RES8HuGuh0yxDxsvoBl_cA_29_0"/>
      <w:bookmarkStart w:id="220" w:name="Tc_qacbl46JG0mJS3nnJdaKJg_28_0"/>
      <w:bookmarkStart w:id="221" w:name="Tc_PNwICowv1EGaLMoYCUvDCg_27_0"/>
      <w:bookmarkStart w:id="222" w:name="Tc_-0oonuYAlEeNNUz6vMphOA_26_0"/>
      <w:bookmarkStart w:id="223" w:name="Tc_HupfP0s95021JWV9tWJ4Sg_25_0"/>
      <w:bookmarkStart w:id="224" w:name="Tc_T7tcCJelHUG-VADAEYXY1Q_24_0"/>
      <w:bookmarkStart w:id="225" w:name="Tc_uMksgdRcL0Kygldhn3UX9Q_23_5"/>
      <w:bookmarkStart w:id="226" w:name="Tc__UrmHHMZYEm4XWyHICnNSw_23_2"/>
      <w:bookmarkStart w:id="227" w:name="Tc_rj8XGKjtT0uJ_F8kojw3fw_23_0"/>
      <w:bookmarkStart w:id="228" w:name="Tc_TKLSo8DSqkeKOoiOtqefsg_22_0"/>
      <w:bookmarkStart w:id="229" w:name="Tc_MjL0l-I6u0GAUnE-TqWSyg_21_0"/>
      <w:bookmarkStart w:id="230" w:name="Tc__q8A3XqtE0-NSUj1bUTNKw_19_5"/>
      <w:bookmarkStart w:id="231" w:name="Tc_WlL8yPP1Kkm1TEGgujEHgw_19_2"/>
      <w:bookmarkStart w:id="232" w:name="Tc_2W5Q7XpibkuBzXToHa9NLA_19_0"/>
      <w:bookmarkStart w:id="233" w:name="Tc_Fwp5u_LCKkWYLnz7hzdDVg_18_0"/>
      <w:bookmarkStart w:id="234" w:name="Tc_RzEsmZ9NMEW5oVxbOwoo1Q_17_0"/>
      <w:bookmarkStart w:id="235" w:name="Tc_VRwgcXmnckODEjvkJGQqbg_16_0"/>
      <w:bookmarkStart w:id="236" w:name="Tc_e1XDtvcvYEmMMTwSVqWENw_15_0"/>
      <w:bookmarkStart w:id="237" w:name="Tc_CLy4RYD8zUOJfl6D1v9B4Q_14_0"/>
      <w:bookmarkStart w:id="238" w:name="Tc_mo8IawdROUaru_KS36GK6w_13_0"/>
      <w:bookmarkStart w:id="239" w:name="Tc_XYBSow-YkkeGr4NRQtUnFQ_12_0"/>
      <w:bookmarkStart w:id="240" w:name="Tc_gt02OKa56U26l7eYDy-IRA_11_0"/>
      <w:bookmarkStart w:id="241" w:name="Tc_9X7jAg1vcUeUlynq6_Iuaw_10_0"/>
      <w:bookmarkStart w:id="242" w:name="Tc_1xP7WAw1sE-sYKpQvgbtUg_9_0"/>
      <w:bookmarkStart w:id="243" w:name="Tc_VQqxJ0feIEGuo0F8_XnXSA_8_0"/>
      <w:bookmarkStart w:id="244" w:name="Tc_Q_igZFeMiUKif8aLzm952g_7_0"/>
      <w:bookmarkStart w:id="245" w:name="Tc_aawDk8stnEyjdZCxQF2Ajg_6_0"/>
      <w:bookmarkStart w:id="246" w:name="Tc_h4lF20MO6kqphJmFbc9EPw_5_5"/>
      <w:bookmarkStart w:id="247" w:name="Tc_6xPiaU0BM0yl10wTgIV86g_5_2"/>
      <w:bookmarkStart w:id="248" w:name="Tc_2MtYKlRz90GOZmI_LbtjaA_5_0"/>
      <w:bookmarkStart w:id="249" w:name="Tc_UXKCCCS7W0ScbcvPe1bnBA_4_0"/>
      <w:bookmarkStart w:id="250" w:name="Tc_-kWWPBNKekmtMFHz3UzIGQ_3_0"/>
      <w:bookmarkStart w:id="251" w:name="Tc_ko--KuCjJUWepGomD_e_dQ_2_5"/>
      <w:bookmarkStart w:id="252" w:name="Tc_obArhxy1Ekyt6LvtEKxHRQ_2_2"/>
      <w:bookmarkStart w:id="253" w:name="Tc_ZGxvD5-C_USFyBjWH8CLcA_2_0"/>
      <w:bookmarkStart w:id="254" w:name="Tc_e82Znj9hnEuOeKZd9qc23g_1_5"/>
      <w:bookmarkStart w:id="255" w:name="Tc_od44L2n7WkqZJY2GYuN3ZA_1_2"/>
      <w:bookmarkStart w:id="256" w:name="_4e639415_3bef_4e1f_89c3_54bf7449adc0"/>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tbl>
      <w:tblPr>
        <w:tblW w:w="10205" w:type="dxa"/>
        <w:jc w:val="left"/>
        <w:tblInd w:w="0" w:type="dxa"/>
        <w:tblLayout w:type="fixed"/>
        <w:tblCellMar>
          <w:top w:w="0" w:type="dxa"/>
          <w:left w:w="0" w:type="dxa"/>
          <w:bottom w:w="0" w:type="dxa"/>
          <w:right w:w="0" w:type="dxa"/>
        </w:tblCellMar>
      </w:tblPr>
      <w:tblGrid>
        <w:gridCol w:w="6897"/>
        <w:gridCol w:w="326"/>
        <w:gridCol w:w="263"/>
        <w:gridCol w:w="901"/>
        <w:gridCol w:w="326"/>
        <w:gridCol w:w="252"/>
        <w:gridCol w:w="867"/>
        <w:gridCol w:w="373"/>
      </w:tblGrid>
      <w:tr>
        <w:trPr/>
        <w:tc>
          <w:tcPr>
            <w:tcW w:w="6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379595" cy="175260"/>
                      <wp:effectExtent l="0" t="0" r="0" b="0"/>
                      <wp:wrapNone/>
                      <wp:docPr id="15" name="Frame15"/>
                      <a:graphic xmlns:a="http://schemas.openxmlformats.org/drawingml/2006/main">
                        <a:graphicData uri="http://schemas.microsoft.com/office/word/2010/wordprocessingShape">
                          <wps:wsp>
                            <wps:cNvSpPr txBox="1"/>
                            <wps:spPr>
                              <a:xfrm>
                                <a:off x="0" y="0"/>
                                <a:ext cx="4379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67005" cy="175260"/>
                      <wp:effectExtent l="0" t="0" r="0" b="0"/>
                      <wp:wrapNone/>
                      <wp:docPr id="17" name="Frame17"/>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72135" cy="175260"/>
                      <wp:effectExtent l="0" t="0" r="0" b="0"/>
                      <wp:wrapNone/>
                      <wp:docPr id="18" name="Frame1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60020" cy="175260"/>
                      <wp:effectExtent l="0" t="0" r="0" b="0"/>
                      <wp:wrapNone/>
                      <wp:docPr id="20" name="Frame20"/>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50545" cy="175260"/>
                      <wp:effectExtent l="0" t="0" r="0" b="0"/>
                      <wp:wrapNone/>
                      <wp:docPr id="21" name="Frame21"/>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36855" cy="175260"/>
                      <wp:effectExtent l="0" t="0" r="0" b="0"/>
                      <wp:wrapNone/>
                      <wp:docPr id="22" name="Frame22"/>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6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111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73" w:type="dxa"/>
            <w:tcBorders/>
            <w:vAlign w:val="center"/>
          </w:tcPr>
          <w:p>
            <w:pPr>
              <w:pStyle w:val="TableContents"/>
              <w:bidi w:val="0"/>
              <w:spacing w:before="0" w:after="0"/>
              <w:ind w:left="0" w:right="0" w:hanging="0"/>
              <w:jc w:val="center"/>
              <w:rPr/>
            </w:pPr>
            <w:r>
              <w:rPr/>
              <w:t>​</w:t>
            </w:r>
          </w:p>
        </w:tc>
      </w:tr>
      <w:tr>
        <w:trPr/>
        <w:tc>
          <w:tcPr>
            <w:tcW w:w="689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11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3" w:type="dxa"/>
            <w:tcBorders/>
            <w:vAlign w:val="center"/>
          </w:tcPr>
          <w:p>
            <w:pPr>
              <w:pStyle w:val="TableContents"/>
              <w:bidi w:val="0"/>
              <w:spacing w:before="0" w:after="0"/>
              <w:ind w:left="0" w:right="0" w:hanging="0"/>
              <w:jc w:val="left"/>
              <w:rPr/>
            </w:pPr>
            <w:r>
              <w:rPr/>
              <w:t>    </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pPr>
            <w:r>
              <w:rPr/>
              <w:t>​</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pPr>
            <w:r>
              <w:rPr/>
              <w:t>​</w:t>
            </w:r>
          </w:p>
        </w:tc>
        <w:tc>
          <w:tcPr>
            <w:tcW w:w="373" w:type="dxa"/>
            <w:tcBorders/>
            <w:vAlign w:val="center"/>
          </w:tcPr>
          <w:p>
            <w:pPr>
              <w:pStyle w:val="TableContents"/>
              <w:bidi w:val="0"/>
              <w:spacing w:before="0" w:after="0"/>
              <w:ind w:left="0" w:right="0" w:hanging="0"/>
              <w:jc w:val="left"/>
              <w:rPr/>
            </w:pPr>
            <w:r>
              <w:rPr/>
              <w:t>​</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249.8</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 of allowance for credit losses of $11.4 million and $13.0 million, respectively</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305.2</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268.5</w:t>
            </w:r>
          </w:p>
        </w:tc>
        <w:tc>
          <w:tcPr>
            <w:tcW w:w="373" w:type="dxa"/>
            <w:tcBorders/>
            <w:vAlign w:val="center"/>
          </w:tcPr>
          <w:p>
            <w:pPr>
              <w:pStyle w:val="TableContents"/>
              <w:bidi w:val="0"/>
              <w:spacing w:before="0" w:after="0"/>
              <w:ind w:left="0" w:right="0" w:hanging="0"/>
              <w:jc w:val="left"/>
              <w:rPr/>
            </w:pPr>
            <w:r>
              <w:rPr/>
              <w:t>​</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174.1</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241.3</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635.8</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759.6</w:t>
            </w:r>
          </w:p>
        </w:tc>
        <w:tc>
          <w:tcPr>
            <w:tcW w:w="373" w:type="dxa"/>
            <w:tcBorders/>
            <w:vAlign w:val="center"/>
          </w:tcPr>
          <w:p>
            <w:pPr>
              <w:pStyle w:val="TableContents"/>
              <w:bidi w:val="0"/>
              <w:spacing w:before="0" w:after="0"/>
              <w:ind w:left="0" w:right="0" w:hanging="0"/>
              <w:jc w:val="left"/>
              <w:rPr/>
            </w:pPr>
            <w:r>
              <w:rPr/>
              <w:t>​</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Assets:</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pPr>
            <w:r>
              <w:rPr/>
              <w:t>​</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SSAT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w:t>
            </w:r>
          </w:p>
        </w:tc>
        <w:tc>
          <w:tcPr>
            <w:tcW w:w="373" w:type="dxa"/>
            <w:tcBorders/>
            <w:vAlign w:val="center"/>
          </w:tcPr>
          <w:p>
            <w:pPr>
              <w:pStyle w:val="TableContents"/>
              <w:bidi w:val="0"/>
              <w:spacing w:before="0" w:after="0"/>
              <w:ind w:left="0" w:right="0" w:hanging="0"/>
              <w:jc w:val="left"/>
              <w:rPr/>
            </w:pPr>
            <w:r>
              <w:rPr/>
              <w:t>​</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2,058.5</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1,962.5</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 of use assets</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306.2</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396.9</w:t>
            </w:r>
          </w:p>
        </w:tc>
        <w:tc>
          <w:tcPr>
            <w:tcW w:w="373" w:type="dxa"/>
            <w:tcBorders/>
            <w:vAlign w:val="center"/>
          </w:tcPr>
          <w:p>
            <w:pPr>
              <w:pStyle w:val="TableContents"/>
              <w:bidi w:val="0"/>
              <w:spacing w:before="0" w:after="0"/>
              <w:ind w:left="0" w:right="0" w:hanging="0"/>
              <w:jc w:val="left"/>
              <w:rPr/>
            </w:pPr>
            <w:r>
              <w:rPr/>
              <w:t>​</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180.8</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174.9</w:t>
            </w:r>
          </w:p>
        </w:tc>
        <w:tc>
          <w:tcPr>
            <w:tcW w:w="373" w:type="dxa"/>
            <w:tcBorders/>
            <w:vAlign w:val="center"/>
          </w:tcPr>
          <w:p>
            <w:pPr>
              <w:pStyle w:val="TableContents"/>
              <w:bidi w:val="0"/>
              <w:spacing w:before="0" w:after="0"/>
              <w:ind w:left="0" w:right="0" w:hanging="0"/>
              <w:jc w:val="left"/>
              <w:rPr/>
            </w:pPr>
            <w:r>
              <w:rPr/>
              <w:t>​</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Construction Fund</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591.6</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518.2</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dry-docking costs, net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w:t>
            </w:r>
          </w:p>
        </w:tc>
        <w:tc>
          <w:tcPr>
            <w:tcW w:w="373" w:type="dxa"/>
            <w:tcBorders/>
            <w:vAlign w:val="center"/>
          </w:tcPr>
          <w:p>
            <w:pPr>
              <w:pStyle w:val="TableContents"/>
              <w:bidi w:val="0"/>
              <w:spacing w:before="0" w:after="0"/>
              <w:ind w:left="0" w:right="0" w:hanging="0"/>
              <w:jc w:val="left"/>
              <w:rPr/>
            </w:pPr>
            <w:r>
              <w:rPr/>
              <w:t>​</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assets</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assets</w:t>
            </w:r>
          </w:p>
        </w:tc>
        <w:tc>
          <w:tcPr>
            <w:tcW w:w="32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3,657.0</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3,570.4</w:t>
            </w:r>
          </w:p>
        </w:tc>
        <w:tc>
          <w:tcPr>
            <w:tcW w:w="373" w:type="dxa"/>
            <w:tcBorders/>
            <w:vAlign w:val="center"/>
          </w:tcPr>
          <w:p>
            <w:pPr>
              <w:pStyle w:val="TableContents"/>
              <w:bidi w:val="0"/>
              <w:spacing w:before="0" w:after="0"/>
              <w:ind w:left="0" w:right="0" w:hanging="0"/>
              <w:jc w:val="left"/>
              <w:rPr/>
            </w:pPr>
            <w:r>
              <w:rPr/>
              <w:t>​</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4,292.8</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4,330.0</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68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pPr>
            <w:r>
              <w:rPr/>
              <w:t>​</w:t>
            </w:r>
          </w:p>
        </w:tc>
        <w:tc>
          <w:tcPr>
            <w:tcW w:w="373" w:type="dxa"/>
            <w:tcBorders/>
            <w:vAlign w:val="center"/>
          </w:tcPr>
          <w:p>
            <w:pPr>
              <w:pStyle w:val="TableContents"/>
              <w:bidi w:val="0"/>
              <w:spacing w:before="0" w:after="0"/>
              <w:ind w:left="0" w:right="0" w:hanging="0"/>
              <w:jc w:val="left"/>
              <w:rPr/>
            </w:pPr>
            <w:r>
              <w:rPr/>
              <w:t>​</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 AND SHAREHOLDERS’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pPr>
            <w:r>
              <w:rPr/>
              <w:t>​</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pPr>
            <w:r>
              <w:rPr/>
              <w:t>​</w:t>
            </w:r>
          </w:p>
        </w:tc>
        <w:tc>
          <w:tcPr>
            <w:tcW w:w="373" w:type="dxa"/>
            <w:tcBorders/>
            <w:vAlign w:val="center"/>
          </w:tcPr>
          <w:p>
            <w:pPr>
              <w:pStyle w:val="TableContents"/>
              <w:bidi w:val="0"/>
              <w:spacing w:before="0" w:after="0"/>
              <w:ind w:left="0" w:right="0" w:hanging="0"/>
              <w:jc w:val="left"/>
              <w:rPr/>
            </w:pPr>
            <w:r>
              <w:rPr/>
              <w:t>​</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debt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accruals</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293.8</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255.6</w:t>
            </w:r>
          </w:p>
        </w:tc>
        <w:tc>
          <w:tcPr>
            <w:tcW w:w="373" w:type="dxa"/>
            <w:tcBorders/>
            <w:vAlign w:val="center"/>
          </w:tcPr>
          <w:p>
            <w:pPr>
              <w:pStyle w:val="TableContents"/>
              <w:bidi w:val="0"/>
              <w:spacing w:before="0" w:after="0"/>
              <w:ind w:left="0" w:right="0" w:hanging="0"/>
              <w:jc w:val="left"/>
              <w:rPr/>
            </w:pPr>
            <w:r>
              <w:rPr/>
              <w:t>​</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w:t>
            </w:r>
          </w:p>
        </w:tc>
        <w:tc>
          <w:tcPr>
            <w:tcW w:w="373" w:type="dxa"/>
            <w:tcBorders/>
            <w:vAlign w:val="center"/>
          </w:tcPr>
          <w:p>
            <w:pPr>
              <w:pStyle w:val="TableContents"/>
              <w:bidi w:val="0"/>
              <w:spacing w:before="0" w:after="0"/>
              <w:ind w:left="0" w:right="0" w:hanging="0"/>
              <w:jc w:val="left"/>
              <w:rPr/>
            </w:pPr>
            <w:r>
              <w:rPr/>
              <w:t>​</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570.6</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581.6</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Liabilities:</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pPr>
            <w:r>
              <w:rPr/>
              <w:t>​</w:t>
            </w:r>
          </w:p>
        </w:tc>
        <w:tc>
          <w:tcPr>
            <w:tcW w:w="373" w:type="dxa"/>
            <w:tcBorders/>
            <w:vAlign w:val="center"/>
          </w:tcPr>
          <w:p>
            <w:pPr>
              <w:pStyle w:val="TableContents"/>
              <w:bidi w:val="0"/>
              <w:spacing w:before="0" w:after="0"/>
              <w:ind w:left="0" w:right="0" w:hanging="0"/>
              <w:jc w:val="left"/>
              <w:rPr/>
            </w:pPr>
            <w:r>
              <w:rPr/>
              <w:t>​</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net of deferred loan fees</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398.7</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427.7</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operating lease liabilities</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186.1</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262.5</w:t>
            </w:r>
          </w:p>
        </w:tc>
        <w:tc>
          <w:tcPr>
            <w:tcW w:w="373" w:type="dxa"/>
            <w:tcBorders/>
            <w:vAlign w:val="center"/>
          </w:tcPr>
          <w:p>
            <w:pPr>
              <w:pStyle w:val="TableContents"/>
              <w:bidi w:val="0"/>
              <w:spacing w:before="0" w:after="0"/>
              <w:ind w:left="0" w:right="0" w:hanging="0"/>
              <w:jc w:val="left"/>
              <w:rPr/>
            </w:pPr>
            <w:r>
              <w:rPr/>
              <w:t>​</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639.3</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646.5</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2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107.8</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w:t>
            </w:r>
          </w:p>
        </w:tc>
        <w:tc>
          <w:tcPr>
            <w:tcW w:w="373" w:type="dxa"/>
            <w:tcBorders/>
            <w:vAlign w:val="center"/>
          </w:tcPr>
          <w:p>
            <w:pPr>
              <w:pStyle w:val="TableContents"/>
              <w:bidi w:val="0"/>
              <w:spacing w:before="0" w:after="0"/>
              <w:ind w:left="0" w:right="0" w:hanging="0"/>
              <w:jc w:val="left"/>
              <w:rPr/>
            </w:pPr>
            <w:r>
              <w:rPr/>
              <w:t>​</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1,331.9</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1,451.5</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(see Note 13)</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pPr>
            <w:r>
              <w:rPr/>
              <w:t>​</w:t>
            </w:r>
          </w:p>
        </w:tc>
        <w:tc>
          <w:tcPr>
            <w:tcW w:w="373" w:type="dxa"/>
            <w:tcBorders/>
            <w:vAlign w:val="center"/>
          </w:tcPr>
          <w:p>
            <w:pPr>
              <w:pStyle w:val="TableContents"/>
              <w:bidi w:val="0"/>
              <w:spacing w:before="0" w:after="0"/>
              <w:ind w:left="0" w:right="0" w:hanging="0"/>
              <w:jc w:val="left"/>
              <w:rPr/>
            </w:pPr>
            <w:r>
              <w:rPr/>
              <w:t>​</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pPr>
            <w:r>
              <w:rPr/>
              <w:t>​</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373" w:type="dxa"/>
            <w:tcBorders/>
            <w:vAlign w:val="center"/>
          </w:tcPr>
          <w:p>
            <w:pPr>
              <w:pStyle w:val="TableContents"/>
              <w:bidi w:val="0"/>
              <w:spacing w:before="0" w:after="0"/>
              <w:ind w:left="0" w:right="0" w:hanging="0"/>
              <w:jc w:val="left"/>
              <w:rPr/>
            </w:pPr>
            <w:r>
              <w:rPr/>
              <w:t>​</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 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289.1</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290.4</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 net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73" w:type="dxa"/>
            <w:tcBorders/>
            <w:vAlign w:val="center"/>
          </w:tcPr>
          <w:p>
            <w:pPr>
              <w:pStyle w:val="TableContents"/>
              <w:bidi w:val="0"/>
              <w:spacing w:before="0" w:after="0"/>
              <w:ind w:left="0" w:right="0" w:hanging="0"/>
              <w:jc w:val="left"/>
              <w:rPr/>
            </w:pPr>
            <w:r>
              <w:rPr/>
              <w:t>​</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2,084.3</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1,986.2</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6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shareholders’ equity</w:t>
            </w:r>
          </w:p>
        </w:tc>
        <w:tc>
          <w:tcPr>
            <w:tcW w:w="32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2,390.3</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2,296.9</w:t>
            </w:r>
          </w:p>
        </w:tc>
        <w:tc>
          <w:tcPr>
            <w:tcW w:w="373" w:type="dxa"/>
            <w:tcBorders/>
            <w:vAlign w:val="center"/>
          </w:tcPr>
          <w:p>
            <w:pPr>
              <w:pStyle w:val="TableContents"/>
              <w:bidi w:val="0"/>
              <w:spacing w:before="0" w:after="0"/>
              <w:ind w:left="0" w:right="0" w:hanging="0"/>
              <w:jc w:val="left"/>
              <w:rPr/>
            </w:pPr>
            <w:r>
              <w:rPr/>
              <w:t>​</w:t>
            </w:r>
          </w:p>
        </w:tc>
      </w:tr>
      <w:tr>
        <w:trPr/>
        <w:tc>
          <w:tcPr>
            <w:tcW w:w="68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Shareholders’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4,292.8</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4,330.0</w:t>
            </w:r>
          </w:p>
        </w:tc>
        <w:tc>
          <w:tcPr>
            <w:tcW w:w="37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7" w:name="_cc43644b_2ccc_4e04_8aaf_5f69fd1376ee"/>
      <w:bookmarkEnd w:id="257"/>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258" w:name="StatementsofCashFlows_473640"/>
      <w:bookmarkEnd w:id="258"/>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Normal"/>
        <w:bidi w:val="0"/>
        <w:spacing w:before="0" w:after="0"/>
        <w:jc w:val="left"/>
        <w:rPr>
          <w:sz w:val="4"/>
          <w:szCs w:val="4"/>
        </w:rPr>
      </w:pPr>
      <w:r>
        <w:rPr>
          <w:sz w:val="4"/>
          <w:szCs w:val="4"/>
        </w:rPr>
      </w:r>
      <w:bookmarkStart w:id="259" w:name="Tc_h4gva2gXYEusiDPGFkzyIw_54_5"/>
      <w:bookmarkStart w:id="260" w:name="Tc_6E-nnr-1mUSGPZ5InbzUmQ_54_2"/>
      <w:bookmarkStart w:id="261" w:name="Tc_3E_ihVecPEKKJUTdvRa9jg_54_0"/>
      <w:bookmarkStart w:id="262" w:name="Tc_fnnKj94GhkmFFaXA68i98A_53_5"/>
      <w:bookmarkStart w:id="263" w:name="Tc_6A42XOYKpUyHgAtaSxPNbw_53_2"/>
      <w:bookmarkStart w:id="264" w:name="Tc_X5FvfsA0MUK17XbxeREQJQ_53_0"/>
      <w:bookmarkStart w:id="265" w:name="Tc_hSWq7dAbkUq7sokEVo6_4Q_52_0"/>
      <w:bookmarkStart w:id="266" w:name="Tc_3YkGeQdNGUmF9PE2rWITXg_50_5"/>
      <w:bookmarkStart w:id="267" w:name="Tc_4j8FJJgswEexbkIC8Zb0dQ_50_2"/>
      <w:bookmarkStart w:id="268" w:name="Tc_Uy8bmJoC0USumGuSYox-kA_50_0"/>
      <w:bookmarkStart w:id="269" w:name="Tc_RMcmRvLib02FAT8VUr2loA_49_5"/>
      <w:bookmarkStart w:id="270" w:name="Tc_dg27zoSg-0S8OY7UHPv6tQ_49_2"/>
      <w:bookmarkStart w:id="271" w:name="Tc_phkkx4XNtk-rTXxFO1YXlw_49_0"/>
      <w:bookmarkStart w:id="272" w:name="Tc_650sp5-o_EugCd1wIp50gw_48_0"/>
      <w:bookmarkStart w:id="273" w:name="Tc_o-2CpgzVnUm7ElRhwMgY4Q_46_5"/>
      <w:bookmarkStart w:id="274" w:name="Tc_0hkoMFxFlEWeLJIWkzyaeQ_46_2"/>
      <w:bookmarkStart w:id="275" w:name="Tc_fYeW5VvpCUe6ShdL4zdKLw_46_0"/>
      <w:bookmarkStart w:id="276" w:name="Tc_9Ax-1_CTckq53OZE51SHzw_45_0"/>
      <w:bookmarkStart w:id="277" w:name="Tc_FN-8uOnbrEOnHruntVn6Kg_44_5"/>
      <w:bookmarkStart w:id="278" w:name="Tc_fCEJftS57kSeqdk2HjruQQ_44_2"/>
      <w:bookmarkStart w:id="279" w:name="Tc_EnMm3b4gSku2j9qwEGQn3A_44_0"/>
      <w:bookmarkStart w:id="280" w:name="Tc_kYRl_1HQXkafCafV25A2yg_43_0"/>
      <w:bookmarkStart w:id="281" w:name="Tc_0dstxpQFCkuOrw_cyLJk7g_41_5"/>
      <w:bookmarkStart w:id="282" w:name="Tc_-q-ekFl93kagELl5WKR1hA_41_2"/>
      <w:bookmarkStart w:id="283" w:name="Tc_h67cJ8VOnkOnYmumkAmUYQ_41_0"/>
      <w:bookmarkStart w:id="284" w:name="Tc_sGrmC3TR30KiGHLpi3GHyQ_40_0"/>
      <w:bookmarkStart w:id="285" w:name="Tc_WDCKaVP-TEWU7ihwD5-3vw_39_0"/>
      <w:bookmarkStart w:id="286" w:name="Tc_qqhka1e-DEWAOGYSWrl2Jw_37_0"/>
      <w:bookmarkStart w:id="287" w:name="Tc_Ok1WE8zxmEW51IuajfXnzQ_36_0"/>
      <w:bookmarkStart w:id="288" w:name="Tc_bGWoMr7sEEeS5XI53X575g_35_0"/>
      <w:bookmarkStart w:id="289" w:name="Tc_bDPgfNMiuUGDC8j11Gdnsg_34_0"/>
      <w:bookmarkStart w:id="290" w:name="Tc_dgr919PLTki9Cg1I8WeUDw_33_0"/>
      <w:bookmarkStart w:id="291" w:name="Tc_vHbtcbE3EEuUqWWmq-pqCQ_32_0"/>
      <w:bookmarkStart w:id="292" w:name="Tc_okoY_pz9-02AJnIsr_qv0g_30_0"/>
      <w:bookmarkStart w:id="293" w:name="Tc_4BOR9R5vnEqxol1ZbcSjPA_29_0"/>
      <w:bookmarkStart w:id="294" w:name="Tc_Snb6io1KJEWH9Fcv4VapcQ_28_0"/>
      <w:bookmarkStart w:id="295" w:name="Tc_rQYHRJW70EuhE8LR5tmtFg_27_0"/>
      <w:bookmarkStart w:id="296" w:name="Tc_lgxa5RH430G7_9sU723QXw_26_0"/>
      <w:bookmarkStart w:id="297" w:name="Tc_izIipbkji0S0FzkktPYTjg_25_0"/>
      <w:bookmarkStart w:id="298" w:name="Tc_r80ZWlqxV0ugQlBb69h0cQ_24_0"/>
      <w:bookmarkStart w:id="299" w:name="Tc__r5LrXkX-0GQBTujaahI9A_23_0"/>
      <w:bookmarkStart w:id="300" w:name="Tc_THA9bNgxjEa1Vje77YJlVQ_21_0"/>
      <w:bookmarkStart w:id="301" w:name="Tc_BiIJIeA83Uu4xrAfJxDv3w_20_0"/>
      <w:bookmarkStart w:id="302" w:name="Tc_74OQgk3c7kaFTZ3yKf-ijA_19_0"/>
      <w:bookmarkStart w:id="303" w:name="Tc_h51jsh7LL0ug33nM28HWbQ_18_0"/>
      <w:bookmarkStart w:id="304" w:name="Tc_y2r57v-ARUumYqDCGBmGzw_17_0"/>
      <w:bookmarkStart w:id="305" w:name="Tc_HFbPs2aGn0yVhKqeKTlITw_16_0"/>
      <w:bookmarkStart w:id="306" w:name="Tc_bZBVA1lr1keBNMzQe811kw_15_0"/>
      <w:bookmarkStart w:id="307" w:name="Tc_xeDzdwLQSEWVjAtgoqVgHQ_14_0"/>
      <w:bookmarkStart w:id="308" w:name="Tc__2bOVKGjeE-fnejOkJ5htQ_13_0"/>
      <w:bookmarkStart w:id="309" w:name="Tc_ro7ld435m0SbGRQJ8Y3yjA_12_0"/>
      <w:bookmarkStart w:id="310" w:name="Tc_XxorZ0k31kqaG3-lI53asQ_11_3"/>
      <w:bookmarkStart w:id="311" w:name="Tc_BE62Dl4U1EODKB6Q57ci7A_11_0"/>
      <w:bookmarkStart w:id="312" w:name="Tc_E65KcXsIAUCLqkN7bE8kSw_10_0"/>
      <w:bookmarkStart w:id="313" w:name="Tc_C1B_GeVQ8E6FVZxBAoBCKA_9_0"/>
      <w:bookmarkStart w:id="314" w:name="Tc_Kfj96H70Vkm6BmjnCZT5Iw_8_0"/>
      <w:bookmarkStart w:id="315" w:name="Tc_LAyIvwNKEUSrkWbK0rcNag_7_0"/>
      <w:bookmarkStart w:id="316" w:name="Tc_PqRQ2k8A60y6-kagYc4OVQ_6_0"/>
      <w:bookmarkStart w:id="317" w:name="Tc_aZBZMZVk-keeafnam5sucQ_5_0"/>
      <w:bookmarkStart w:id="318" w:name="Tc_Td-VKLfC1k21zPKLZ-NaCA_4_5"/>
      <w:bookmarkStart w:id="319" w:name="Tc_gmdWPALBI0KUQ54pVmXJvA_4_2"/>
      <w:bookmarkStart w:id="320" w:name="Tc_3MYQeD9fzk2Aj8KLyuKR-A_4_0"/>
      <w:bookmarkStart w:id="321" w:name="Tc_zcUjK80-4ka2iboMkGwDkg_3_0"/>
      <w:bookmarkStart w:id="322" w:name="Tc_QHaCV2EEKEGPRBdCCm4IFQ_2_5"/>
      <w:bookmarkStart w:id="323" w:name="Tc_CeYJc_-GIkWFw5jzlxSY9g_2_2"/>
      <w:bookmarkStart w:id="324" w:name="Tc_B-fdi0VaPECY-5FQFY2E4w_2_0"/>
      <w:bookmarkStart w:id="325" w:name="Tc_yV0VOvya1kuqYltPQB6DKg_1_2"/>
      <w:bookmarkStart w:id="326" w:name="_dcb652cd_b01d_4c77_8295_5774b4278ea0"/>
      <w:bookmarkStart w:id="327" w:name="Tc_h4gva2gXYEusiDPGFkzyIw_54_5"/>
      <w:bookmarkStart w:id="328" w:name="Tc_6E-nnr-1mUSGPZ5InbzUmQ_54_2"/>
      <w:bookmarkStart w:id="329" w:name="Tc_3E_ihVecPEKKJUTdvRa9jg_54_0"/>
      <w:bookmarkStart w:id="330" w:name="Tc_fnnKj94GhkmFFaXA68i98A_53_5"/>
      <w:bookmarkStart w:id="331" w:name="Tc_6A42XOYKpUyHgAtaSxPNbw_53_2"/>
      <w:bookmarkStart w:id="332" w:name="Tc_X5FvfsA0MUK17XbxeREQJQ_53_0"/>
      <w:bookmarkStart w:id="333" w:name="Tc_hSWq7dAbkUq7sokEVo6_4Q_52_0"/>
      <w:bookmarkStart w:id="334" w:name="Tc_3YkGeQdNGUmF9PE2rWITXg_50_5"/>
      <w:bookmarkStart w:id="335" w:name="Tc_4j8FJJgswEexbkIC8Zb0dQ_50_2"/>
      <w:bookmarkStart w:id="336" w:name="Tc_Uy8bmJoC0USumGuSYox-kA_50_0"/>
      <w:bookmarkStart w:id="337" w:name="Tc_RMcmRvLib02FAT8VUr2loA_49_5"/>
      <w:bookmarkStart w:id="338" w:name="Tc_dg27zoSg-0S8OY7UHPv6tQ_49_2"/>
      <w:bookmarkStart w:id="339" w:name="Tc_phkkx4XNtk-rTXxFO1YXlw_49_0"/>
      <w:bookmarkStart w:id="340" w:name="Tc_650sp5-o_EugCd1wIp50gw_48_0"/>
      <w:bookmarkStart w:id="341" w:name="Tc_o-2CpgzVnUm7ElRhwMgY4Q_46_5"/>
      <w:bookmarkStart w:id="342" w:name="Tc_0hkoMFxFlEWeLJIWkzyaeQ_46_2"/>
      <w:bookmarkStart w:id="343" w:name="Tc_fYeW5VvpCUe6ShdL4zdKLw_46_0"/>
      <w:bookmarkStart w:id="344" w:name="Tc_9Ax-1_CTckq53OZE51SHzw_45_0"/>
      <w:bookmarkStart w:id="345" w:name="Tc_FN-8uOnbrEOnHruntVn6Kg_44_5"/>
      <w:bookmarkStart w:id="346" w:name="Tc_fCEJftS57kSeqdk2HjruQQ_44_2"/>
      <w:bookmarkStart w:id="347" w:name="Tc_EnMm3b4gSku2j9qwEGQn3A_44_0"/>
      <w:bookmarkStart w:id="348" w:name="Tc_kYRl_1HQXkafCafV25A2yg_43_0"/>
      <w:bookmarkStart w:id="349" w:name="Tc_0dstxpQFCkuOrw_cyLJk7g_41_5"/>
      <w:bookmarkStart w:id="350" w:name="Tc_-q-ekFl93kagELl5WKR1hA_41_2"/>
      <w:bookmarkStart w:id="351" w:name="Tc_h67cJ8VOnkOnYmumkAmUYQ_41_0"/>
      <w:bookmarkStart w:id="352" w:name="Tc_sGrmC3TR30KiGHLpi3GHyQ_40_0"/>
      <w:bookmarkStart w:id="353" w:name="Tc_WDCKaVP-TEWU7ihwD5-3vw_39_0"/>
      <w:bookmarkStart w:id="354" w:name="Tc_qqhka1e-DEWAOGYSWrl2Jw_37_0"/>
      <w:bookmarkStart w:id="355" w:name="Tc_Ok1WE8zxmEW51IuajfXnzQ_36_0"/>
      <w:bookmarkStart w:id="356" w:name="Tc_bGWoMr7sEEeS5XI53X575g_35_0"/>
      <w:bookmarkStart w:id="357" w:name="Tc_bDPgfNMiuUGDC8j11Gdnsg_34_0"/>
      <w:bookmarkStart w:id="358" w:name="Tc_dgr919PLTki9Cg1I8WeUDw_33_0"/>
      <w:bookmarkStart w:id="359" w:name="Tc_vHbtcbE3EEuUqWWmq-pqCQ_32_0"/>
      <w:bookmarkStart w:id="360" w:name="Tc_okoY_pz9-02AJnIsr_qv0g_30_0"/>
      <w:bookmarkStart w:id="361" w:name="Tc_4BOR9R5vnEqxol1ZbcSjPA_29_0"/>
      <w:bookmarkStart w:id="362" w:name="Tc_Snb6io1KJEWH9Fcv4VapcQ_28_0"/>
      <w:bookmarkStart w:id="363" w:name="Tc_rQYHRJW70EuhE8LR5tmtFg_27_0"/>
      <w:bookmarkStart w:id="364" w:name="Tc_lgxa5RH430G7_9sU723QXw_26_0"/>
      <w:bookmarkStart w:id="365" w:name="Tc_izIipbkji0S0FzkktPYTjg_25_0"/>
      <w:bookmarkStart w:id="366" w:name="Tc_r80ZWlqxV0ugQlBb69h0cQ_24_0"/>
      <w:bookmarkStart w:id="367" w:name="Tc__r5LrXkX-0GQBTujaahI9A_23_0"/>
      <w:bookmarkStart w:id="368" w:name="Tc_THA9bNgxjEa1Vje77YJlVQ_21_0"/>
      <w:bookmarkStart w:id="369" w:name="Tc_BiIJIeA83Uu4xrAfJxDv3w_20_0"/>
      <w:bookmarkStart w:id="370" w:name="Tc_74OQgk3c7kaFTZ3yKf-ijA_19_0"/>
      <w:bookmarkStart w:id="371" w:name="Tc_h51jsh7LL0ug33nM28HWbQ_18_0"/>
      <w:bookmarkStart w:id="372" w:name="Tc_y2r57v-ARUumYqDCGBmGzw_17_0"/>
      <w:bookmarkStart w:id="373" w:name="Tc_HFbPs2aGn0yVhKqeKTlITw_16_0"/>
      <w:bookmarkStart w:id="374" w:name="Tc_bZBVA1lr1keBNMzQe811kw_15_0"/>
      <w:bookmarkStart w:id="375" w:name="Tc_xeDzdwLQSEWVjAtgoqVgHQ_14_0"/>
      <w:bookmarkStart w:id="376" w:name="Tc__2bOVKGjeE-fnejOkJ5htQ_13_0"/>
      <w:bookmarkStart w:id="377" w:name="Tc_ro7ld435m0SbGRQJ8Y3yjA_12_0"/>
      <w:bookmarkStart w:id="378" w:name="Tc_XxorZ0k31kqaG3-lI53asQ_11_3"/>
      <w:bookmarkStart w:id="379" w:name="Tc_BE62Dl4U1EODKB6Q57ci7A_11_0"/>
      <w:bookmarkStart w:id="380" w:name="Tc_E65KcXsIAUCLqkN7bE8kSw_10_0"/>
      <w:bookmarkStart w:id="381" w:name="Tc_C1B_GeVQ8E6FVZxBAoBCKA_9_0"/>
      <w:bookmarkStart w:id="382" w:name="Tc_Kfj96H70Vkm6BmjnCZT5Iw_8_0"/>
      <w:bookmarkStart w:id="383" w:name="Tc_LAyIvwNKEUSrkWbK0rcNag_7_0"/>
      <w:bookmarkStart w:id="384" w:name="Tc_PqRQ2k8A60y6-kagYc4OVQ_6_0"/>
      <w:bookmarkStart w:id="385" w:name="Tc_aZBZMZVk-keeafnam5sucQ_5_0"/>
      <w:bookmarkStart w:id="386" w:name="Tc_Td-VKLfC1k21zPKLZ-NaCA_4_5"/>
      <w:bookmarkStart w:id="387" w:name="Tc_gmdWPALBI0KUQ54pVmXJvA_4_2"/>
      <w:bookmarkStart w:id="388" w:name="Tc_3MYQeD9fzk2Aj8KLyuKR-A_4_0"/>
      <w:bookmarkStart w:id="389" w:name="Tc_zcUjK80-4ka2iboMkGwDkg_3_0"/>
      <w:bookmarkStart w:id="390" w:name="Tc_QHaCV2EEKEGPRBdCCm4IFQ_2_5"/>
      <w:bookmarkStart w:id="391" w:name="Tc_CeYJc_-GIkWFw5jzlxSY9g_2_2"/>
      <w:bookmarkStart w:id="392" w:name="Tc_B-fdi0VaPECY-5FQFY2E4w_2_0"/>
      <w:bookmarkStart w:id="393" w:name="Tc_yV0VOvya1kuqYltPQB6DKg_1_2"/>
      <w:bookmarkStart w:id="394" w:name="_dcb652cd_b01d_4c77_8295_5774b4278ea0"/>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tbl>
      <w:tblPr>
        <w:tblW w:w="9217" w:type="dxa"/>
        <w:jc w:val="left"/>
        <w:tblInd w:w="0" w:type="dxa"/>
        <w:tblLayout w:type="fixed"/>
        <w:tblCellMar>
          <w:top w:w="0" w:type="dxa"/>
          <w:left w:w="0" w:type="dxa"/>
          <w:bottom w:w="0" w:type="dxa"/>
          <w:right w:w="0" w:type="dxa"/>
        </w:tblCellMar>
      </w:tblPr>
      <w:tblGrid>
        <w:gridCol w:w="5881"/>
        <w:gridCol w:w="326"/>
        <w:gridCol w:w="259"/>
        <w:gridCol w:w="835"/>
        <w:gridCol w:w="431"/>
        <w:gridCol w:w="259"/>
        <w:gridCol w:w="855"/>
        <w:gridCol w:w="371"/>
      </w:tblGrid>
      <w:tr>
        <w:trPr/>
        <w:tc>
          <w:tcPr>
            <w:tcW w:w="5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3734435" cy="175260"/>
                      <wp:effectExtent l="0" t="0" r="0" b="0"/>
                      <wp:wrapNone/>
                      <wp:docPr id="23" name="Frame23"/>
                      <a:graphic xmlns:a="http://schemas.openxmlformats.org/drawingml/2006/main">
                        <a:graphicData uri="http://schemas.microsoft.com/office/word/2010/wordprocessingShape">
                          <wps:wsp>
                            <wps:cNvSpPr txBox="1"/>
                            <wps:spPr>
                              <a:xfrm>
                                <a:off x="0" y="0"/>
                                <a:ext cx="3734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64465" cy="175260"/>
                      <wp:effectExtent l="0" t="0" r="0" b="0"/>
                      <wp:wrapNone/>
                      <wp:docPr id="25" name="Frame25"/>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30225" cy="175260"/>
                      <wp:effectExtent l="0" t="0" r="0" b="0"/>
                      <wp:wrapNone/>
                      <wp:docPr id="26" name="Frame26"/>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73685" cy="175260"/>
                      <wp:effectExtent l="0" t="0" r="0" b="0"/>
                      <wp:wrapNone/>
                      <wp:docPr id="27" name="Frame27"/>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64465" cy="175260"/>
                      <wp:effectExtent l="0" t="0" r="0" b="0"/>
                      <wp:wrapNone/>
                      <wp:docPr id="28" name="Frame28"/>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42925" cy="175260"/>
                      <wp:effectExtent l="0" t="0" r="0" b="0"/>
                      <wp:wrapNone/>
                      <wp:docPr id="29" name="Frame29"/>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35585" cy="175260"/>
                      <wp:effectExtent l="0" t="0" r="0" b="0"/>
                      <wp:wrapNone/>
                      <wp:docPr id="30" name="Frame30"/>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10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31" w:type="dxa"/>
            <w:tcBorders/>
            <w:vAlign w:val="center"/>
          </w:tcPr>
          <w:p>
            <w:pPr>
              <w:pStyle w:val="TableContents"/>
              <w:bidi w:val="0"/>
              <w:spacing w:before="0" w:after="0"/>
              <w:ind w:left="0" w:right="0" w:hanging="0"/>
              <w:jc w:val="left"/>
              <w:rPr/>
            </w:pPr>
            <w:r>
              <w:rPr/>
              <w:t>    </w:t>
            </w:r>
          </w:p>
        </w:tc>
        <w:tc>
          <w:tcPr>
            <w:tcW w:w="11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vAlign w:val="center"/>
          </w:tcPr>
          <w:p>
            <w:pPr>
              <w:pStyle w:val="TableContents"/>
              <w:bidi w:val="0"/>
              <w:spacing w:before="0" w:after="0"/>
              <w:ind w:left="0" w:right="0" w:hanging="0"/>
              <w:jc w:val="left"/>
              <w:rPr/>
            </w:pPr>
            <w:r>
              <w:rPr/>
              <w:t>    </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835" w:type="dxa"/>
            <w:tcBorders/>
            <w:shd w:fill="CCEEFF" w:val="clear"/>
            <w:vAlign w:val="center"/>
          </w:tcPr>
          <w:p>
            <w:pPr>
              <w:pStyle w:val="TableContents"/>
              <w:bidi w:val="0"/>
              <w:spacing w:before="0" w:after="0"/>
              <w:ind w:left="0" w:right="0" w:hanging="0"/>
              <w:jc w:val="righ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855"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234.7</w:t>
            </w:r>
          </w:p>
        </w:tc>
        <w:tc>
          <w:tcPr>
            <w:tcW w:w="43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985.9</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Reconciling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835" w:type="dxa"/>
            <w:tcBorders/>
            <w:shd w:fill="CCEEFF" w:val="clear"/>
            <w:vAlign w:val="center"/>
          </w:tcPr>
          <w:p>
            <w:pPr>
              <w:pStyle w:val="TableContents"/>
              <w:bidi w:val="0"/>
              <w:spacing w:before="0" w:after="0"/>
              <w:ind w:left="0" w:right="0" w:hanging="0"/>
              <w:jc w:val="righ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855"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 </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108.1</w:t>
            </w:r>
          </w:p>
        </w:tc>
        <w:tc>
          <w:tcPr>
            <w:tcW w:w="43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 </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105.6</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operating lease right of 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108.2</w:t>
            </w:r>
          </w:p>
        </w:tc>
        <w:tc>
          <w:tcPr>
            <w:tcW w:w="43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 </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w:t>
            </w:r>
          </w:p>
        </w:tc>
        <w:tc>
          <w:tcPr>
            <w:tcW w:w="43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 </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146.3</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 </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w:t>
            </w:r>
          </w:p>
        </w:tc>
        <w:tc>
          <w:tcPr>
            <w:tcW w:w="43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 </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(income) from SSAT</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 </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c>
          <w:tcPr>
            <w:tcW w:w="43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 </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(82.1)</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Distributions from SSAT</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835" w:type="dxa"/>
            <w:tcBorders/>
            <w:shd w:fill="CCEEFF" w:val="clear"/>
            <w:vAlign w:val="center"/>
          </w:tcPr>
          <w:p>
            <w:pPr>
              <w:pStyle w:val="TableContents"/>
              <w:bidi w:val="0"/>
              <w:spacing w:before="0" w:after="0"/>
              <w:ind w:left="0" w:right="0" w:hanging="0"/>
              <w:jc w:val="righ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43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835" w:type="dxa"/>
            <w:tcBorders/>
            <w:shd w:fill="CCEEFF" w:val="clear"/>
            <w:vAlign w:val="center"/>
          </w:tcPr>
          <w:p>
            <w:pPr>
              <w:pStyle w:val="TableContents"/>
              <w:bidi w:val="0"/>
              <w:spacing w:before="0" w:after="0"/>
              <w:ind w:left="0" w:right="0" w:hanging="0"/>
              <w:jc w:val="righ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855"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 </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(37.1)</w:t>
            </w:r>
          </w:p>
        </w:tc>
        <w:tc>
          <w:tcPr>
            <w:tcW w:w="43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 </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dry-docking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 </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w:t>
            </w:r>
          </w:p>
        </w:tc>
        <w:tc>
          <w:tcPr>
            <w:tcW w:w="43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 </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dry-docking amortization</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 </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w:t>
            </w:r>
          </w:p>
        </w:tc>
        <w:tc>
          <w:tcPr>
            <w:tcW w:w="43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 </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 </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65.8</w:t>
            </w:r>
          </w:p>
        </w:tc>
        <w:tc>
          <w:tcPr>
            <w:tcW w:w="43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 </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 accruals and other liabilities</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 </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34.4</w:t>
            </w:r>
          </w:p>
        </w:tc>
        <w:tc>
          <w:tcPr>
            <w:tcW w:w="43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 </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(109.9)</w:t>
            </w:r>
          </w:p>
        </w:tc>
        <w:tc>
          <w:tcPr>
            <w:tcW w:w="43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long-term liabilities</w:t>
            </w:r>
          </w:p>
        </w:tc>
        <w:tc>
          <w:tcPr>
            <w:tcW w:w="326"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w:t>
            </w:r>
          </w:p>
        </w:tc>
        <w:tc>
          <w:tcPr>
            <w:tcW w:w="431"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399.1</w:t>
            </w:r>
          </w:p>
        </w:tc>
        <w:tc>
          <w:tcPr>
            <w:tcW w:w="431"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1,102.5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w:t>
            </w:r>
          </w:p>
        </w:tc>
        <w:tc>
          <w:tcPr>
            <w:tcW w:w="835" w:type="dxa"/>
            <w:tcBorders/>
            <w:vAlign w:val="center"/>
          </w:tcPr>
          <w:p>
            <w:pPr>
              <w:pStyle w:val="TableContents"/>
              <w:bidi w:val="0"/>
              <w:spacing w:before="0" w:after="0"/>
              <w:ind w:left="0" w:right="0" w:hanging="0"/>
              <w:jc w:val="right"/>
              <w:rPr/>
            </w:pPr>
            <w:r>
              <w:rPr/>
              <w:t>​</w:t>
            </w:r>
          </w:p>
        </w:tc>
        <w:tc>
          <w:tcPr>
            <w:tcW w:w="43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w:t>
            </w:r>
          </w:p>
        </w:tc>
        <w:tc>
          <w:tcPr>
            <w:tcW w:w="855"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835" w:type="dxa"/>
            <w:tcBorders/>
            <w:shd w:fill="CCEEFF" w:val="clear"/>
            <w:vAlign w:val="center"/>
          </w:tcPr>
          <w:p>
            <w:pPr>
              <w:pStyle w:val="TableContents"/>
              <w:bidi w:val="0"/>
              <w:spacing w:before="0" w:after="0"/>
              <w:ind w:left="0" w:right="0" w:hanging="0"/>
              <w:jc w:val="righ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855"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Capitalized vessel construction expenditures</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(52.1)</w:t>
            </w:r>
          </w:p>
        </w:tc>
        <w:tc>
          <w:tcPr>
            <w:tcW w:w="43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capital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 </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(135.4)</w:t>
            </w:r>
          </w:p>
        </w:tc>
        <w:tc>
          <w:tcPr>
            <w:tcW w:w="43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 </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disposal of property and equipment, net</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 </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w:t>
            </w:r>
          </w:p>
        </w:tc>
        <w:tc>
          <w:tcPr>
            <w:tcW w:w="43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 for intangible asset acquisition</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c>
          <w:tcPr>
            <w:tcW w:w="43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deposits and interest into the Capital Construction Fund</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 </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(120.8)</w:t>
            </w:r>
          </w:p>
        </w:tc>
        <w:tc>
          <w:tcPr>
            <w:tcW w:w="43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 </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(579.7)</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Withdrawals from Capital Construction Fund</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49.9</w:t>
            </w:r>
          </w:p>
        </w:tc>
        <w:tc>
          <w:tcPr>
            <w:tcW w:w="431"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(270.7)</w:t>
            </w:r>
          </w:p>
        </w:tc>
        <w:tc>
          <w:tcPr>
            <w:tcW w:w="431"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(692.9)</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835" w:type="dxa"/>
            <w:tcBorders/>
            <w:shd w:fill="CCEEFF" w:val="clear"/>
            <w:vAlign w:val="center"/>
          </w:tcPr>
          <w:p>
            <w:pPr>
              <w:pStyle w:val="TableContents"/>
              <w:bidi w:val="0"/>
              <w:spacing w:before="0" w:after="0"/>
              <w:ind w:left="0" w:right="0" w:hanging="0"/>
              <w:jc w:val="righ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855"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w:t>
            </w:r>
          </w:p>
        </w:tc>
        <w:tc>
          <w:tcPr>
            <w:tcW w:w="835" w:type="dxa"/>
            <w:tcBorders/>
            <w:vAlign w:val="center"/>
          </w:tcPr>
          <w:p>
            <w:pPr>
              <w:pStyle w:val="TableContents"/>
              <w:bidi w:val="0"/>
              <w:spacing w:before="0" w:after="0"/>
              <w:ind w:left="0" w:right="0" w:hanging="0"/>
              <w:jc w:val="right"/>
              <w:rPr/>
            </w:pPr>
            <w:r>
              <w:rPr/>
              <w:t>​</w:t>
            </w:r>
          </w:p>
        </w:tc>
        <w:tc>
          <w:tcPr>
            <w:tcW w:w="43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w:t>
            </w:r>
          </w:p>
        </w:tc>
        <w:tc>
          <w:tcPr>
            <w:tcW w:w="855"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Repayments of debt</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 </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(67.2)</w:t>
            </w:r>
          </w:p>
        </w:tc>
        <w:tc>
          <w:tcPr>
            <w:tcW w:w="43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 </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Dividends paid</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(33.8)</w:t>
            </w:r>
          </w:p>
        </w:tc>
        <w:tc>
          <w:tcPr>
            <w:tcW w:w="43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 </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(36.9)</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Matson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(108.2)</w:t>
            </w:r>
          </w:p>
        </w:tc>
        <w:tc>
          <w:tcPr>
            <w:tcW w:w="43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 </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(296.9)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 withholding related to net share settlements of restricted stock units</w:t>
            </w:r>
          </w:p>
        </w:tc>
        <w:tc>
          <w:tcPr>
            <w:tcW w:w="326"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w:t>
            </w:r>
          </w:p>
        </w:tc>
        <w:tc>
          <w:tcPr>
            <w:tcW w:w="431"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(221.7)</w:t>
            </w:r>
          </w:p>
        </w:tc>
        <w:tc>
          <w:tcPr>
            <w:tcW w:w="431"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(450.6)</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w:t>
            </w:r>
          </w:p>
        </w:tc>
        <w:tc>
          <w:tcPr>
            <w:tcW w:w="835" w:type="dxa"/>
            <w:tcBorders/>
            <w:vAlign w:val="center"/>
          </w:tcPr>
          <w:p>
            <w:pPr>
              <w:pStyle w:val="TableContents"/>
              <w:bidi w:val="0"/>
              <w:spacing w:before="0" w:after="0"/>
              <w:ind w:left="0" w:right="0" w:hanging="0"/>
              <w:jc w:val="right"/>
              <w:rPr/>
            </w:pPr>
            <w:r>
              <w:rPr/>
              <w:t>​</w:t>
            </w:r>
          </w:p>
        </w:tc>
        <w:tc>
          <w:tcPr>
            <w:tcW w:w="43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w:t>
            </w:r>
          </w:p>
        </w:tc>
        <w:tc>
          <w:tcPr>
            <w:tcW w:w="855"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Decrease in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 </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(93.3)</w:t>
            </w:r>
          </w:p>
        </w:tc>
        <w:tc>
          <w:tcPr>
            <w:tcW w:w="43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 </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Beginning of the Period</w:t>
            </w:r>
          </w:p>
        </w:tc>
        <w:tc>
          <w:tcPr>
            <w:tcW w:w="326"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253.7</w:t>
            </w:r>
          </w:p>
        </w:tc>
        <w:tc>
          <w:tcPr>
            <w:tcW w:w="431"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287.7</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End of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160.4</w:t>
            </w:r>
          </w:p>
        </w:tc>
        <w:tc>
          <w:tcPr>
            <w:tcW w:w="431" w:type="dxa"/>
            <w:tcBorders/>
            <w:shd w:fill="CCEEFF" w:val="clear"/>
            <w:vAlign w:val="center"/>
          </w:tcPr>
          <w:p>
            <w:pPr>
              <w:pStyle w:val="TableContents"/>
              <w:bidi w:val="0"/>
              <w:spacing w:before="0" w:after="0"/>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246.7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w:t>
            </w:r>
          </w:p>
        </w:tc>
        <w:tc>
          <w:tcPr>
            <w:tcW w:w="835" w:type="dxa"/>
            <w:tcBorders/>
            <w:vAlign w:val="center"/>
          </w:tcPr>
          <w:p>
            <w:pPr>
              <w:pStyle w:val="TableContents"/>
              <w:bidi w:val="0"/>
              <w:spacing w:before="0" w:after="0"/>
              <w:ind w:left="0" w:right="0" w:hanging="0"/>
              <w:jc w:val="right"/>
              <w:rPr/>
            </w:pPr>
            <w:r>
              <w:rPr/>
              <w:t>​</w:t>
            </w:r>
          </w:p>
        </w:tc>
        <w:tc>
          <w:tcPr>
            <w:tcW w:w="43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w:t>
            </w:r>
          </w:p>
        </w:tc>
        <w:tc>
          <w:tcPr>
            <w:tcW w:w="855"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Reconciliation of Cash, Cash Equivalents and Restricted Cash, End of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835" w:type="dxa"/>
            <w:tcBorders/>
            <w:shd w:fill="CCEEFF" w:val="clear"/>
            <w:vAlign w:val="center"/>
          </w:tcPr>
          <w:p>
            <w:pPr>
              <w:pStyle w:val="TableContents"/>
              <w:bidi w:val="0"/>
              <w:spacing w:before="0" w:after="0"/>
              <w:ind w:left="0" w:right="0" w:hanging="0"/>
              <w:jc w:val="righ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855"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156.5</w:t>
            </w:r>
          </w:p>
        </w:tc>
        <w:tc>
          <w:tcPr>
            <w:tcW w:w="43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242.8</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w:t>
            </w:r>
          </w:p>
        </w:tc>
        <w:tc>
          <w:tcPr>
            <w:tcW w:w="431"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Cash, Cash Equivalents and Restricted Cash, End of the Period</w:t>
            </w:r>
          </w:p>
        </w:tc>
        <w:tc>
          <w:tcPr>
            <w:tcW w:w="326" w:type="dxa"/>
            <w:tcBorders/>
            <w:vAlign w:val="center"/>
          </w:tcPr>
          <w:p>
            <w:pPr>
              <w:pStyle w:val="TableContents"/>
              <w:bidi w:val="0"/>
              <w:spacing w:before="0" w:after="0"/>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160.4</w:t>
            </w:r>
          </w:p>
        </w:tc>
        <w:tc>
          <w:tcPr>
            <w:tcW w:w="431" w:type="dxa"/>
            <w:tcBorders/>
            <w:vAlign w:val="center"/>
          </w:tcPr>
          <w:p>
            <w:pPr>
              <w:pStyle w:val="TableContents"/>
              <w:bidi w:val="0"/>
              <w:spacing w:before="0" w:after="0"/>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246.7</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835" w:type="dxa"/>
            <w:tcBorders/>
            <w:shd w:fill="CCEEFF" w:val="clear"/>
            <w:vAlign w:val="center"/>
          </w:tcPr>
          <w:p>
            <w:pPr>
              <w:pStyle w:val="TableContents"/>
              <w:bidi w:val="0"/>
              <w:spacing w:before="0" w:after="0"/>
              <w:ind w:left="0" w:right="0" w:hanging="0"/>
              <w:jc w:val="righ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855"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Supplemental Cash Flow Information:</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w:t>
            </w:r>
          </w:p>
        </w:tc>
        <w:tc>
          <w:tcPr>
            <w:tcW w:w="835" w:type="dxa"/>
            <w:tcBorders/>
            <w:vAlign w:val="center"/>
          </w:tcPr>
          <w:p>
            <w:pPr>
              <w:pStyle w:val="TableContents"/>
              <w:bidi w:val="0"/>
              <w:spacing w:before="0" w:after="0"/>
              <w:ind w:left="0" w:right="0" w:hanging="0"/>
              <w:jc w:val="right"/>
              <w:rPr/>
            </w:pPr>
            <w:r>
              <w:rPr/>
              <w:t>​</w:t>
            </w:r>
          </w:p>
        </w:tc>
        <w:tc>
          <w:tcPr>
            <w:tcW w:w="43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w:t>
            </w:r>
          </w:p>
        </w:tc>
        <w:tc>
          <w:tcPr>
            <w:tcW w:w="855"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paid, net of capitalized interest (including debt prepaid fees)</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w:t>
            </w:r>
          </w:p>
        </w:tc>
        <w:tc>
          <w:tcPr>
            <w:tcW w:w="43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payments (refunds), net</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w:t>
            </w:r>
          </w:p>
        </w:tc>
        <w:tc>
          <w:tcPr>
            <w:tcW w:w="43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212.4</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835" w:type="dxa"/>
            <w:tcBorders/>
            <w:shd w:fill="CCEEFF" w:val="clear"/>
            <w:vAlign w:val="center"/>
          </w:tcPr>
          <w:p>
            <w:pPr>
              <w:pStyle w:val="TableContents"/>
              <w:bidi w:val="0"/>
              <w:spacing w:before="0" w:after="0"/>
              <w:ind w:left="0" w:right="0" w:hanging="0"/>
              <w:jc w:val="righ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855"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Information:</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w:t>
            </w:r>
          </w:p>
        </w:tc>
        <w:tc>
          <w:tcPr>
            <w:tcW w:w="835" w:type="dxa"/>
            <w:tcBorders/>
            <w:vAlign w:val="center"/>
          </w:tcPr>
          <w:p>
            <w:pPr>
              <w:pStyle w:val="TableContents"/>
              <w:bidi w:val="0"/>
              <w:spacing w:before="0" w:after="0"/>
              <w:ind w:left="0" w:right="0" w:hanging="0"/>
              <w:jc w:val="right"/>
              <w:rPr/>
            </w:pPr>
            <w:r>
              <w:rPr/>
              <w:t>​</w:t>
            </w:r>
          </w:p>
        </w:tc>
        <w:tc>
          <w:tcPr>
            <w:tcW w:w="43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pPr>
            <w:r>
              <w:rPr/>
              <w:t>​</w:t>
            </w:r>
          </w:p>
        </w:tc>
        <w:tc>
          <w:tcPr>
            <w:tcW w:w="855"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 expenditures included in accounts payable, accruals and 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w:t>
            </w:r>
          </w:p>
        </w:tc>
        <w:tc>
          <w:tcPr>
            <w:tcW w:w="43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payment for intangible asset acquisition</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w:t>
            </w:r>
          </w:p>
        </w:tc>
        <w:tc>
          <w:tcPr>
            <w:tcW w:w="43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95" w:name="_7386f350_219b_448c_a0ce_48e21ce76203"/>
      <w:bookmarkEnd w:id="395"/>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396" w:name="StatementsofShareholdersEquity"/>
      <w:bookmarkEnd w:id="396"/>
      <w:r>
        <w:rPr>
          <w:rFonts w:ascii="Times New Roman;Times;serif" w:hAnsi="Times New Roman;Times;serif"/>
          <w:b/>
          <w:sz w:val="20"/>
        </w:rPr>
        <w:t>Condensed Consolidated Statements of Shareholders’ Equity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97" w:name="Tc_INdvVCQmm02Y9-DHopJONg_25_16"/>
      <w:bookmarkStart w:id="398" w:name="Tc_s6xAyS3J5EyH_lqtflqlOg_25_13"/>
      <w:bookmarkStart w:id="399" w:name="Tc_NqfxpaaaMk2MIgshr63srQ_25_10"/>
      <w:bookmarkStart w:id="400" w:name="Tc_iT7xzYKlxEuYuOJqg8B86w_25_7"/>
      <w:bookmarkStart w:id="401" w:name="Tc_yac-vU1wrUCdE1MK1g-ySw_25_4"/>
      <w:bookmarkStart w:id="402" w:name="Tc_gtSCnwxKNEOPR8Qz0BovBg_25_0"/>
      <w:bookmarkStart w:id="403" w:name="Tc_T55SsHtbL0CDgjdhSauhSQ_24_11"/>
      <w:bookmarkStart w:id="404" w:name="Tc_a12V3oAr4kiedOTVIimEww_24_0"/>
      <w:bookmarkStart w:id="405" w:name="Tc_iuk45sFO4k2nA47mjZPY1g_23_14"/>
      <w:bookmarkStart w:id="406" w:name="Tc_etS68GgJN0K8pzPnxTsEgg_23_11"/>
      <w:bookmarkStart w:id="407" w:name="Tc_zH24VFfR90GIwseVgQv_tA_23_5"/>
      <w:bookmarkStart w:id="408" w:name="Tc_yrmosinT_0SW6Zm95OAFfQ_23_2"/>
      <w:bookmarkStart w:id="409" w:name="Tc_FoYrvwemN0OHcKZWvaCz_w_23_0"/>
      <w:bookmarkStart w:id="410" w:name="Tc_Ouz81JyHI0KD3WOkF9VsFQ_22_14"/>
      <w:bookmarkStart w:id="411" w:name="Tc_jw3BsOP9WkCjl5CLZ_Xubw_22_11"/>
      <w:bookmarkStart w:id="412" w:name="Tc_x4l4H2Ca30W5t-c4JovgfQ_22_5"/>
      <w:bookmarkStart w:id="413" w:name="Tc_7ftQYUyiAk-VI018IjDBYA_22_2"/>
      <w:bookmarkStart w:id="414" w:name="Tc_9j9mWFlKCkeNoeG9yIWpNA_22_0"/>
      <w:bookmarkStart w:id="415" w:name="Tc_nicOhWeDwEKjrMiJ6R_Drw_21_14"/>
      <w:bookmarkStart w:id="416" w:name="Tc_SeWnTv8-oEaOFYQx0Afo4w_21_8"/>
      <w:bookmarkStart w:id="417" w:name="Tc_riAxGwhGNEacAvu2BJAZow_21_5"/>
      <w:bookmarkStart w:id="418" w:name="Tc_Kjca31_nxUKK6UN7fAAyOg_21_2"/>
      <w:bookmarkStart w:id="419" w:name="Tc_QoLJiQqACUmStTLIhZNN-A_21_0"/>
      <w:bookmarkStart w:id="420" w:name="Tc_gT7oimD6c0yNge-F117oYg_20_11"/>
      <w:bookmarkStart w:id="421" w:name="Tc_Sstl7s5D6kOpV32IhnY5rw_20_8"/>
      <w:bookmarkStart w:id="422" w:name="Tc_7X1vA5_n2Ua3pFUMoD1H0w_20_5"/>
      <w:bookmarkStart w:id="423" w:name="Tc_lJ15twG3_E2w-khwLLQkPg_20_2"/>
      <w:bookmarkStart w:id="424" w:name="Tc_eaq0xb1sakKzA4_3SoDrAw_20_0"/>
      <w:bookmarkStart w:id="425" w:name="Tc_YJaE1yz6xUiE123o-AlY2A_19_0"/>
      <w:bookmarkStart w:id="426" w:name="Tc_GBXi4LD8lkauAmQ-9JHshQ_18_11"/>
      <w:bookmarkStart w:id="427" w:name="Tc_XHmYy2c2s0KGgDvyILQJtQ_18_8"/>
      <w:bookmarkStart w:id="428" w:name="Tc_UFfh0A_I0Ui1Pe7Or21D3w_18_5"/>
      <w:bookmarkStart w:id="429" w:name="Tc__8TndDtMm0K7k8DvVyCFbQ_18_2"/>
      <w:bookmarkStart w:id="430" w:name="Tc_gRauFEfMzEyddWfA-xsX_g_18_0"/>
      <w:bookmarkStart w:id="431" w:name="Tc_l4S57IWD_kenuHpa7Mtr7w_17_11"/>
      <w:bookmarkStart w:id="432" w:name="Tc_avGqDWeG-kyISXGe99J0Zw_17_0"/>
      <w:bookmarkStart w:id="433" w:name="Tc_hxw9IC2RX02w6IWL8f0OwA_16_14"/>
      <w:bookmarkStart w:id="434" w:name="Tc_xoFYmjhwekS-ZLOpe8QQCw_16_11"/>
      <w:bookmarkStart w:id="435" w:name="Tc_tUtp-EnoFUatlEe66YkiBA_16_5"/>
      <w:bookmarkStart w:id="436" w:name="Tc_O7pc_cA2UEWamXZKIeOhqw_16_2"/>
      <w:bookmarkStart w:id="437" w:name="Tc_03qD9T_wNkyKHWxZgOteQw_16_0"/>
      <w:bookmarkStart w:id="438" w:name="Tc_3W9Q0alR9kG0awLG_6XqxA_15_14"/>
      <w:bookmarkStart w:id="439" w:name="Tc_cQbkpT4B9EuI-M8MYOPimw_15_11"/>
      <w:bookmarkStart w:id="440" w:name="Tc_sFusDUgfk0WLSmMmnujRgw_15_5"/>
      <w:bookmarkStart w:id="441" w:name="Tc_iBPuC9pghkWro_BhgMKbSg_15_2"/>
      <w:bookmarkStart w:id="442" w:name="Tc_bDukZ3ljrE-Q_HEgSJ7ySw_15_0"/>
      <w:bookmarkStart w:id="443" w:name="Tc_fjLzqdq2m0SjZICNduIwAA_14_14"/>
      <w:bookmarkStart w:id="444" w:name="Tc_QbrAwGmrzUq9MYCFOQ5r1w_14_8"/>
      <w:bookmarkStart w:id="445" w:name="Tc_BQWlBbkMd0S8T2ds5SoxOQ_14_5"/>
      <w:bookmarkStart w:id="446" w:name="Tc_XPly4MYLaECpEWevCQcmSA_14_2"/>
      <w:bookmarkStart w:id="447" w:name="Tc_uweVtf8obUmq4yX8hFk5rw_14_0"/>
      <w:bookmarkStart w:id="448" w:name="Tc_qHWjXO6oXE-uEjDVq2WwGw_13_11"/>
      <w:bookmarkStart w:id="449" w:name="Tc_dPaH5bqS906VRr3Msp31XA_13_8"/>
      <w:bookmarkStart w:id="450" w:name="Tc_oi1Uy9bKuk2XnAGxCYFzAA_13_5"/>
      <w:bookmarkStart w:id="451" w:name="Tc_MJLYeOQ9WkK8_5EqiaMrlA_13_2"/>
      <w:bookmarkStart w:id="452" w:name="Tc_PFkWGdCiI0eKTybBi_cYJw_13_0"/>
      <w:bookmarkStart w:id="453" w:name="Tc_lOUqW3LDE0mIuWohigfgkA_12_0"/>
      <w:bookmarkStart w:id="454" w:name="Tc_GNSUqA1WNEaWqpLgsMVBqw_11_11"/>
      <w:bookmarkStart w:id="455" w:name="Tc_QAy5-wVTrUSc4Q6ep2MPNA_11_8"/>
      <w:bookmarkStart w:id="456" w:name="Tc_mQpeXxL11kaw58zEzeWTPg_11_5"/>
      <w:bookmarkStart w:id="457" w:name="Tc_iz-Ka4pVv0aDChcrme0EBw_11_2"/>
      <w:bookmarkStart w:id="458" w:name="Tc_s5k6_pZO60CMrpxTXPXxWQ_11_0"/>
      <w:bookmarkStart w:id="459" w:name="Tc_P_8I7owzOkWPUS5pNX4OTA_10_11"/>
      <w:bookmarkStart w:id="460" w:name="Tc_kZvGNbzAXEafu4duw6xjUQ_10_0"/>
      <w:bookmarkStart w:id="461" w:name="Tc_bW-Ggxky40KeVfKGsHTeYw_9_14"/>
      <w:bookmarkStart w:id="462" w:name="Tc_i85wGmznfEadePGv5lfIXA_9_11"/>
      <w:bookmarkStart w:id="463" w:name="Tc_1blrtXVfI0ebII3HEe0t9Q_9_0"/>
      <w:bookmarkStart w:id="464" w:name="Tc_7DgfxIFyrUWbh5n2kFC15g_8_14"/>
      <w:bookmarkStart w:id="465" w:name="Tc_nRcoyPdU3kGrERLB-_1v3g_8_11"/>
      <w:bookmarkStart w:id="466" w:name="Tc_EkFkLr49jEe10hN4moeeHw_8_5"/>
      <w:bookmarkStart w:id="467" w:name="Tc_-d0FhvhXYUawuiSmRklx5Q_8_2"/>
      <w:bookmarkStart w:id="468" w:name="Tc_uDWkmZdKSk-2L4uDb8GYog_8_0"/>
      <w:bookmarkStart w:id="469" w:name="Tc_aWf9VujM80agmiQmSTQ1kg_7_14"/>
      <w:bookmarkStart w:id="470" w:name="Tc_no-m4rJQVkmAYK1rZldEDA_7_8"/>
      <w:bookmarkStart w:id="471" w:name="Tc__O93h5ls8U6d5_p6DOlzUw_7_5"/>
      <w:bookmarkStart w:id="472" w:name="Tc_oUfRnZ-Vv0W77RidMffkgw_7_2"/>
      <w:bookmarkStart w:id="473" w:name="Tc_mM5knnGSCEuJA6aH9ATzFA_7_0"/>
      <w:bookmarkStart w:id="474" w:name="Tc_1i3aIYI3EE2ecXYQREyMgA_6_11"/>
      <w:bookmarkStart w:id="475" w:name="Tc_MqU-twmA6k2USHEKI3CEug_6_8"/>
      <w:bookmarkStart w:id="476" w:name="Tc_kElZ-4BQ4kCeZpjN11Ugug_6_5"/>
      <w:bookmarkStart w:id="477" w:name="Tc_nEQqfLgzKEaku0rTYT4bOA_6_2"/>
      <w:bookmarkStart w:id="478" w:name="Tc_cv8sg2J3qkGmLLdqSYhuWg_6_0"/>
      <w:bookmarkStart w:id="479" w:name="Tc_L7bRiGBwh0q7vfjmkaenaw_5_16"/>
      <w:bookmarkStart w:id="480" w:name="Tc_9kRLEKQHK0KaE_sOHPZTBw_5_13"/>
      <w:bookmarkStart w:id="481" w:name="Tc_0WXnmaQswk6zIO5dAWfqsQ_5_10"/>
      <w:bookmarkStart w:id="482" w:name="Tc_oYJmqsHCQk-ktK3aoSebyg_5_7"/>
      <w:bookmarkStart w:id="483" w:name="Tc_itCu9MPwtU2XXdxtrJKrow_5_4"/>
      <w:bookmarkStart w:id="484" w:name="Tc_tRDMkpxI70CCdxCnsXvXzQ_5_0"/>
      <w:bookmarkStart w:id="485" w:name="Tc_8oQ2ru_1WkWe0z6mvhtSfA_4_16"/>
      <w:bookmarkStart w:id="486" w:name="Tc_LKXBAw0wnUqePK7BYH3CLg_4_13"/>
      <w:bookmarkStart w:id="487" w:name="Tc_VSinZmRMI0ydj2mQkjp47w_4_10"/>
      <w:bookmarkStart w:id="488" w:name="Tc_sXpCCascwUONp9Z07qoZ_w_4_7"/>
      <w:bookmarkStart w:id="489" w:name="Tc_4wwWTI4UikOAjLsEJNYCyQ_4_4"/>
      <w:bookmarkStart w:id="490" w:name="Tc_0LYXpRMyL02pZdQzyxoD8A_4_2"/>
      <w:bookmarkStart w:id="491" w:name="Tc_6iXSzAsUNEyZTJV9yJEGJg_4_0"/>
      <w:bookmarkStart w:id="492" w:name="Tc_yMl3V2IFzEG-S3gOnS3xWQ_3_13"/>
      <w:bookmarkStart w:id="493" w:name="Tc_6gjl8VLU1EOuX8L7ZL09yQ_3_10"/>
      <w:bookmarkStart w:id="494" w:name="Tc_6zs-02mthEG21RJr-kGf0g_3_7"/>
      <w:bookmarkStart w:id="495" w:name="Tc_NOrv4mmOTkWVIufohQK_Hw_3_4"/>
      <w:bookmarkStart w:id="496" w:name="Tc_YI33sbajok2T-9mIQBSVeQ_2_10"/>
      <w:bookmarkStart w:id="497" w:name="Tc_DhQ3MQCHu02lF-6oyBvdXQ_2_7"/>
      <w:bookmarkStart w:id="498" w:name="Tc_VQCgUsKvjUOgaCixAtRI1Q_2_2"/>
      <w:bookmarkStart w:id="499" w:name="Tc_Z280y-QbrUqBOsBZ5141lQ_1_10"/>
      <w:bookmarkStart w:id="500" w:name="_84d7cc09_d41a_43f0_b3da_141481ad90f8"/>
      <w:bookmarkStart w:id="501" w:name="Tc_INdvVCQmm02Y9-DHopJONg_25_16"/>
      <w:bookmarkStart w:id="502" w:name="Tc_s6xAyS3J5EyH_lqtflqlOg_25_13"/>
      <w:bookmarkStart w:id="503" w:name="Tc_NqfxpaaaMk2MIgshr63srQ_25_10"/>
      <w:bookmarkStart w:id="504" w:name="Tc_iT7xzYKlxEuYuOJqg8B86w_25_7"/>
      <w:bookmarkStart w:id="505" w:name="Tc_yac-vU1wrUCdE1MK1g-ySw_25_4"/>
      <w:bookmarkStart w:id="506" w:name="Tc_gtSCnwxKNEOPR8Qz0BovBg_25_0"/>
      <w:bookmarkStart w:id="507" w:name="Tc_T55SsHtbL0CDgjdhSauhSQ_24_11"/>
      <w:bookmarkStart w:id="508" w:name="Tc_a12V3oAr4kiedOTVIimEww_24_0"/>
      <w:bookmarkStart w:id="509" w:name="Tc_iuk45sFO4k2nA47mjZPY1g_23_14"/>
      <w:bookmarkStart w:id="510" w:name="Tc_etS68GgJN0K8pzPnxTsEgg_23_11"/>
      <w:bookmarkStart w:id="511" w:name="Tc_zH24VFfR90GIwseVgQv_tA_23_5"/>
      <w:bookmarkStart w:id="512" w:name="Tc_yrmosinT_0SW6Zm95OAFfQ_23_2"/>
      <w:bookmarkStart w:id="513" w:name="Tc_FoYrvwemN0OHcKZWvaCz_w_23_0"/>
      <w:bookmarkStart w:id="514" w:name="Tc_Ouz81JyHI0KD3WOkF9VsFQ_22_14"/>
      <w:bookmarkStart w:id="515" w:name="Tc_jw3BsOP9WkCjl5CLZ_Xubw_22_11"/>
      <w:bookmarkStart w:id="516" w:name="Tc_x4l4H2Ca30W5t-c4JovgfQ_22_5"/>
      <w:bookmarkStart w:id="517" w:name="Tc_7ftQYUyiAk-VI018IjDBYA_22_2"/>
      <w:bookmarkStart w:id="518" w:name="Tc_9j9mWFlKCkeNoeG9yIWpNA_22_0"/>
      <w:bookmarkStart w:id="519" w:name="Tc_nicOhWeDwEKjrMiJ6R_Drw_21_14"/>
      <w:bookmarkStart w:id="520" w:name="Tc_SeWnTv8-oEaOFYQx0Afo4w_21_8"/>
      <w:bookmarkStart w:id="521" w:name="Tc_riAxGwhGNEacAvu2BJAZow_21_5"/>
      <w:bookmarkStart w:id="522" w:name="Tc_Kjca31_nxUKK6UN7fAAyOg_21_2"/>
      <w:bookmarkStart w:id="523" w:name="Tc_QoLJiQqACUmStTLIhZNN-A_21_0"/>
      <w:bookmarkStart w:id="524" w:name="Tc_gT7oimD6c0yNge-F117oYg_20_11"/>
      <w:bookmarkStart w:id="525" w:name="Tc_Sstl7s5D6kOpV32IhnY5rw_20_8"/>
      <w:bookmarkStart w:id="526" w:name="Tc_7X1vA5_n2Ua3pFUMoD1H0w_20_5"/>
      <w:bookmarkStart w:id="527" w:name="Tc_lJ15twG3_E2w-khwLLQkPg_20_2"/>
      <w:bookmarkStart w:id="528" w:name="Tc_eaq0xb1sakKzA4_3SoDrAw_20_0"/>
      <w:bookmarkStart w:id="529" w:name="Tc_YJaE1yz6xUiE123o-AlY2A_19_0"/>
      <w:bookmarkStart w:id="530" w:name="Tc_GBXi4LD8lkauAmQ-9JHshQ_18_11"/>
      <w:bookmarkStart w:id="531" w:name="Tc_XHmYy2c2s0KGgDvyILQJtQ_18_8"/>
      <w:bookmarkStart w:id="532" w:name="Tc_UFfh0A_I0Ui1Pe7Or21D3w_18_5"/>
      <w:bookmarkStart w:id="533" w:name="Tc__8TndDtMm0K7k8DvVyCFbQ_18_2"/>
      <w:bookmarkStart w:id="534" w:name="Tc_gRauFEfMzEyddWfA-xsX_g_18_0"/>
      <w:bookmarkStart w:id="535" w:name="Tc_l4S57IWD_kenuHpa7Mtr7w_17_11"/>
      <w:bookmarkStart w:id="536" w:name="Tc_avGqDWeG-kyISXGe99J0Zw_17_0"/>
      <w:bookmarkStart w:id="537" w:name="Tc_hxw9IC2RX02w6IWL8f0OwA_16_14"/>
      <w:bookmarkStart w:id="538" w:name="Tc_xoFYmjhwekS-ZLOpe8QQCw_16_11"/>
      <w:bookmarkStart w:id="539" w:name="Tc_tUtp-EnoFUatlEe66YkiBA_16_5"/>
      <w:bookmarkStart w:id="540" w:name="Tc_O7pc_cA2UEWamXZKIeOhqw_16_2"/>
      <w:bookmarkStart w:id="541" w:name="Tc_03qD9T_wNkyKHWxZgOteQw_16_0"/>
      <w:bookmarkStart w:id="542" w:name="Tc_3W9Q0alR9kG0awLG_6XqxA_15_14"/>
      <w:bookmarkStart w:id="543" w:name="Tc_cQbkpT4B9EuI-M8MYOPimw_15_11"/>
      <w:bookmarkStart w:id="544" w:name="Tc_sFusDUgfk0WLSmMmnujRgw_15_5"/>
      <w:bookmarkStart w:id="545" w:name="Tc_iBPuC9pghkWro_BhgMKbSg_15_2"/>
      <w:bookmarkStart w:id="546" w:name="Tc_bDukZ3ljrE-Q_HEgSJ7ySw_15_0"/>
      <w:bookmarkStart w:id="547" w:name="Tc_fjLzqdq2m0SjZICNduIwAA_14_14"/>
      <w:bookmarkStart w:id="548" w:name="Tc_QbrAwGmrzUq9MYCFOQ5r1w_14_8"/>
      <w:bookmarkStart w:id="549" w:name="Tc_BQWlBbkMd0S8T2ds5SoxOQ_14_5"/>
      <w:bookmarkStart w:id="550" w:name="Tc_XPly4MYLaECpEWevCQcmSA_14_2"/>
      <w:bookmarkStart w:id="551" w:name="Tc_uweVtf8obUmq4yX8hFk5rw_14_0"/>
      <w:bookmarkStart w:id="552" w:name="Tc_qHWjXO6oXE-uEjDVq2WwGw_13_11"/>
      <w:bookmarkStart w:id="553" w:name="Tc_dPaH5bqS906VRr3Msp31XA_13_8"/>
      <w:bookmarkStart w:id="554" w:name="Tc_oi1Uy9bKuk2XnAGxCYFzAA_13_5"/>
      <w:bookmarkStart w:id="555" w:name="Tc_MJLYeOQ9WkK8_5EqiaMrlA_13_2"/>
      <w:bookmarkStart w:id="556" w:name="Tc_PFkWGdCiI0eKTybBi_cYJw_13_0"/>
      <w:bookmarkStart w:id="557" w:name="Tc_lOUqW3LDE0mIuWohigfgkA_12_0"/>
      <w:bookmarkStart w:id="558" w:name="Tc_GNSUqA1WNEaWqpLgsMVBqw_11_11"/>
      <w:bookmarkStart w:id="559" w:name="Tc_QAy5-wVTrUSc4Q6ep2MPNA_11_8"/>
      <w:bookmarkStart w:id="560" w:name="Tc_mQpeXxL11kaw58zEzeWTPg_11_5"/>
      <w:bookmarkStart w:id="561" w:name="Tc_iz-Ka4pVv0aDChcrme0EBw_11_2"/>
      <w:bookmarkStart w:id="562" w:name="Tc_s5k6_pZO60CMrpxTXPXxWQ_11_0"/>
      <w:bookmarkStart w:id="563" w:name="Tc_P_8I7owzOkWPUS5pNX4OTA_10_11"/>
      <w:bookmarkStart w:id="564" w:name="Tc_kZvGNbzAXEafu4duw6xjUQ_10_0"/>
      <w:bookmarkStart w:id="565" w:name="Tc_bW-Ggxky40KeVfKGsHTeYw_9_14"/>
      <w:bookmarkStart w:id="566" w:name="Tc_i85wGmznfEadePGv5lfIXA_9_11"/>
      <w:bookmarkStart w:id="567" w:name="Tc_1blrtXVfI0ebII3HEe0t9Q_9_0"/>
      <w:bookmarkStart w:id="568" w:name="Tc_7DgfxIFyrUWbh5n2kFC15g_8_14"/>
      <w:bookmarkStart w:id="569" w:name="Tc_nRcoyPdU3kGrERLB-_1v3g_8_11"/>
      <w:bookmarkStart w:id="570" w:name="Tc_EkFkLr49jEe10hN4moeeHw_8_5"/>
      <w:bookmarkStart w:id="571" w:name="Tc_-d0FhvhXYUawuiSmRklx5Q_8_2"/>
      <w:bookmarkStart w:id="572" w:name="Tc_uDWkmZdKSk-2L4uDb8GYog_8_0"/>
      <w:bookmarkStart w:id="573" w:name="Tc_aWf9VujM80agmiQmSTQ1kg_7_14"/>
      <w:bookmarkStart w:id="574" w:name="Tc_no-m4rJQVkmAYK1rZldEDA_7_8"/>
      <w:bookmarkStart w:id="575" w:name="Tc__O93h5ls8U6d5_p6DOlzUw_7_5"/>
      <w:bookmarkStart w:id="576" w:name="Tc_oUfRnZ-Vv0W77RidMffkgw_7_2"/>
      <w:bookmarkStart w:id="577" w:name="Tc_mM5knnGSCEuJA6aH9ATzFA_7_0"/>
      <w:bookmarkStart w:id="578" w:name="Tc_1i3aIYI3EE2ecXYQREyMgA_6_11"/>
      <w:bookmarkStart w:id="579" w:name="Tc_MqU-twmA6k2USHEKI3CEug_6_8"/>
      <w:bookmarkStart w:id="580" w:name="Tc_kElZ-4BQ4kCeZpjN11Ugug_6_5"/>
      <w:bookmarkStart w:id="581" w:name="Tc_nEQqfLgzKEaku0rTYT4bOA_6_2"/>
      <w:bookmarkStart w:id="582" w:name="Tc_cv8sg2J3qkGmLLdqSYhuWg_6_0"/>
      <w:bookmarkStart w:id="583" w:name="Tc_L7bRiGBwh0q7vfjmkaenaw_5_16"/>
      <w:bookmarkStart w:id="584" w:name="Tc_9kRLEKQHK0KaE_sOHPZTBw_5_13"/>
      <w:bookmarkStart w:id="585" w:name="Tc_0WXnmaQswk6zIO5dAWfqsQ_5_10"/>
      <w:bookmarkStart w:id="586" w:name="Tc_oYJmqsHCQk-ktK3aoSebyg_5_7"/>
      <w:bookmarkStart w:id="587" w:name="Tc_itCu9MPwtU2XXdxtrJKrow_5_4"/>
      <w:bookmarkStart w:id="588" w:name="Tc_tRDMkpxI70CCdxCnsXvXzQ_5_0"/>
      <w:bookmarkStart w:id="589" w:name="Tc_8oQ2ru_1WkWe0z6mvhtSfA_4_16"/>
      <w:bookmarkStart w:id="590" w:name="Tc_LKXBAw0wnUqePK7BYH3CLg_4_13"/>
      <w:bookmarkStart w:id="591" w:name="Tc_VSinZmRMI0ydj2mQkjp47w_4_10"/>
      <w:bookmarkStart w:id="592" w:name="Tc_sXpCCascwUONp9Z07qoZ_w_4_7"/>
      <w:bookmarkStart w:id="593" w:name="Tc_4wwWTI4UikOAjLsEJNYCyQ_4_4"/>
      <w:bookmarkStart w:id="594" w:name="Tc_0LYXpRMyL02pZdQzyxoD8A_4_2"/>
      <w:bookmarkStart w:id="595" w:name="Tc_6iXSzAsUNEyZTJV9yJEGJg_4_0"/>
      <w:bookmarkStart w:id="596" w:name="Tc_yMl3V2IFzEG-S3gOnS3xWQ_3_13"/>
      <w:bookmarkStart w:id="597" w:name="Tc_6gjl8VLU1EOuX8L7ZL09yQ_3_10"/>
      <w:bookmarkStart w:id="598" w:name="Tc_6zs-02mthEG21RJr-kGf0g_3_7"/>
      <w:bookmarkStart w:id="599" w:name="Tc_NOrv4mmOTkWVIufohQK_Hw_3_4"/>
      <w:bookmarkStart w:id="600" w:name="Tc_YI33sbajok2T-9mIQBSVeQ_2_10"/>
      <w:bookmarkStart w:id="601" w:name="Tc_DhQ3MQCHu02lF-6oyBvdXQ_2_7"/>
      <w:bookmarkStart w:id="602" w:name="Tc_VQCgUsKvjUOgaCixAtRI1Q_2_2"/>
      <w:bookmarkStart w:id="603" w:name="Tc_Z280y-QbrUqBOsBZ5141lQ_1_10"/>
      <w:bookmarkStart w:id="604" w:name="_84d7cc09_d41a_43f0_b3da_141481ad90f8"/>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p>
    <w:tbl>
      <w:tblPr>
        <w:tblW w:w="10205" w:type="dxa"/>
        <w:jc w:val="left"/>
        <w:tblInd w:w="0" w:type="dxa"/>
        <w:tblLayout w:type="fixed"/>
        <w:tblCellMar>
          <w:top w:w="0" w:type="dxa"/>
          <w:left w:w="0" w:type="dxa"/>
          <w:bottom w:w="0" w:type="dxa"/>
          <w:right w:w="0" w:type="dxa"/>
        </w:tblCellMar>
      </w:tblPr>
      <w:tblGrid>
        <w:gridCol w:w="3272"/>
        <w:gridCol w:w="326"/>
        <w:gridCol w:w="511"/>
        <w:gridCol w:w="326"/>
        <w:gridCol w:w="211"/>
        <w:gridCol w:w="474"/>
        <w:gridCol w:w="326"/>
        <w:gridCol w:w="211"/>
        <w:gridCol w:w="579"/>
        <w:gridCol w:w="326"/>
        <w:gridCol w:w="339"/>
        <w:gridCol w:w="682"/>
        <w:gridCol w:w="326"/>
        <w:gridCol w:w="211"/>
        <w:gridCol w:w="721"/>
        <w:gridCol w:w="326"/>
        <w:gridCol w:w="211"/>
        <w:gridCol w:w="827"/>
      </w:tblGrid>
      <w:tr>
        <w:trPr/>
        <w:tc>
          <w:tcPr>
            <w:tcW w:w="3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7720" cy="175260"/>
                      <wp:effectExtent l="0" t="0" r="0" b="0"/>
                      <wp:wrapNone/>
                      <wp:docPr id="31" name="Frame31"/>
                      <a:graphic xmlns:a="http://schemas.openxmlformats.org/drawingml/2006/main">
                        <a:graphicData uri="http://schemas.microsoft.com/office/word/2010/wordprocessingShape">
                          <wps:wsp>
                            <wps:cNvSpPr txBox="1"/>
                            <wps:spPr>
                              <a:xfrm>
                                <a:off x="0" y="0"/>
                                <a:ext cx="2077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324485" cy="175260"/>
                      <wp:effectExtent l="0" t="0" r="0" b="0"/>
                      <wp:wrapNone/>
                      <wp:docPr id="33" name="Frame3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5"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00990" cy="175260"/>
                      <wp:effectExtent l="0" t="0" r="0" b="0"/>
                      <wp:wrapNone/>
                      <wp:docPr id="36" name="Frame36"/>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367665" cy="175260"/>
                      <wp:effectExtent l="0" t="0" r="0" b="0"/>
                      <wp:wrapNone/>
                      <wp:docPr id="39" name="Frame39"/>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5265" cy="175260"/>
                      <wp:effectExtent l="0" t="0" r="0" b="0"/>
                      <wp:wrapNone/>
                      <wp:docPr id="41" name="Frame41"/>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33070" cy="175260"/>
                      <wp:effectExtent l="0" t="0" r="0" b="0"/>
                      <wp:wrapNone/>
                      <wp:docPr id="42" name="Frame42"/>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44"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57835" cy="175260"/>
                      <wp:effectExtent l="0" t="0" r="0" b="0"/>
                      <wp:wrapNone/>
                      <wp:docPr id="45" name="Frame4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25145" cy="175260"/>
                      <wp:effectExtent l="0" t="0" r="0" b="0"/>
                      <wp:wrapNone/>
                      <wp:docPr id="48" name="Frame48"/>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2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center"/>
              <w:rPr/>
            </w:pPr>
            <w:r>
              <w:rPr/>
              <w:t>​</w:t>
            </w:r>
          </w:p>
        </w:tc>
        <w:tc>
          <w:tcPr>
            <w:tcW w:w="79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8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Stated</w:t>
            </w:r>
          </w:p>
        </w:tc>
        <w:tc>
          <w:tcPr>
            <w:tcW w:w="326" w:type="dxa"/>
            <w:tcBorders/>
            <w:vAlign w:val="center"/>
          </w:tcPr>
          <w:p>
            <w:pPr>
              <w:pStyle w:val="TableContents"/>
              <w:bidi w:val="0"/>
              <w:spacing w:before="0" w:after="0"/>
              <w:ind w:left="0" w:right="0" w:hanging="0"/>
              <w:jc w:val="center"/>
              <w:rPr/>
            </w:pPr>
            <w:r>
              <w:rPr/>
              <w:t>​</w:t>
            </w:r>
          </w:p>
        </w:tc>
        <w:tc>
          <w:tcPr>
            <w:tcW w:w="79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 In</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vAlign w:val="center"/>
          </w:tcPr>
          <w:p>
            <w:pPr>
              <w:pStyle w:val="TableContents"/>
              <w:bidi w:val="0"/>
              <w:spacing w:before="0" w:after="0"/>
              <w:ind w:left="0" w:right="0" w:hanging="0"/>
              <w:jc w:val="center"/>
              <w:rPr/>
            </w:pPr>
            <w:r>
              <w:rPr/>
              <w:t>​</w:t>
            </w:r>
          </w:p>
        </w:tc>
        <w:tc>
          <w:tcPr>
            <w:tcW w:w="932"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4"/>
              </w:rPr>
              <w:t>Retained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27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(In millions, except per share amounts)</w:t>
            </w:r>
          </w:p>
        </w:tc>
        <w:tc>
          <w:tcPr>
            <w:tcW w:w="326" w:type="dxa"/>
            <w:tcBorders/>
            <w:vAlign w:val="center"/>
          </w:tcPr>
          <w:p>
            <w:pPr>
              <w:pStyle w:val="TableContents"/>
              <w:bidi w:val="0"/>
              <w:spacing w:before="0" w:after="0"/>
              <w:ind w:left="0" w:right="0" w:hanging="0"/>
              <w:jc w:val="center"/>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center"/>
              <w:rPr/>
            </w:pPr>
            <w:r>
              <w:rPr/>
              <w:t>    </w:t>
            </w:r>
          </w:p>
        </w:tc>
        <w:tc>
          <w:tcPr>
            <w:tcW w:w="6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c>
          <w:tcPr>
            <w:tcW w:w="326" w:type="dxa"/>
            <w:tcBorders/>
            <w:vAlign w:val="center"/>
          </w:tcPr>
          <w:p>
            <w:pPr>
              <w:pStyle w:val="TableContents"/>
              <w:bidi w:val="0"/>
              <w:spacing w:before="0" w:after="0"/>
              <w:ind w:left="0" w:right="0" w:hanging="0"/>
              <w:jc w:val="center"/>
              <w:rPr/>
            </w:pPr>
            <w:r>
              <w:rPr/>
              <w:t>    </w:t>
            </w:r>
          </w:p>
        </w:tc>
        <w:tc>
          <w:tcPr>
            <w:tcW w:w="7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0"/>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Income (Loss)</w:t>
            </w:r>
          </w:p>
        </w:tc>
        <w:tc>
          <w:tcPr>
            <w:tcW w:w="326" w:type="dxa"/>
            <w:tcBorders/>
            <w:vAlign w:val="center"/>
          </w:tcPr>
          <w:p>
            <w:pPr>
              <w:pStyle w:val="TableContents"/>
              <w:bidi w:val="0"/>
              <w:spacing w:before="0" w:after="0"/>
              <w:ind w:left="0" w:right="0" w:hanging="0"/>
              <w:jc w:val="center"/>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26" w:type="dxa"/>
            <w:tcBorders/>
            <w:vAlign w:val="center"/>
          </w:tcPr>
          <w:p>
            <w:pPr>
              <w:pStyle w:val="TableContents"/>
              <w:bidi w:val="0"/>
              <w:spacing w:before="0" w:after="0"/>
              <w:ind w:left="0" w:right="0" w:hanging="0"/>
              <w:jc w:val="center"/>
              <w:rPr/>
            </w:pPr>
            <w:r>
              <w:rPr/>
              <w:t>    </w:t>
            </w:r>
          </w:p>
        </w:tc>
        <w:tc>
          <w:tcPr>
            <w:tcW w:w="103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4"/>
              </w:rPr>
              <w:t>Total      </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290.4</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1,986.2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2,296.9</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34.0</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income (loss), net of tax</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0.6</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Share-based compensation</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issued, net of shares withheld for employee taxes</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(12.6)</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(12.4)</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repurchased</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(42.1)</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Dividends ($0.31</w:t>
            </w:r>
            <w:r>
              <w:rPr>
                <w:rFonts w:ascii="Times New Roman;Times;serif" w:hAnsi="Times New Roman;Times;serif"/>
                <w:sz w:val="18"/>
              </w:rPr>
              <w:t xml:space="preserve"> </w:t>
            </w:r>
            <w:r>
              <w:rPr>
                <w:rFonts w:ascii="Times New Roman;Times;serif" w:hAnsi="Times New Roman;Times;serif"/>
                <w:sz w:val="19"/>
              </w:rPr>
              <w:t>per share)</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March 31, 2023</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279.7</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1,970.0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2,270.3</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80.8</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income (loss), net of tax</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5.2</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5.2</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issued, net of shares withheld for employee taxes</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0.1</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0.1</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repurchased</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(42.4)</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Dividends ($0.31</w:t>
            </w:r>
            <w:r>
              <w:rPr>
                <w:rFonts w:ascii="Times New Roman;Times;serif" w:hAnsi="Times New Roman;Times;serif"/>
                <w:sz w:val="18"/>
              </w:rPr>
              <w:t xml:space="preserve"> </w:t>
            </w:r>
            <w:r>
              <w:rPr>
                <w:rFonts w:ascii="Times New Roman;Times;serif" w:hAnsi="Times New Roman;Times;serif"/>
                <w:sz w:val="19"/>
              </w:rPr>
              <w:t>per share and $0.32</w:t>
            </w:r>
            <w:r>
              <w:rPr>
                <w:rFonts w:ascii="Times New Roman;Times;serif" w:hAnsi="Times New Roman;Times;serif"/>
                <w:sz w:val="18"/>
              </w:rPr>
              <w:t xml:space="preserve"> </w:t>
            </w:r>
            <w:r>
              <w:rPr>
                <w:rFonts w:ascii="Times New Roman;Times;serif" w:hAnsi="Times New Roman;Times;serif"/>
                <w:sz w:val="19"/>
              </w:rPr>
              <w:t>per share)</w:t>
            </w:r>
          </w:p>
        </w:tc>
        <w:tc>
          <w:tcPr>
            <w:tcW w:w="32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(22.4)</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June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282.7</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1,988.9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2,290.0</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119.9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119.9</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income (loss), net of tax</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Share-based compensation</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7.8</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7.8</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issued, net of shares withheld for employee taxes</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(0.2)</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(0.2)</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repurchased</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w:t>
            </w:r>
          </w:p>
        </w:tc>
        <w:tc>
          <w:tcPr>
            <w:tcW w:w="326" w:type="dxa"/>
            <w:tcBorders/>
            <w:vAlign w:val="center"/>
          </w:tcPr>
          <w:p>
            <w:pPr>
              <w:pStyle w:val="TableContents"/>
              <w:bidi w:val="0"/>
              <w:spacing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(25.8)</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September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289.1</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2,084.3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2,390.3</w:t>
            </w:r>
          </w:p>
        </w:tc>
      </w:tr>
    </w:tbl>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605" w:name="Tc_lhtrWGp_dkq6q0miE_gsHA_25_16"/>
      <w:bookmarkStart w:id="606" w:name="Tc_hCU1SohBTkCKkEUyl-_gtA_25_13"/>
      <w:bookmarkStart w:id="607" w:name="Tc_1333csoT6kKCxFOugdekRQ_25_10"/>
      <w:bookmarkStart w:id="608" w:name="Tc__kpIUlQrUU6qwP405EP-Pw_25_7"/>
      <w:bookmarkStart w:id="609" w:name="Tc_TRhwMrGGSE6b3yeaeIuzBQ_25_4"/>
      <w:bookmarkStart w:id="610" w:name="Tc_0JgD7U9vX0CVY-ROgp7-OQ_25_0"/>
      <w:bookmarkStart w:id="611" w:name="Tc_1V8AtqgXqkes0WnPYwD0pA_24_11"/>
      <w:bookmarkStart w:id="612" w:name="Tc_rlfP__cc8UqprmfM1L588Q_24_0"/>
      <w:bookmarkStart w:id="613" w:name="Tc_leJrRi10302VL4Ton1_b7Q_23_11"/>
      <w:bookmarkStart w:id="614" w:name="Tc_hvgek_A6mUWlDyUiAc7xKw_23_8"/>
      <w:bookmarkStart w:id="615" w:name="Tc_GeunzZUb1EyYeel3WO5zxg_23_5"/>
      <w:bookmarkStart w:id="616" w:name="Tc_U8EAHhrfbUq8CqmhbUmqYg_23_2"/>
      <w:bookmarkStart w:id="617" w:name="Tc__PkBllJJ8E6B9EdJycyfMQ_23_0"/>
      <w:bookmarkStart w:id="618" w:name="Tc_rJWxJXf7W0yBjtQFAzk3ug_22_14"/>
      <w:bookmarkStart w:id="619" w:name="Tc_sZrVaZm0eUm0naQPyYS72g_22_11"/>
      <w:bookmarkStart w:id="620" w:name="Tc_LBsRit1AUEW_0Fs4RL7sug_22_5"/>
      <w:bookmarkStart w:id="621" w:name="Tc_2WhZh0rGaEe8bTG52DwcLg_22_2"/>
      <w:bookmarkStart w:id="622" w:name="Tc_HFi6jbXGTk2gqW0JidbtYQ_22_0"/>
      <w:bookmarkStart w:id="623" w:name="Tc_HP781X0YYkWHzhPsGeDZdg_21_14"/>
      <w:bookmarkStart w:id="624" w:name="Tc_f48hjRzJlE6Anx2tW11MFQ_21_8"/>
      <w:bookmarkStart w:id="625" w:name="Tc_k0zU2rc8uUSjxFcRF11mXQ_21_5"/>
      <w:bookmarkStart w:id="626" w:name="Tc_j4I8Qawnxkyb2KFDTnzRvQ_21_2"/>
      <w:bookmarkStart w:id="627" w:name="Tc_c9bLmma36UyJIH2KVM9-ag_21_0"/>
      <w:bookmarkStart w:id="628" w:name="Tc_1NXMOjWvNkKAk3WOc5Z6cw_20_11"/>
      <w:bookmarkStart w:id="629" w:name="Tc_NBVa-agrqESp-t-1qmxhog_20_8"/>
      <w:bookmarkStart w:id="630" w:name="Tc_7sSxssVgT0O00dpFga3uuQ_20_5"/>
      <w:bookmarkStart w:id="631" w:name="Tc_62Mbyu8lzUSETruH5oi-Pg_20_2"/>
      <w:bookmarkStart w:id="632" w:name="Tc_pWlwzlzDDUyoiZfre49gSw_20_0"/>
      <w:bookmarkStart w:id="633" w:name="Tc_-5nYr7mL7EeGB1e6c6YObg_19_0"/>
      <w:bookmarkStart w:id="634" w:name="Tc_EMeIegXkdUiz2Cx5B8bUkA_18_11"/>
      <w:bookmarkStart w:id="635" w:name="Tc_rth7OldeYkSoGAr5pUeELg_18_8"/>
      <w:bookmarkStart w:id="636" w:name="Tc_sGS-mghTBUqwdgQSd8xKtA_18_5"/>
      <w:bookmarkStart w:id="637" w:name="Tc_ZOlSZh8BF0-5cj-jDad5ZQ_18_2"/>
      <w:bookmarkStart w:id="638" w:name="Tc__0GBWiy4pEGFL6w6VkuoUA_18_0"/>
      <w:bookmarkStart w:id="639" w:name="Tc__MtPN9xVxkyoRzJJyKsJqQ_17_11"/>
      <w:bookmarkStart w:id="640" w:name="Tc_k2tls8vcEUWKxLDcVESL-Q_17_0"/>
      <w:bookmarkStart w:id="641" w:name="Tc_rXdEcMKs7UegRV5QwNcm0w_16_14"/>
      <w:bookmarkStart w:id="642" w:name="Tc_fG5_wzJHiESFHIHDZu1g3A_16_11"/>
      <w:bookmarkStart w:id="643" w:name="Tc_yMIhR0CZr0-MDKFdAvUC5Q_16_5"/>
      <w:bookmarkStart w:id="644" w:name="Tc_N1vmL9RLH06KT023-cKn8w_16_0"/>
      <w:bookmarkStart w:id="645" w:name="Tc_j8C1Of1uNU6_bQ7yqnYoUw_15_14"/>
      <w:bookmarkStart w:id="646" w:name="Tc_DPtzo4KYqkmX1gxc7HkRDg_15_11"/>
      <w:bookmarkStart w:id="647" w:name="Tc_uiEX07IcPk2aem6D9WNHGw_15_5"/>
      <w:bookmarkStart w:id="648" w:name="Tc_tzUnZbR9H0qfTXNe2fgt4w_15_2"/>
      <w:bookmarkStart w:id="649" w:name="Tc_1UkdbGksdE2UK0X8Zeh1QA_15_0"/>
      <w:bookmarkStart w:id="650" w:name="Tc_Z64jGsvTBU6G1IiO2n9yKg_14_14"/>
      <w:bookmarkStart w:id="651" w:name="Tc_5UOYGHs5okOSu9Z5W6Uheg_14_8"/>
      <w:bookmarkStart w:id="652" w:name="Tc_GYFMHU7GGU61EzyyC-0KaQ_14_5"/>
      <w:bookmarkStart w:id="653" w:name="Tc_dmrJJ95XGkKB1E8Zciumzw_14_2"/>
      <w:bookmarkStart w:id="654" w:name="Tc_KHXbgrfqB0i1QXFaEr9iCQ_14_0"/>
      <w:bookmarkStart w:id="655" w:name="Tc_tmxeCpZ2U0-rJshebsLwMw_13_11"/>
      <w:bookmarkStart w:id="656" w:name="Tc_03tmAdwUh02GiPfnrvQxEQ_13_8"/>
      <w:bookmarkStart w:id="657" w:name="Tc_-vTjIseGMEa2ADdeYxGODg_13_5"/>
      <w:bookmarkStart w:id="658" w:name="Tc_XlURkt6FC0aq8bJJynCaiA_13_2"/>
      <w:bookmarkStart w:id="659" w:name="Tc_QmagBJMNZ06b6FdtfIR0aw_13_0"/>
      <w:bookmarkStart w:id="660" w:name="Tc_Y4NP525BWUSrRFJFkz6O9w_12_0"/>
      <w:bookmarkStart w:id="661" w:name="Tc_wPIwJN_d8UiSNXLhtNWhow_11_11"/>
      <w:bookmarkStart w:id="662" w:name="Tc_KJukf1sdnUS3iVmlWf5J1w_11_8"/>
      <w:bookmarkStart w:id="663" w:name="Tc_Jw4y0AIkd0CD1XE2DnRrQQ_11_5"/>
      <w:bookmarkStart w:id="664" w:name="Tc_0bjjj87c9kSuDGQDtuM0aQ_11_2"/>
      <w:bookmarkStart w:id="665" w:name="Tc_YHEMU3Ha1kGrC-Bjbvb-Ew_11_0"/>
      <w:bookmarkStart w:id="666" w:name="Tc_NsivTKc6uU6-YdcEZzH0Dw_10_11"/>
      <w:bookmarkStart w:id="667" w:name="Tc_1t6gWjFxT0evPMtyUfaxmQ_10_0"/>
      <w:bookmarkStart w:id="668" w:name="Tc_x1tJQtp_30irJ_I8v9PT1A_9_14"/>
      <w:bookmarkStart w:id="669" w:name="Tc_NZpvLlbIlkmiY3GmRfu5DQ_9_11"/>
      <w:bookmarkStart w:id="670" w:name="Tc_sfKKuooDAkygopz9VEHbZg_9_0"/>
      <w:bookmarkStart w:id="671" w:name="Tc_fr8Nawc2E0KVopILum-08A_8_14"/>
      <w:bookmarkStart w:id="672" w:name="Tc_kVgW4fjk70OqjZb17n4U1A_8_11"/>
      <w:bookmarkStart w:id="673" w:name="Tc_UW9NnHjHj0Chon5d6j1DyA_8_5"/>
      <w:bookmarkStart w:id="674" w:name="Tc_monW9jKgCEuhnVs-G1iiLA_8_2"/>
      <w:bookmarkStart w:id="675" w:name="Tc_AoihSLpwPkKJJHCB8zvPXg_8_0"/>
      <w:bookmarkStart w:id="676" w:name="Tc_F5t8w9zAXk2eo8RWlCWQvg_7_14"/>
      <w:bookmarkStart w:id="677" w:name="Tc_qMQk1lld50mTPMlg2Kepog_7_8"/>
      <w:bookmarkStart w:id="678" w:name="Tc_p9rNp52m3k6GaUT4w74X-Q_7_5"/>
      <w:bookmarkStart w:id="679" w:name="Tc_8Y70IhrmIUuVO543woA86A_7_2"/>
      <w:bookmarkStart w:id="680" w:name="Tc_IpJ8ZwMQOEu1gfiTCldqrw_7_0"/>
      <w:bookmarkStart w:id="681" w:name="Tc_ViYMgggS0UasnylneNDEIA_6_11"/>
      <w:bookmarkStart w:id="682" w:name="Tc_7GJ3pf9a9k2B9cdKoPjhfA_6_8"/>
      <w:bookmarkStart w:id="683" w:name="Tc_HDJyywoeHUm_E9k4y2kxlg_6_5"/>
      <w:bookmarkStart w:id="684" w:name="Tc_k8o5JMxAUkWe7uxA5dtWkw_6_2"/>
      <w:bookmarkStart w:id="685" w:name="Tc_SMxKWH9LuEqUHn0zF-8NHQ_6_0"/>
      <w:bookmarkStart w:id="686" w:name="Tc_cMbLElSsX0OAEVJv5ujWrg_5_16"/>
      <w:bookmarkStart w:id="687" w:name="Tc_EvUxRdJz8U2ABRDP0mbs7g_5_13"/>
      <w:bookmarkStart w:id="688" w:name="Tc_6zClz106vkuq6CBunY95Ng_5_10"/>
      <w:bookmarkStart w:id="689" w:name="Tc_42fY8yoWCUiP6CIfKIBYUg_5_7"/>
      <w:bookmarkStart w:id="690" w:name="Tc_dNuoCOJcE0CXd3qzkGExgg_5_4"/>
      <w:bookmarkStart w:id="691" w:name="Tc_WkOwTk1IzkKsgSHHULA2PA_5_0"/>
      <w:bookmarkStart w:id="692" w:name="Tc_2WnMd6NzjkyDvZr7yWd2Cg_4_16"/>
      <w:bookmarkStart w:id="693" w:name="Tc_1Vb3q6OXrEyce6pIwClBgw_4_13"/>
      <w:bookmarkStart w:id="694" w:name="Tc_RpRRFR1FLkmSB00TF8zQRg_4_10"/>
      <w:bookmarkStart w:id="695" w:name="Tc_-KORg2Q4ekW3ARRY4bmBoA_4_7"/>
      <w:bookmarkStart w:id="696" w:name="Tc_zrGc2MQXA0O04fy29SHqog_4_4"/>
      <w:bookmarkStart w:id="697" w:name="Tc_pZSgItpcp0-fmEZvKEN0sg_4_2"/>
      <w:bookmarkStart w:id="698" w:name="Tc_U6q7I4jx2EaoYDviQruzxg_4_0"/>
      <w:bookmarkStart w:id="699" w:name="Tc_UEwJ4HPO70a-MNChSJX7Yg_3_13"/>
      <w:bookmarkStart w:id="700" w:name="Tc_iJShyCF08UGNaT1NJ-5fUg_3_10"/>
      <w:bookmarkStart w:id="701" w:name="Tc_y5RuKQRW_UefIfxEAnNWog_3_7"/>
      <w:bookmarkStart w:id="702" w:name="Tc_yy2IGMhQ10-k6mu4TVOTrQ_3_4"/>
      <w:bookmarkStart w:id="703" w:name="Tc_MctAt1ZxeUGhcs35YJivBQ_2_10"/>
      <w:bookmarkStart w:id="704" w:name="Tc_RYIWUwOflkmY042Dx-z63w_2_7"/>
      <w:bookmarkStart w:id="705" w:name="Tc_dZMfcmGBcEy5bq8YMnvMGg_2_2"/>
      <w:bookmarkStart w:id="706" w:name="Tc_wFHhVIApCUuTNbTkz8peLg_1_10"/>
      <w:bookmarkStart w:id="707" w:name="_b37e51c8_13fe_428b_9ad1_1dea474ee262"/>
      <w:bookmarkStart w:id="708" w:name="Tc_lhtrWGp_dkq6q0miE_gsHA_25_16"/>
      <w:bookmarkStart w:id="709" w:name="Tc_hCU1SohBTkCKkEUyl-_gtA_25_13"/>
      <w:bookmarkStart w:id="710" w:name="Tc_1333csoT6kKCxFOugdekRQ_25_10"/>
      <w:bookmarkStart w:id="711" w:name="Tc__kpIUlQrUU6qwP405EP-Pw_25_7"/>
      <w:bookmarkStart w:id="712" w:name="Tc_TRhwMrGGSE6b3yeaeIuzBQ_25_4"/>
      <w:bookmarkStart w:id="713" w:name="Tc_0JgD7U9vX0CVY-ROgp7-OQ_25_0"/>
      <w:bookmarkStart w:id="714" w:name="Tc_1V8AtqgXqkes0WnPYwD0pA_24_11"/>
      <w:bookmarkStart w:id="715" w:name="Tc_rlfP__cc8UqprmfM1L588Q_24_0"/>
      <w:bookmarkStart w:id="716" w:name="Tc_leJrRi10302VL4Ton1_b7Q_23_11"/>
      <w:bookmarkStart w:id="717" w:name="Tc_hvgek_A6mUWlDyUiAc7xKw_23_8"/>
      <w:bookmarkStart w:id="718" w:name="Tc_GeunzZUb1EyYeel3WO5zxg_23_5"/>
      <w:bookmarkStart w:id="719" w:name="Tc_U8EAHhrfbUq8CqmhbUmqYg_23_2"/>
      <w:bookmarkStart w:id="720" w:name="Tc__PkBllJJ8E6B9EdJycyfMQ_23_0"/>
      <w:bookmarkStart w:id="721" w:name="Tc_rJWxJXf7W0yBjtQFAzk3ug_22_14"/>
      <w:bookmarkStart w:id="722" w:name="Tc_sZrVaZm0eUm0naQPyYS72g_22_11"/>
      <w:bookmarkStart w:id="723" w:name="Tc_LBsRit1AUEW_0Fs4RL7sug_22_5"/>
      <w:bookmarkStart w:id="724" w:name="Tc_2WhZh0rGaEe8bTG52DwcLg_22_2"/>
      <w:bookmarkStart w:id="725" w:name="Tc_HFi6jbXGTk2gqW0JidbtYQ_22_0"/>
      <w:bookmarkStart w:id="726" w:name="Tc_HP781X0YYkWHzhPsGeDZdg_21_14"/>
      <w:bookmarkStart w:id="727" w:name="Tc_f48hjRzJlE6Anx2tW11MFQ_21_8"/>
      <w:bookmarkStart w:id="728" w:name="Tc_k0zU2rc8uUSjxFcRF11mXQ_21_5"/>
      <w:bookmarkStart w:id="729" w:name="Tc_j4I8Qawnxkyb2KFDTnzRvQ_21_2"/>
      <w:bookmarkStart w:id="730" w:name="Tc_c9bLmma36UyJIH2KVM9-ag_21_0"/>
      <w:bookmarkStart w:id="731" w:name="Tc_1NXMOjWvNkKAk3WOc5Z6cw_20_11"/>
      <w:bookmarkStart w:id="732" w:name="Tc_NBVa-agrqESp-t-1qmxhog_20_8"/>
      <w:bookmarkStart w:id="733" w:name="Tc_7sSxssVgT0O00dpFga3uuQ_20_5"/>
      <w:bookmarkStart w:id="734" w:name="Tc_62Mbyu8lzUSETruH5oi-Pg_20_2"/>
      <w:bookmarkStart w:id="735" w:name="Tc_pWlwzlzDDUyoiZfre49gSw_20_0"/>
      <w:bookmarkStart w:id="736" w:name="Tc_-5nYr7mL7EeGB1e6c6YObg_19_0"/>
      <w:bookmarkStart w:id="737" w:name="Tc_EMeIegXkdUiz2Cx5B8bUkA_18_11"/>
      <w:bookmarkStart w:id="738" w:name="Tc_rth7OldeYkSoGAr5pUeELg_18_8"/>
      <w:bookmarkStart w:id="739" w:name="Tc_sGS-mghTBUqwdgQSd8xKtA_18_5"/>
      <w:bookmarkStart w:id="740" w:name="Tc_ZOlSZh8BF0-5cj-jDad5ZQ_18_2"/>
      <w:bookmarkStart w:id="741" w:name="Tc__0GBWiy4pEGFL6w6VkuoUA_18_0"/>
      <w:bookmarkStart w:id="742" w:name="Tc__MtPN9xVxkyoRzJJyKsJqQ_17_11"/>
      <w:bookmarkStart w:id="743" w:name="Tc_k2tls8vcEUWKxLDcVESL-Q_17_0"/>
      <w:bookmarkStart w:id="744" w:name="Tc_rXdEcMKs7UegRV5QwNcm0w_16_14"/>
      <w:bookmarkStart w:id="745" w:name="Tc_fG5_wzJHiESFHIHDZu1g3A_16_11"/>
      <w:bookmarkStart w:id="746" w:name="Tc_yMIhR0CZr0-MDKFdAvUC5Q_16_5"/>
      <w:bookmarkStart w:id="747" w:name="Tc_N1vmL9RLH06KT023-cKn8w_16_0"/>
      <w:bookmarkStart w:id="748" w:name="Tc_j8C1Of1uNU6_bQ7yqnYoUw_15_14"/>
      <w:bookmarkStart w:id="749" w:name="Tc_DPtzo4KYqkmX1gxc7HkRDg_15_11"/>
      <w:bookmarkStart w:id="750" w:name="Tc_uiEX07IcPk2aem6D9WNHGw_15_5"/>
      <w:bookmarkStart w:id="751" w:name="Tc_tzUnZbR9H0qfTXNe2fgt4w_15_2"/>
      <w:bookmarkStart w:id="752" w:name="Tc_1UkdbGksdE2UK0X8Zeh1QA_15_0"/>
      <w:bookmarkStart w:id="753" w:name="Tc_Z64jGsvTBU6G1IiO2n9yKg_14_14"/>
      <w:bookmarkStart w:id="754" w:name="Tc_5UOYGHs5okOSu9Z5W6Uheg_14_8"/>
      <w:bookmarkStart w:id="755" w:name="Tc_GYFMHU7GGU61EzyyC-0KaQ_14_5"/>
      <w:bookmarkStart w:id="756" w:name="Tc_dmrJJ95XGkKB1E8Zciumzw_14_2"/>
      <w:bookmarkStart w:id="757" w:name="Tc_KHXbgrfqB0i1QXFaEr9iCQ_14_0"/>
      <w:bookmarkStart w:id="758" w:name="Tc_tmxeCpZ2U0-rJshebsLwMw_13_11"/>
      <w:bookmarkStart w:id="759" w:name="Tc_03tmAdwUh02GiPfnrvQxEQ_13_8"/>
      <w:bookmarkStart w:id="760" w:name="Tc_-vTjIseGMEa2ADdeYxGODg_13_5"/>
      <w:bookmarkStart w:id="761" w:name="Tc_XlURkt6FC0aq8bJJynCaiA_13_2"/>
      <w:bookmarkStart w:id="762" w:name="Tc_QmagBJMNZ06b6FdtfIR0aw_13_0"/>
      <w:bookmarkStart w:id="763" w:name="Tc_Y4NP525BWUSrRFJFkz6O9w_12_0"/>
      <w:bookmarkStart w:id="764" w:name="Tc_wPIwJN_d8UiSNXLhtNWhow_11_11"/>
      <w:bookmarkStart w:id="765" w:name="Tc_KJukf1sdnUS3iVmlWf5J1w_11_8"/>
      <w:bookmarkStart w:id="766" w:name="Tc_Jw4y0AIkd0CD1XE2DnRrQQ_11_5"/>
      <w:bookmarkStart w:id="767" w:name="Tc_0bjjj87c9kSuDGQDtuM0aQ_11_2"/>
      <w:bookmarkStart w:id="768" w:name="Tc_YHEMU3Ha1kGrC-Bjbvb-Ew_11_0"/>
      <w:bookmarkStart w:id="769" w:name="Tc_NsivTKc6uU6-YdcEZzH0Dw_10_11"/>
      <w:bookmarkStart w:id="770" w:name="Tc_1t6gWjFxT0evPMtyUfaxmQ_10_0"/>
      <w:bookmarkStart w:id="771" w:name="Tc_x1tJQtp_30irJ_I8v9PT1A_9_14"/>
      <w:bookmarkStart w:id="772" w:name="Tc_NZpvLlbIlkmiY3GmRfu5DQ_9_11"/>
      <w:bookmarkStart w:id="773" w:name="Tc_sfKKuooDAkygopz9VEHbZg_9_0"/>
      <w:bookmarkStart w:id="774" w:name="Tc_fr8Nawc2E0KVopILum-08A_8_14"/>
      <w:bookmarkStart w:id="775" w:name="Tc_kVgW4fjk70OqjZb17n4U1A_8_11"/>
      <w:bookmarkStart w:id="776" w:name="Tc_UW9NnHjHj0Chon5d6j1DyA_8_5"/>
      <w:bookmarkStart w:id="777" w:name="Tc_monW9jKgCEuhnVs-G1iiLA_8_2"/>
      <w:bookmarkStart w:id="778" w:name="Tc_AoihSLpwPkKJJHCB8zvPXg_8_0"/>
      <w:bookmarkStart w:id="779" w:name="Tc_F5t8w9zAXk2eo8RWlCWQvg_7_14"/>
      <w:bookmarkStart w:id="780" w:name="Tc_qMQk1lld50mTPMlg2Kepog_7_8"/>
      <w:bookmarkStart w:id="781" w:name="Tc_p9rNp52m3k6GaUT4w74X-Q_7_5"/>
      <w:bookmarkStart w:id="782" w:name="Tc_8Y70IhrmIUuVO543woA86A_7_2"/>
      <w:bookmarkStart w:id="783" w:name="Tc_IpJ8ZwMQOEu1gfiTCldqrw_7_0"/>
      <w:bookmarkStart w:id="784" w:name="Tc_ViYMgggS0UasnylneNDEIA_6_11"/>
      <w:bookmarkStart w:id="785" w:name="Tc_7GJ3pf9a9k2B9cdKoPjhfA_6_8"/>
      <w:bookmarkStart w:id="786" w:name="Tc_HDJyywoeHUm_E9k4y2kxlg_6_5"/>
      <w:bookmarkStart w:id="787" w:name="Tc_k8o5JMxAUkWe7uxA5dtWkw_6_2"/>
      <w:bookmarkStart w:id="788" w:name="Tc_SMxKWH9LuEqUHn0zF-8NHQ_6_0"/>
      <w:bookmarkStart w:id="789" w:name="Tc_cMbLElSsX0OAEVJv5ujWrg_5_16"/>
      <w:bookmarkStart w:id="790" w:name="Tc_EvUxRdJz8U2ABRDP0mbs7g_5_13"/>
      <w:bookmarkStart w:id="791" w:name="Tc_6zClz106vkuq6CBunY95Ng_5_10"/>
      <w:bookmarkStart w:id="792" w:name="Tc_42fY8yoWCUiP6CIfKIBYUg_5_7"/>
      <w:bookmarkStart w:id="793" w:name="Tc_dNuoCOJcE0CXd3qzkGExgg_5_4"/>
      <w:bookmarkStart w:id="794" w:name="Tc_WkOwTk1IzkKsgSHHULA2PA_5_0"/>
      <w:bookmarkStart w:id="795" w:name="Tc_2WnMd6NzjkyDvZr7yWd2Cg_4_16"/>
      <w:bookmarkStart w:id="796" w:name="Tc_1Vb3q6OXrEyce6pIwClBgw_4_13"/>
      <w:bookmarkStart w:id="797" w:name="Tc_RpRRFR1FLkmSB00TF8zQRg_4_10"/>
      <w:bookmarkStart w:id="798" w:name="Tc_-KORg2Q4ekW3ARRY4bmBoA_4_7"/>
      <w:bookmarkStart w:id="799" w:name="Tc_zrGc2MQXA0O04fy29SHqog_4_4"/>
      <w:bookmarkStart w:id="800" w:name="Tc_pZSgItpcp0-fmEZvKEN0sg_4_2"/>
      <w:bookmarkStart w:id="801" w:name="Tc_U6q7I4jx2EaoYDviQruzxg_4_0"/>
      <w:bookmarkStart w:id="802" w:name="Tc_UEwJ4HPO70a-MNChSJX7Yg_3_13"/>
      <w:bookmarkStart w:id="803" w:name="Tc_iJShyCF08UGNaT1NJ-5fUg_3_10"/>
      <w:bookmarkStart w:id="804" w:name="Tc_y5RuKQRW_UefIfxEAnNWog_3_7"/>
      <w:bookmarkStart w:id="805" w:name="Tc_yy2IGMhQ10-k6mu4TVOTrQ_3_4"/>
      <w:bookmarkStart w:id="806" w:name="Tc_MctAt1ZxeUGhcs35YJivBQ_2_10"/>
      <w:bookmarkStart w:id="807" w:name="Tc_RYIWUwOflkmY042Dx-z63w_2_7"/>
      <w:bookmarkStart w:id="808" w:name="Tc_dZMfcmGBcEy5bq8YMnvMGg_2_2"/>
      <w:bookmarkStart w:id="809" w:name="Tc_wFHhVIApCUuTNbTkz8peLg_1_10"/>
      <w:bookmarkStart w:id="810" w:name="_b37e51c8_13fe_428b_9ad1_1dea474ee262"/>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tbl>
      <w:tblPr>
        <w:tblW w:w="10205" w:type="dxa"/>
        <w:jc w:val="left"/>
        <w:tblInd w:w="0" w:type="dxa"/>
        <w:tblLayout w:type="fixed"/>
        <w:tblCellMar>
          <w:top w:w="0" w:type="dxa"/>
          <w:left w:w="0" w:type="dxa"/>
          <w:bottom w:w="0" w:type="dxa"/>
          <w:right w:w="0" w:type="dxa"/>
        </w:tblCellMar>
      </w:tblPr>
      <w:tblGrid>
        <w:gridCol w:w="3272"/>
        <w:gridCol w:w="326"/>
        <w:gridCol w:w="511"/>
        <w:gridCol w:w="326"/>
        <w:gridCol w:w="211"/>
        <w:gridCol w:w="474"/>
        <w:gridCol w:w="326"/>
        <w:gridCol w:w="211"/>
        <w:gridCol w:w="579"/>
        <w:gridCol w:w="326"/>
        <w:gridCol w:w="291"/>
        <w:gridCol w:w="730"/>
        <w:gridCol w:w="326"/>
        <w:gridCol w:w="211"/>
        <w:gridCol w:w="721"/>
        <w:gridCol w:w="326"/>
        <w:gridCol w:w="211"/>
        <w:gridCol w:w="827"/>
      </w:tblGrid>
      <w:tr>
        <w:trPr/>
        <w:tc>
          <w:tcPr>
            <w:tcW w:w="3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7720" cy="175260"/>
                      <wp:effectExtent l="0" t="0" r="0" b="0"/>
                      <wp:wrapNone/>
                      <wp:docPr id="49" name="Frame49"/>
                      <a:graphic xmlns:a="http://schemas.openxmlformats.org/drawingml/2006/main">
                        <a:graphicData uri="http://schemas.microsoft.com/office/word/2010/wordprocessingShape">
                          <wps:wsp>
                            <wps:cNvSpPr txBox="1"/>
                            <wps:spPr>
                              <a:xfrm>
                                <a:off x="0" y="0"/>
                                <a:ext cx="2077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324485" cy="175260"/>
                      <wp:effectExtent l="0" t="0" r="0" b="0"/>
                      <wp:wrapNone/>
                      <wp:docPr id="51" name="Frame5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3"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300990" cy="175260"/>
                      <wp:effectExtent l="0" t="0" r="0" b="0"/>
                      <wp:wrapNone/>
                      <wp:docPr id="54" name="Frame54"/>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6"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367665" cy="175260"/>
                      <wp:effectExtent l="0" t="0" r="0" b="0"/>
                      <wp:wrapNone/>
                      <wp:docPr id="57" name="Frame57"/>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84785" cy="175260"/>
                      <wp:effectExtent l="0" t="0" r="0" b="0"/>
                      <wp:wrapNone/>
                      <wp:docPr id="59" name="Frame59"/>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63550" cy="175260"/>
                      <wp:effectExtent l="0" t="0" r="0" b="0"/>
                      <wp:wrapNone/>
                      <wp:docPr id="60" name="Frame60"/>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62"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57835" cy="175260"/>
                      <wp:effectExtent l="0" t="0" r="0" b="0"/>
                      <wp:wrapNone/>
                      <wp:docPr id="63" name="Frame6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5"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25145" cy="175260"/>
                      <wp:effectExtent l="0" t="0" r="0" b="0"/>
                      <wp:wrapNone/>
                      <wp:docPr id="66" name="Frame66"/>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2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center"/>
              <w:rPr/>
            </w:pPr>
            <w:r>
              <w:rPr/>
              <w:t>​</w:t>
            </w:r>
          </w:p>
        </w:tc>
        <w:tc>
          <w:tcPr>
            <w:tcW w:w="79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8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Stated</w:t>
            </w:r>
          </w:p>
        </w:tc>
        <w:tc>
          <w:tcPr>
            <w:tcW w:w="326" w:type="dxa"/>
            <w:tcBorders/>
            <w:vAlign w:val="center"/>
          </w:tcPr>
          <w:p>
            <w:pPr>
              <w:pStyle w:val="TableContents"/>
              <w:bidi w:val="0"/>
              <w:spacing w:before="0" w:after="0"/>
              <w:ind w:left="0" w:right="0" w:hanging="0"/>
              <w:jc w:val="center"/>
              <w:rPr/>
            </w:pPr>
            <w:r>
              <w:rPr/>
              <w:t>​</w:t>
            </w:r>
          </w:p>
        </w:tc>
        <w:tc>
          <w:tcPr>
            <w:tcW w:w="79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 In</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vAlign w:val="center"/>
          </w:tcPr>
          <w:p>
            <w:pPr>
              <w:pStyle w:val="TableContents"/>
              <w:bidi w:val="0"/>
              <w:spacing w:before="0" w:after="0"/>
              <w:ind w:left="0" w:right="0" w:hanging="0"/>
              <w:jc w:val="center"/>
              <w:rPr/>
            </w:pPr>
            <w:r>
              <w:rPr/>
              <w:t>​</w:t>
            </w:r>
          </w:p>
        </w:tc>
        <w:tc>
          <w:tcPr>
            <w:tcW w:w="932"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4"/>
              </w:rPr>
              <w:t>Retained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27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(In millions, except per share amounts)</w:t>
            </w:r>
          </w:p>
        </w:tc>
        <w:tc>
          <w:tcPr>
            <w:tcW w:w="326" w:type="dxa"/>
            <w:tcBorders/>
            <w:vAlign w:val="center"/>
          </w:tcPr>
          <w:p>
            <w:pPr>
              <w:pStyle w:val="TableContents"/>
              <w:bidi w:val="0"/>
              <w:spacing w:before="0" w:after="0"/>
              <w:ind w:left="0" w:right="0" w:hanging="0"/>
              <w:jc w:val="center"/>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center"/>
              <w:rPr/>
            </w:pPr>
            <w:r>
              <w:rPr/>
              <w:t>    </w:t>
            </w:r>
          </w:p>
        </w:tc>
        <w:tc>
          <w:tcPr>
            <w:tcW w:w="6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c>
          <w:tcPr>
            <w:tcW w:w="326" w:type="dxa"/>
            <w:tcBorders/>
            <w:vAlign w:val="center"/>
          </w:tcPr>
          <w:p>
            <w:pPr>
              <w:pStyle w:val="TableContents"/>
              <w:bidi w:val="0"/>
              <w:spacing w:before="0" w:after="0"/>
              <w:ind w:left="0" w:right="0" w:hanging="0"/>
              <w:jc w:val="center"/>
              <w:rPr/>
            </w:pPr>
            <w:r>
              <w:rPr/>
              <w:t>    </w:t>
            </w:r>
          </w:p>
        </w:tc>
        <w:tc>
          <w:tcPr>
            <w:tcW w:w="7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0"/>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Income (Loss)</w:t>
            </w:r>
          </w:p>
        </w:tc>
        <w:tc>
          <w:tcPr>
            <w:tcW w:w="326" w:type="dxa"/>
            <w:tcBorders/>
            <w:vAlign w:val="center"/>
          </w:tcPr>
          <w:p>
            <w:pPr>
              <w:pStyle w:val="TableContents"/>
              <w:bidi w:val="0"/>
              <w:spacing w:before="0" w:after="0"/>
              <w:ind w:left="0" w:right="0" w:hanging="0"/>
              <w:jc w:val="center"/>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26" w:type="dxa"/>
            <w:tcBorders/>
            <w:vAlign w:val="center"/>
          </w:tcPr>
          <w:p>
            <w:pPr>
              <w:pStyle w:val="TableContents"/>
              <w:bidi w:val="0"/>
              <w:spacing w:before="0" w:after="0"/>
              <w:ind w:left="0" w:right="0" w:hanging="0"/>
              <w:jc w:val="center"/>
              <w:rPr/>
            </w:pPr>
            <w:r>
              <w:rPr/>
              <w:t>    </w:t>
            </w:r>
          </w:p>
        </w:tc>
        <w:tc>
          <w:tcPr>
            <w:tcW w:w="103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4"/>
              </w:rPr>
              <w:t>Total      </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December 31, 2021</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314.1</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1,353.5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1,667.4</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339.2</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income (loss), net of tax</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0.2</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Share-based compensation</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issued, net of shares withheld for employee taxes</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(19.5)</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7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(19.3)</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repurchased</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7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(68.6)</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Dividends ($0.30</w:t>
            </w:r>
            <w:r>
              <w:rPr>
                <w:rFonts w:ascii="Times New Roman;Times;serif" w:hAnsi="Times New Roman;Times;serif"/>
                <w:sz w:val="18"/>
              </w:rPr>
              <w:t xml:space="preserve"> </w:t>
            </w:r>
            <w:r>
              <w:rPr>
                <w:rFonts w:ascii="Times New Roman;Times;serif" w:hAnsi="Times New Roman;Times;serif"/>
                <w:sz w:val="19"/>
              </w:rPr>
              <w:t>per share)</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(12.9)</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March 31, 2022</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296.2</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730"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1,614.8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1,910.7</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7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380.7</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income (loss), net of tax</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(0.8)</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7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issued, net of shares withheld for employee taxes</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(0.2)</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(0.2)</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repurchased</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(7.0)</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(138.1)</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Dividends ($0.30</w:t>
            </w:r>
            <w:r>
              <w:rPr>
                <w:rFonts w:ascii="Times New Roman;Times;serif" w:hAnsi="Times New Roman;Times;serif"/>
                <w:sz w:val="18"/>
              </w:rPr>
              <w:t xml:space="preserve"> </w:t>
            </w:r>
            <w:r>
              <w:rPr>
                <w:rFonts w:ascii="Times New Roman;Times;serif" w:hAnsi="Times New Roman;Times;serif"/>
                <w:sz w:val="19"/>
              </w:rPr>
              <w:t>per share and $0.31</w:t>
            </w:r>
            <w:r>
              <w:rPr>
                <w:rFonts w:ascii="Times New Roman;Times;serif" w:hAnsi="Times New Roman;Times;serif"/>
                <w:sz w:val="18"/>
              </w:rPr>
              <w:t xml:space="preserve"> </w:t>
            </w:r>
            <w:r>
              <w:rPr>
                <w:rFonts w:ascii="Times New Roman;Times;serif" w:hAnsi="Times New Roman;Times;serif"/>
                <w:sz w:val="19"/>
              </w:rPr>
              <w:t>per share)</w:t>
            </w:r>
          </w:p>
        </w:tc>
        <w:tc>
          <w:tcPr>
            <w:tcW w:w="32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(24.4)</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June 30, 2022</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294.7</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1,841.2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2,133.6</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266.0</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income (loss), net of tax</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Share-based compensation</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5.1</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5.1</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Equity interest in SSAT</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7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(15.5)</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repurchased</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(9.4)</w:t>
            </w:r>
          </w:p>
        </w:tc>
        <w:tc>
          <w:tcPr>
            <w:tcW w:w="326"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(77.7)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(88.0)</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September 30, 2022</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290.4</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2,014.0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2,298.6</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11" w:name="_14efc891_a251_4ff9_8379_64161fd6d610"/>
      <w:bookmarkEnd w:id="811"/>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812" w:name="NOTESTOTHECONDENSEDCONSOLIDATEDFINANICAL"/>
      <w:bookmarkEnd w:id="812"/>
      <w:r>
        <w:rPr>
          <w:rFonts w:ascii="Times New Roman;Times;serif" w:hAnsi="Times New Roman;Times;serif"/>
          <w:b/>
          <w:sz w:val="20"/>
        </w:rPr>
        <w:t>NOTES TO THE CONDENSED CONSOLIDATED FINANICAL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          DESCRIPTION OF THE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Inc., a holding company incorporated in the State of Hawaii, and its subsidiaries (“Matson” or the “Company”), is a leading provider of ocean transportation and logistics services. The Company consists of two segments, Ocean Transportation and Logistics: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Ocean Transportation:</w:t>
      </w:r>
      <w:r>
        <w:rPr>
          <w:rFonts w:ascii="Times New Roman;Times;serif" w:hAnsi="Times New Roman;Times;serif"/>
          <w:sz w:val="20"/>
        </w:rPr>
        <w:t xml:space="preserve"> Matson’s Ocean Transportation business is conducted through Matson Navigation Company, Inc. (“MatNav”), a wholly-owned subsidiary of Matson, Inc. Founded in 1882, MatNav provides a vital lifeline of ocean freight transportation services to the domestic non-contiguous economies of Hawaii, Alaska and Guam, and to other island economies in Micronesia. MatNav also operates premium, expedited services from China to Long Beach, California, provides services to Okinawa, Japan and various islands in the South Pacific, and operates an international export service from ports in Alaska to Asia. In addition, subsidiaries of MatNav provide stevedoring, refrigerated cargo services, inland transportation and other terminal services for MatNav on the Hawaiian islands of Oahu, Hawaii, Maui and Kauai, and for MatNav and other ocean carriers in Alaska.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has a 35 percent ownership interest in SSA Terminals, LLC, a joint venture between Matson Ventures, Inc., a wholly-owned subsidiary of MatNav, and SSA Ventures, Inc., a subsidiary of Carrix, Inc. (“SSAT”). SSAT currently provides terminal and stevedoring services to various carriers at eight terminal facilities on the U.S. West Coast, including three facilities dedicated for MatNav’s use. Matson records its share of income from SSAT in costs and expenses in the Condensed Consolidated Statements of Income and Comprehensive Income, and within the Ocean Transportation segment due to the nature of SSAT’s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Logistics:</w:t>
      </w:r>
      <w:r>
        <w:rPr>
          <w:rFonts w:ascii="Times New Roman;Times;serif" w:hAnsi="Times New Roman;Times;serif"/>
          <w:sz w:val="20"/>
        </w:rPr>
        <w:t xml:space="preserve"> Matson’s logistics business is conducted through Matson Logistics, Inc. (“Matson Logistics”), a wholly-owned subsidiary of MatNav. Established in 1987, Matson Logistics extends the geographic reach of Matson’s transportation network throughout North America and Asia, and is an asset-light business that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trans-loading, value-added packaging and distribution services (collectively, “Warehousing” services); and (iv) supply chain management, non-vessel operating common carrier (“NVOCC”) freight forwarding and other services.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          GENERAL AND SIGNIFICANT ACCOUNTING POLICIES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Basis of Presentation:</w:t>
      </w:r>
      <w:r>
        <w:rPr>
          <w:rFonts w:ascii="Times New Roman;Times;serif" w:hAnsi="Times New Roman;Times;serif"/>
          <w:sz w:val="20"/>
        </w:rPr>
        <w:t xml:space="preserve"> The Condensed Consolidated Financial Statements are unaudited, and include the accounts of Matson, Inc. and all wholly-owned subsidiaries, after elimination of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The Company accounts for its investment in SSAT using the equity method of accounting.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Due to the nature of the Company’s operations, the results for interim 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consolidated financial statements.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Condensed Consolidated Financial Statements should be read in conjunction with the Consolidated Financial Statements and notes thereto included in the Company’s Annual Report on Form 10-K for the year ended December 31, 2022, filed with the Securities and Exchange Commission (“SEC”) on February 24, 2023.</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813" w:name="Tc_NwVESRqHS0qVSYvKn9Cf3w_8_11"/>
      <w:bookmarkStart w:id="814" w:name="Tc_Y4etAzeVMUSIRYG2-gL3AA_8_8"/>
      <w:bookmarkStart w:id="815" w:name="Tc_4SU6r6tlTE2aAVe-1B4L2Q_8_5"/>
      <w:bookmarkStart w:id="816" w:name="Tc_hUbZy3R7Uk-l-L8Jk_Ljww_8_2"/>
      <w:bookmarkStart w:id="817" w:name="Tc_si0IY6hBKU6LymmBSpse1g_8_0"/>
      <w:bookmarkStart w:id="818" w:name="Tc_na_uiRgQkkK_ctovsWcOlw_7_0"/>
      <w:bookmarkStart w:id="819" w:name="Tc_UAVXFanpQ0CUErY7m9y2WQ_6_0"/>
      <w:bookmarkStart w:id="820" w:name="Tc_ZBkP2trd1EOwtYjABuPRYQ_5_0"/>
      <w:bookmarkStart w:id="821" w:name="Tc_rXCMgXYCh0iw2CAAHgDO9Q_4_11"/>
      <w:bookmarkStart w:id="822" w:name="Tc_XhAvVIRnXUmfUQDM8fK-lw_4_8"/>
      <w:bookmarkStart w:id="823" w:name="Tc_K-9S0Kd_eUKQYP3orM047g_4_5"/>
      <w:bookmarkStart w:id="824" w:name="Tc_Ar13nj_4ZUSFzwf8P5Rn9A_4_2"/>
      <w:bookmarkStart w:id="825" w:name="Tc_EcEAfZVlKk218wppzmc6oQ_4_0"/>
      <w:bookmarkStart w:id="826" w:name="Tc_4sD3zCcGoEqbDaPjqzQ_2A_3_11"/>
      <w:bookmarkStart w:id="827" w:name="Tc_0zL3Adij7kO_T1cZdHV3eg_3_8"/>
      <w:bookmarkStart w:id="828" w:name="Tc_aYIODFZFlka35Hi5QtC4CQ_3_5"/>
      <w:bookmarkStart w:id="829" w:name="Tc_NhnUy81pgk2qF4SYF6Ystg_3_2"/>
      <w:bookmarkStart w:id="830" w:name="Tc_M1SbtXpo90-UCulcwNPw5w_3_0"/>
      <w:bookmarkStart w:id="831" w:name="Tc_GUwHdxU3AkeVQvwoNxVJuQ_2_8"/>
      <w:bookmarkStart w:id="832" w:name="Tc_-1b0SxOxwkK_6aGtgkM17g_2_2"/>
      <w:bookmarkStart w:id="833" w:name="Tc_hqb3zBEXhkOyTaZQ0oBWcg_1_8"/>
      <w:bookmarkStart w:id="834" w:name="Tc_f27UmeugpEeN_Diu1HCUfQ_1_2"/>
      <w:bookmarkStart w:id="835" w:name="_9c390c95_6a03_4dd1_88e9_a2cd103bb29e"/>
      <w:bookmarkStart w:id="836" w:name="Tc_QncycqDHIUepEp94r2rHfg_10_5"/>
      <w:bookmarkStart w:id="837" w:name="Tc_bTCbsic-Xkaot7-7iTM_lA_10_2"/>
      <w:bookmarkStart w:id="838" w:name="Tc_Ywy5U4jvHU228gLIBp3Bvg_10_0"/>
      <w:bookmarkStart w:id="839" w:name="Tc_R1G0JIjzqUew7RXEVHWKVA_9_0"/>
      <w:bookmarkStart w:id="840" w:name="Tc_uc4_x35HKUKbiFJDV7l7mQ_8_0"/>
      <w:bookmarkStart w:id="841" w:name="Tc_kPXunN1i_UGbDBzTBtDHMw_7_0"/>
      <w:bookmarkStart w:id="842" w:name="Tc_5o8EjbYtNUC3-0tgWvFRbg_6_0"/>
      <w:bookmarkStart w:id="843" w:name="Tc_ixUlNZq-SECua8y9IWF1FA_5_0"/>
      <w:bookmarkStart w:id="844" w:name="Tc_nMTCtwMaCUSBUGp-hnfbEg_4_0"/>
      <w:bookmarkStart w:id="845" w:name="Tc_KWUCKnlcvEqxMCcrBi0Wkg_3_5"/>
      <w:bookmarkStart w:id="846" w:name="Tc_YuUf0W8xQEWfNfVlgJ7VVg_3_2"/>
      <w:bookmarkStart w:id="847" w:name="Tc_Z_TV4s59zUSo7Mr92jGm6A_3_0"/>
      <w:bookmarkStart w:id="848" w:name="Tc_ZNqcWzDzOUuf_6Kz5CJLQg_2_5"/>
      <w:bookmarkStart w:id="849" w:name="Tc_3KTA0FrvkEa3f-1PG2XXMA_2_2"/>
      <w:bookmarkStart w:id="850" w:name="Tc_qmIvoBQbM0m58EAY2mryhQ_2_0"/>
      <w:bookmarkStart w:id="851" w:name="Tc_9wD-yKCJWUWQHkGwAbyFeg_1_5"/>
      <w:bookmarkStart w:id="852" w:name="Tc_vl5nhgosmkagVSpmp0tSYA_1_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r>
        <w:rPr>
          <w:rFonts w:ascii="Times New Roman;Times;serif" w:hAnsi="Times New Roman;Times;serif"/>
          <w:b/>
          <w:i/>
          <w:sz w:val="20"/>
        </w:rPr>
        <w:t>Fiscal Period:</w:t>
      </w:r>
      <w:r>
        <w:rPr>
          <w:rFonts w:ascii="Times New Roman;Times;serif" w:hAnsi="Times New Roman;Times;serif"/>
          <w:sz w:val="20"/>
        </w:rPr>
        <w:t xml:space="preserve"> The period end for Matson covered by this report is September 30, 2023. The period end for MatNav and its subsidiaries covered by this report is September 29,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Significant Accounting Policies:</w:t>
      </w:r>
      <w:r>
        <w:rPr>
          <w:rFonts w:ascii="Times New Roman;Times;serif" w:hAnsi="Times New Roman;Times;serif"/>
          <w:sz w:val="20"/>
        </w:rPr>
        <w:t xml:space="preserve"> The Company’s significant accounting policies are described in Note 2 to the Consolidated Financial Statements included in Part II, Item 8 of the Company’s Annual Report on Form 10-K for the year ended December 31, 2022.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Use of Estimates:</w:t>
      </w:r>
      <w:r>
        <w:rPr>
          <w:rFonts w:ascii="Times New Roman;Times;serif" w:hAnsi="Times New Roman;Times;serif"/>
          <w:sz w:val="20"/>
        </w:rPr>
        <w:t xml:space="preserve"> The preparation of the interim Condensed Consolidated Financial Statements in conformity with accounting principles generally accepted in the U.S. requires management to make estimates and assumptions that affect the amounts reported. Estimates and assumptions are used for, but not limited to: impairment of investments; impairment of long-lived assets, intangible assets and goodwill; capitalized interest; allowance for doubtful accounts and other receivables; legal contingencies; insurance reserves and other related liabilities; accrual estimates; pension and post-retirement estimates; multi-employer withdrawal liabilities; operating lease assets and liabilities; income (loss) from SSAT; and income taxes. Future results could be materially affected if actual results differ from these estimates and assumptions.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Prepaid Expenses and Other Assets:</w:t>
      </w:r>
      <w:r>
        <w:rPr>
          <w:rFonts w:ascii="Times New Roman;Times;serif" w:hAnsi="Times New Roman;Times;serif"/>
          <w:sz w:val="20"/>
        </w:rPr>
        <w:t xml:space="preserve"> Prepaid expenses and other assets consisted of the following at September 30, 2023 and December 31, 2022:</w:t>
      </w:r>
    </w:p>
    <w:p>
      <w:pPr>
        <w:pStyle w:val="TextBody"/>
        <w:bidi w:val="0"/>
        <w:spacing w:before="0" w:after="0"/>
        <w:ind w:left="0" w:right="0" w:hanging="0"/>
        <w:jc w:val="left"/>
        <w:rPr/>
      </w:pPr>
      <w:r>
        <w:rPr/>
        <w:t>​</w:t>
      </w:r>
    </w:p>
    <w:tbl>
      <w:tblPr>
        <w:tblW w:w="7313" w:type="dxa"/>
        <w:jc w:val="left"/>
        <w:tblInd w:w="0" w:type="dxa"/>
        <w:tblLayout w:type="fixed"/>
        <w:tblCellMar>
          <w:top w:w="0" w:type="dxa"/>
          <w:left w:w="0" w:type="dxa"/>
          <w:bottom w:w="0" w:type="dxa"/>
          <w:right w:w="0" w:type="dxa"/>
        </w:tblCellMar>
      </w:tblPr>
      <w:tblGrid>
        <w:gridCol w:w="4291"/>
        <w:gridCol w:w="326"/>
        <w:gridCol w:w="319"/>
        <w:gridCol w:w="866"/>
        <w:gridCol w:w="326"/>
        <w:gridCol w:w="281"/>
        <w:gridCol w:w="904"/>
      </w:tblGrid>
      <w:tr>
        <w:trPr/>
        <w:tc>
          <w:tcPr>
            <w:tcW w:w="4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724785" cy="175260"/>
                      <wp:effectExtent l="0" t="0" r="0" b="0"/>
                      <wp:wrapNone/>
                      <wp:docPr id="67" name="Frame67"/>
                      <a:graphic xmlns:a="http://schemas.openxmlformats.org/drawingml/2006/main">
                        <a:graphicData uri="http://schemas.microsoft.com/office/word/2010/wordprocessingShape">
                          <wps:wsp>
                            <wps:cNvSpPr txBox="1"/>
                            <wps:spPr>
                              <a:xfrm>
                                <a:off x="0" y="0"/>
                                <a:ext cx="272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2565" cy="175260"/>
                      <wp:effectExtent l="0" t="0" r="0" b="0"/>
                      <wp:wrapNone/>
                      <wp:docPr id="69" name="Frame69"/>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49910" cy="175260"/>
                      <wp:effectExtent l="0" t="0" r="0" b="0"/>
                      <wp:wrapNone/>
                      <wp:docPr id="70" name="Frame70"/>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78435" cy="175260"/>
                      <wp:effectExtent l="0" t="0" r="0" b="0"/>
                      <wp:wrapNone/>
                      <wp:docPr id="72" name="Frame72"/>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74040" cy="175260"/>
                      <wp:effectExtent l="0" t="0" r="0" b="0"/>
                      <wp:wrapNone/>
                      <wp:docPr id="73" name="Frame73"/>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2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Prepaid Expenses and Other Assets (in millions)</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receivables, net</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fuel</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insurance and insurance related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operating expenses</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center"/>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center"/>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leases</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center"/>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center"/>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 vessel construction obligations</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174.1</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241.3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receivables include an expected federal income tax refund related to the Company’s 2021 federal tax return and other income tax receivables, offset by current federal income tax payables.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Recognition of Revenues and Expenses:</w:t>
      </w:r>
      <w:r>
        <w:rPr>
          <w:rFonts w:ascii="Times New Roman;Times;serif" w:hAnsi="Times New Roman;Times;serif"/>
          <w:sz w:val="20"/>
        </w:rPr>
        <w:t xml:space="preserve"> Revenue in the Company’s Condensed Consolidated Financial Statements is presented net of elimination of intercompany transactions. The following is a description of the Company’s principal revenue generating activities by segment, and the Company’s revenue recognition policy for each activity for the periods presented:</w:t>
      </w:r>
    </w:p>
    <w:p>
      <w:pPr>
        <w:pStyle w:val="TextBody"/>
        <w:bidi w:val="0"/>
        <w:spacing w:before="0" w:after="0"/>
        <w:ind w:left="0" w:right="0" w:hanging="0"/>
        <w:jc w:val="left"/>
        <w:rPr/>
      </w:pPr>
      <w:r>
        <w:rPr/>
        <w:t>​</w:t>
      </w:r>
    </w:p>
    <w:tbl>
      <w:tblPr>
        <w:tblW w:w="7801" w:type="dxa"/>
        <w:jc w:val="left"/>
        <w:tblInd w:w="0" w:type="dxa"/>
        <w:tblLayout w:type="fixed"/>
        <w:tblCellMar>
          <w:top w:w="0" w:type="dxa"/>
          <w:left w:w="0" w:type="dxa"/>
          <w:bottom w:w="0" w:type="dxa"/>
          <w:right w:w="0" w:type="dxa"/>
        </w:tblCellMar>
      </w:tblPr>
      <w:tblGrid>
        <w:gridCol w:w="3361"/>
        <w:gridCol w:w="109"/>
        <w:gridCol w:w="211"/>
        <w:gridCol w:w="571"/>
        <w:gridCol w:w="326"/>
        <w:gridCol w:w="211"/>
        <w:gridCol w:w="571"/>
        <w:gridCol w:w="146"/>
        <w:gridCol w:w="211"/>
        <w:gridCol w:w="721"/>
        <w:gridCol w:w="326"/>
        <w:gridCol w:w="211"/>
        <w:gridCol w:w="82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34235" cy="175260"/>
                      <wp:effectExtent l="0" t="0" r="0" b="0"/>
                      <wp:wrapNone/>
                      <wp:docPr id="74" name="Frame74"/>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9215" cy="175260"/>
                      <wp:effectExtent l="0" t="0" r="0" b="0"/>
                      <wp:wrapNone/>
                      <wp:docPr id="75" name="Frame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62585" cy="175260"/>
                      <wp:effectExtent l="0" t="0" r="0" b="0"/>
                      <wp:wrapNone/>
                      <wp:docPr id="77" name="Frame7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62585" cy="175260"/>
                      <wp:effectExtent l="0" t="0" r="0" b="0"/>
                      <wp:wrapNone/>
                      <wp:docPr id="80" name="Frame8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92710" cy="175260"/>
                      <wp:effectExtent l="0" t="0" r="0" b="0"/>
                      <wp:wrapNone/>
                      <wp:docPr id="81" name="Frame8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57835" cy="175260"/>
                      <wp:effectExtent l="0" t="0" r="0" b="0"/>
                      <wp:wrapNone/>
                      <wp:docPr id="83" name="Frame8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5"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24510" cy="175260"/>
                      <wp:effectExtent l="0" t="0" r="0" b="0"/>
                      <wp:wrapNone/>
                      <wp:docPr id="86" name="Frame8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pPr>
            <w:r>
              <w:rPr/>
              <w:t>​</w:t>
            </w:r>
          </w:p>
        </w:tc>
        <w:tc>
          <w:tcPr>
            <w:tcW w:w="189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before="0" w:after="0"/>
              <w:ind w:left="0" w:right="0" w:hanging="0"/>
              <w:jc w:val="left"/>
              <w:rPr/>
            </w:pPr>
            <w:r>
              <w:rPr/>
              <w:t> </w:t>
            </w:r>
          </w:p>
        </w:tc>
        <w:tc>
          <w:tcPr>
            <w:tcW w:w="22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3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46" w:type="dxa"/>
            <w:tcBorders/>
            <w:vAlign w:val="center"/>
          </w:tcPr>
          <w:p>
            <w:pPr>
              <w:pStyle w:val="TableContents"/>
              <w:bidi w:val="0"/>
              <w:spacing w:before="0" w:after="0"/>
              <w:ind w:left="0" w:right="0" w:hanging="0"/>
              <w:jc w:val="left"/>
              <w:rPr/>
            </w:pPr>
            <w:r>
              <w:rPr/>
              <w:t> </w:t>
            </w:r>
          </w:p>
        </w:tc>
        <w:tc>
          <w:tcPr>
            <w:tcW w:w="22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33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Ocean Transportation (in millions) (1)</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4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2,885.3</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Terminal and other related services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Fuel sales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Vessel management and related services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2,911.6</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9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Ocean Transportation revenue transactions are primarily denominated in U.S. dollars except for less than 3</w:t>
            </w:r>
            <w:r>
              <w:rPr>
                <w:caps w:val="false"/>
                <w:smallCaps w:val="false"/>
              </w:rPr>
              <w:t> </w:t>
            </w:r>
            <w:r>
              <w:rPr>
                <w:rFonts w:ascii="Times New Roman;Times;serif" w:hAnsi="Times New Roman;Times;serif"/>
                <w:b w:val="false"/>
                <w:i w:val="false"/>
                <w:caps w:val="false"/>
                <w:smallCaps w:val="false"/>
                <w:sz w:val="16"/>
              </w:rPr>
              <w:t xml:space="preserve">percent of Ocean Transportation revenues which are denominated in foreign currencies. </w:t>
            </w:r>
          </w:p>
        </w:tc>
      </w:tr>
    </w:tbl>
    <w:p>
      <w:pPr>
        <w:pStyle w:val="TextBody"/>
        <w:bidi w:val="0"/>
        <w:spacing w:before="0" w:after="0"/>
        <w:ind w:left="0" w:right="0" w:hanging="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Ocean Transportation services revenue is recognized ratably over the duration of a voyage based on the relative transit time completed in each reporting period. Vessel operating costs and other ocean transportation operating costs, such as terminal operating overhead and selling, general and administrative expenses, are charged to operating costs as incurred.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Terminal and other related services revenue is recognized as the services are performed. Related costs are recognized as incurred.</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Fuel sales revenue and related costs are recognized when the Company has completed delivery of the product to the customer in accordance with the terms and conditions of the contract.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Vessel management and related services revenue is recognized in proportion to the services completed. Related costs are recognized as incurred.</w:t>
            </w:r>
          </w:p>
        </w:tc>
      </w:tr>
    </w:tbl>
    <w:p>
      <w:pPr>
        <w:pStyle w:val="TextBody"/>
        <w:bidi w:val="0"/>
        <w:spacing w:before="0" w:after="0"/>
        <w:ind w:left="0" w:right="0" w:hanging="0"/>
        <w:jc w:val="left"/>
        <w:rPr/>
      </w:pPr>
      <w:r>
        <w:rPr/>
        <w:t>​</w:t>
      </w:r>
    </w:p>
    <w:p>
      <w:pPr>
        <w:pStyle w:val="TextBody"/>
        <w:bidi w:val="0"/>
        <w:spacing w:before="0" w:after="0"/>
        <w:ind w:left="3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853" w:name="Tc_JM4nkgYZKEG3ZjOwPKSUyQ_8_5"/>
      <w:bookmarkStart w:id="854" w:name="Tc_d7GbsBF80E6u8XJWYNh0fw_8_2"/>
      <w:bookmarkStart w:id="855" w:name="Tc_UlBm-QTDyECszVqUnP2TRA_8_0"/>
      <w:bookmarkStart w:id="856" w:name="Tc_eCGu81Cpd0G0DCd1hC4R6Q_7_0"/>
      <w:bookmarkStart w:id="857" w:name="Tc_d1iV3doC8EOK_Xz5SKsY2w_6_6"/>
      <w:bookmarkStart w:id="858" w:name="Tc_IV8rOcP2cEOQHrPxdWRJ9Q_6_0"/>
      <w:bookmarkStart w:id="859" w:name="Tc_P7GHmMaX_EmN3b1TjLJ2WA_5_0"/>
      <w:bookmarkStart w:id="860" w:name="Tc_sjyEAkqoBkyRpS6bCCmCpg_4_6"/>
      <w:bookmarkStart w:id="861" w:name="Tc__o9iJZzvfEiYBp7PciVxtA_4_5"/>
      <w:bookmarkStart w:id="862" w:name="Tc_jdsROJmxIU2qsIE4qmVsWQ_4_2"/>
      <w:bookmarkStart w:id="863" w:name="Tc_otTHwt8Ou0O30wPKNQTbYg_4_0"/>
      <w:bookmarkStart w:id="864" w:name="Tc_3___0mTYf0CfX3BeeoIMng_3_5"/>
      <w:bookmarkStart w:id="865" w:name="Tc_bFPSNuEFV0mRBhwNVoDFtw_3_2"/>
      <w:bookmarkStart w:id="866" w:name="Tc_Jl4drJEiE0-oKg3k7Xi4sg_3_0"/>
      <w:bookmarkStart w:id="867" w:name="Tc_qkfjBHlUu0CdKAST6dO-pA_2_2"/>
      <w:bookmarkStart w:id="868" w:name="Tc_YpijoGfXIUGvSEBh2m9yuA_1_2"/>
      <w:bookmarkStart w:id="869" w:name="Tc_pgwzV-u7kkOg_xvuLI0v0Q_7_11"/>
      <w:bookmarkStart w:id="870" w:name="Tc_46ZK3OcZNk25haS22qxEsg_7_8"/>
      <w:bookmarkStart w:id="871" w:name="Tc_xoyK20J61EmozK_UcxLTWg_7_5"/>
      <w:bookmarkStart w:id="872" w:name="Tc_KR4_HpCp3EKrANZOS-hfaQ_7_2"/>
      <w:bookmarkStart w:id="873" w:name="Tc_-2gBkRol4kSckSl7VAqFYA_7_0"/>
      <w:bookmarkStart w:id="874" w:name="Tc_-EPEc1RI1U2Ulq2Wl8gY6g_6_0"/>
      <w:bookmarkStart w:id="875" w:name="Tc_xnMLhvD4_Eeo8Vq_2c8rTA_5_0"/>
      <w:bookmarkStart w:id="876" w:name="Tc_GSrIpvZG2Eu0ol6P2fa9aQ_4_11"/>
      <w:bookmarkStart w:id="877" w:name="Tc_7-8kt8NcgUmV99KMUqWX5A_4_8"/>
      <w:bookmarkStart w:id="878" w:name="Tc_tQqhYzgBeEmGg5YEO6i6Tg_4_5"/>
      <w:bookmarkStart w:id="879" w:name="Tc_aBLrbyhNMkuIAM3_Vz08zA_4_2"/>
      <w:bookmarkStart w:id="880" w:name="Tc_KU5t1a6fd0Ovp9PCwYmnZQ_4_0"/>
      <w:bookmarkStart w:id="881" w:name="Tc_4mV_O2XcC0qT9eWSZgKmhg_3_11"/>
      <w:bookmarkStart w:id="882" w:name="Tc_P6LGBdirPESVM_q9CKNaaQ_3_8"/>
      <w:bookmarkStart w:id="883" w:name="Tc_Y8rjrCPCm0CQgh2POfMy4A_3_5"/>
      <w:bookmarkStart w:id="884" w:name="Tc_Igxq9uEWPU2PlKIW34F1Zw_3_2"/>
      <w:bookmarkStart w:id="885" w:name="Tc_SQunn4xRNkq9Z5_1aZO8ig_3_0"/>
      <w:bookmarkStart w:id="886" w:name="Tc_6z9Bs4KSwUmLW4VGF5sXIg_2_8"/>
      <w:bookmarkStart w:id="887" w:name="Tc_ka9SKK6eMkeBVLBgNMuYAg_2_2"/>
      <w:bookmarkStart w:id="888" w:name="Tc__zVABg7qMk2t8E5T5Jk24A_1_8"/>
      <w:bookmarkStart w:id="889" w:name="Tc_IQMmikS-10OD6dCj61N5zQ_1_2"/>
      <w:bookmarkStart w:id="890" w:name="_76ce7040_9d75_4809_bd50_999968a13d07"/>
      <w:bookmarkStart w:id="891" w:name="Tc_JM4nkgYZKEG3ZjOwPKSUyQ_8_5"/>
      <w:bookmarkStart w:id="892" w:name="Tc_d7GbsBF80E6u8XJWYNh0fw_8_2"/>
      <w:bookmarkStart w:id="893" w:name="Tc_UlBm-QTDyECszVqUnP2TRA_8_0"/>
      <w:bookmarkStart w:id="894" w:name="Tc_eCGu81Cpd0G0DCd1hC4R6Q_7_0"/>
      <w:bookmarkStart w:id="895" w:name="Tc_d1iV3doC8EOK_Xz5SKsY2w_6_6"/>
      <w:bookmarkStart w:id="896" w:name="Tc_IV8rOcP2cEOQHrPxdWRJ9Q_6_0"/>
      <w:bookmarkStart w:id="897" w:name="Tc_P7GHmMaX_EmN3b1TjLJ2WA_5_0"/>
      <w:bookmarkStart w:id="898" w:name="Tc_sjyEAkqoBkyRpS6bCCmCpg_4_6"/>
      <w:bookmarkStart w:id="899" w:name="Tc__o9iJZzvfEiYBp7PciVxtA_4_5"/>
      <w:bookmarkStart w:id="900" w:name="Tc_jdsROJmxIU2qsIE4qmVsWQ_4_2"/>
      <w:bookmarkStart w:id="901" w:name="Tc_otTHwt8Ou0O30wPKNQTbYg_4_0"/>
      <w:bookmarkStart w:id="902" w:name="Tc_3___0mTYf0CfX3BeeoIMng_3_5"/>
      <w:bookmarkStart w:id="903" w:name="Tc_bFPSNuEFV0mRBhwNVoDFtw_3_2"/>
      <w:bookmarkStart w:id="904" w:name="Tc_Jl4drJEiE0-oKg3k7Xi4sg_3_0"/>
      <w:bookmarkStart w:id="905" w:name="Tc_qkfjBHlUu0CdKAST6dO-pA_2_2"/>
      <w:bookmarkStart w:id="906" w:name="Tc_YpijoGfXIUGvSEBh2m9yuA_1_2"/>
      <w:bookmarkStart w:id="907" w:name="Tc_pgwzV-u7kkOg_xvuLI0v0Q_7_11"/>
      <w:bookmarkStart w:id="908" w:name="Tc_46ZK3OcZNk25haS22qxEsg_7_8"/>
      <w:bookmarkStart w:id="909" w:name="Tc_xoyK20J61EmozK_UcxLTWg_7_5"/>
      <w:bookmarkStart w:id="910" w:name="Tc_KR4_HpCp3EKrANZOS-hfaQ_7_2"/>
      <w:bookmarkStart w:id="911" w:name="Tc_-2gBkRol4kSckSl7VAqFYA_7_0"/>
      <w:bookmarkStart w:id="912" w:name="Tc_-EPEc1RI1U2Ulq2Wl8gY6g_6_0"/>
      <w:bookmarkStart w:id="913" w:name="Tc_xnMLhvD4_Eeo8Vq_2c8rTA_5_0"/>
      <w:bookmarkStart w:id="914" w:name="Tc_GSrIpvZG2Eu0ol6P2fa9aQ_4_11"/>
      <w:bookmarkStart w:id="915" w:name="Tc_7-8kt8NcgUmV99KMUqWX5A_4_8"/>
      <w:bookmarkStart w:id="916" w:name="Tc_tQqhYzgBeEmGg5YEO6i6Tg_4_5"/>
      <w:bookmarkStart w:id="917" w:name="Tc_aBLrbyhNMkuIAM3_Vz08zA_4_2"/>
      <w:bookmarkStart w:id="918" w:name="Tc_KU5t1a6fd0Ovp9PCwYmnZQ_4_0"/>
      <w:bookmarkStart w:id="919" w:name="Tc_4mV_O2XcC0qT9eWSZgKmhg_3_11"/>
      <w:bookmarkStart w:id="920" w:name="Tc_P6LGBdirPESVM_q9CKNaaQ_3_8"/>
      <w:bookmarkStart w:id="921" w:name="Tc_Y8rjrCPCm0CQgh2POfMy4A_3_5"/>
      <w:bookmarkStart w:id="922" w:name="Tc_Igxq9uEWPU2PlKIW34F1Zw_3_2"/>
      <w:bookmarkStart w:id="923" w:name="Tc_SQunn4xRNkq9Z5_1aZO8ig_3_0"/>
      <w:bookmarkStart w:id="924" w:name="Tc_6z9Bs4KSwUmLW4VGF5sXIg_2_8"/>
      <w:bookmarkStart w:id="925" w:name="Tc_ka9SKK6eMkeBVLBgNMuYAg_2_2"/>
      <w:bookmarkStart w:id="926" w:name="Tc__zVABg7qMk2t8E5T5Jk24A_1_8"/>
      <w:bookmarkStart w:id="927" w:name="Tc_IQMmikS-10OD6dCj61N5zQ_1_2"/>
      <w:bookmarkStart w:id="928" w:name="_76ce7040_9d75_4809_bd50_999968a13d07"/>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p>
    <w:tbl>
      <w:tblPr>
        <w:tblW w:w="8552" w:type="dxa"/>
        <w:jc w:val="left"/>
        <w:tblInd w:w="0" w:type="dxa"/>
        <w:tblLayout w:type="fixed"/>
        <w:tblCellMar>
          <w:top w:w="0" w:type="dxa"/>
          <w:left w:w="0" w:type="dxa"/>
          <w:bottom w:w="0" w:type="dxa"/>
          <w:right w:w="0" w:type="dxa"/>
        </w:tblCellMar>
      </w:tblPr>
      <w:tblGrid>
        <w:gridCol w:w="4846"/>
        <w:gridCol w:w="109"/>
        <w:gridCol w:w="211"/>
        <w:gridCol w:w="571"/>
        <w:gridCol w:w="109"/>
        <w:gridCol w:w="211"/>
        <w:gridCol w:w="571"/>
        <w:gridCol w:w="146"/>
        <w:gridCol w:w="211"/>
        <w:gridCol w:w="571"/>
        <w:gridCol w:w="109"/>
        <w:gridCol w:w="211"/>
        <w:gridCol w:w="676"/>
      </w:tblGrid>
      <w:tr>
        <w:trPr/>
        <w:tc>
          <w:tcPr>
            <w:tcW w:w="4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077210" cy="175260"/>
                      <wp:effectExtent l="0" t="0" r="0" b="0"/>
                      <wp:wrapNone/>
                      <wp:docPr id="87" name="Frame87"/>
                      <a:graphic xmlns:a="http://schemas.openxmlformats.org/drawingml/2006/main">
                        <a:graphicData uri="http://schemas.microsoft.com/office/word/2010/wordprocessingShape">
                          <wps:wsp>
                            <wps:cNvSpPr txBox="1"/>
                            <wps:spPr>
                              <a:xfrm>
                                <a:off x="0" y="0"/>
                                <a:ext cx="307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88"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62585" cy="175260"/>
                      <wp:effectExtent l="0" t="0" r="0" b="0"/>
                      <wp:wrapNone/>
                      <wp:docPr id="90" name="Frame9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91" name="Frame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62585" cy="175260"/>
                      <wp:effectExtent l="0" t="0" r="0" b="0"/>
                      <wp:wrapNone/>
                      <wp:docPr id="93" name="Frame9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92710" cy="175260"/>
                      <wp:effectExtent l="0" t="0" r="0" b="0"/>
                      <wp:wrapNone/>
                      <wp:docPr id="94" name="Frame9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362585" cy="175260"/>
                      <wp:effectExtent l="0" t="0" r="0" b="0"/>
                      <wp:wrapNone/>
                      <wp:docPr id="96" name="Frame9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215" cy="175260"/>
                      <wp:effectExtent l="0" t="0" r="0" b="0"/>
                      <wp:wrapNone/>
                      <wp:docPr id="97" name="Frame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3985" cy="175260"/>
                      <wp:effectExtent l="0" t="0" r="0" b="0"/>
                      <wp:wrapNone/>
                      <wp:docPr id="98" name="Frame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29260" cy="175260"/>
                      <wp:effectExtent l="0" t="0" r="0" b="0"/>
                      <wp:wrapNone/>
                      <wp:docPr id="99" name="Frame9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7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before="0" w:after="0"/>
              <w:ind w:left="0" w:right="0" w:hanging="0"/>
              <w:jc w:val="left"/>
              <w:rPr/>
            </w:pPr>
            <w:r>
              <w:rPr/>
              <w:t> </w:t>
            </w:r>
          </w:p>
        </w:tc>
        <w:tc>
          <w:tcPr>
            <w:tcW w:w="177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4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7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46" w:type="dxa"/>
            <w:tcBorders/>
            <w:vAlign w:val="center"/>
          </w:tcPr>
          <w:p>
            <w:pPr>
              <w:pStyle w:val="TableContents"/>
              <w:bidi w:val="0"/>
              <w:spacing w:before="0" w:after="0"/>
              <w:ind w:left="0" w:right="0" w:hanging="0"/>
              <w:jc w:val="left"/>
              <w:rPr/>
            </w:pPr>
            <w:r>
              <w:rPr/>
              <w:t> </w:t>
            </w:r>
          </w:p>
        </w:tc>
        <w:tc>
          <w:tcPr>
            <w:tcW w:w="17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48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Logistics (in millions) (1)</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4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Transportation Brokerage and Freight Forwarding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548.5</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Warehousing and distribution services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Supply chain management and other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196.3</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629.8</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Logistics revenue transactions are primarily denominated in U.S. dollars except for less than 3</w:t>
            </w:r>
            <w:r>
              <w:rPr>
                <w:caps w:val="false"/>
                <w:smallCaps w:val="false"/>
              </w:rPr>
              <w:t> </w:t>
            </w:r>
            <w:r>
              <w:rPr>
                <w:rFonts w:ascii="Times New Roman;Times;serif" w:hAnsi="Times New Roman;Times;serif"/>
                <w:b w:val="false"/>
                <w:i w:val="false"/>
                <w:caps w:val="false"/>
                <w:smallCaps w:val="false"/>
                <w:sz w:val="16"/>
              </w:rPr>
              <w:t xml:space="preserve">percent of Logistics revenues which are denominated in foreign currencies. </w:t>
            </w:r>
          </w:p>
        </w:tc>
      </w:tr>
    </w:tbl>
    <w:p>
      <w:pPr>
        <w:pStyle w:val="TextBody"/>
        <w:bidi w:val="0"/>
        <w:spacing w:before="0" w:after="0"/>
        <w:ind w:left="0" w:right="0" w:hanging="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Transportation Brokerage and Freight Forwarding services revenue consists of amounts billed to customers for services provided. The primary costs include third-party purchased transportation services, agent commissions, labor and equipment. Revenue and the related purchased third-party transportation costs are recognized over the duration of a delivery based upon the relative transit time completed in each reporting period. Labor, agent commissions, and other operating costs are expensed as incurred. The Company reports revenue on a gross basis as the Company serves as the principal in these transactions because it is responsible for fulfilling the contractual arrangements with the customer and has latitude in establishing prices.</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Warehousing and distribution services revenue consist of amounts billed to customers for storage, handling, and value-added packaging of customer merchandise. Storage revenue is recognized in the month the service is provided to the customer. Storage related costs are recognized as incurred. Other Warehousing and distribution services revenue and related costs are recognized in proportion to the services performed.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Supply chain management and other services revenue, and related costs are recognized in proportion to the services performed.</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generally invoices its customers at the commencement of the voyage or the transportation service being provided, or as other services are being performed. Revenue is deferred when services are invoiced in advance to the customer. The Company’s receivables are classified as short-term as collection terms are for periods of less than one year. The Company expenses sales commissions and contract acquisition costs as incurred because the amounts are generally immaterial. These expenses are included in selling, general and administrative expenses in the Condensed Consolidated Statements of Income and Comprehensive Income.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Capital Construction Fund:</w:t>
      </w:r>
      <w:r>
        <w:rPr>
          <w:rFonts w:ascii="Times New Roman;Times;serif" w:hAnsi="Times New Roman;Times;serif"/>
          <w:sz w:val="20"/>
        </w:rPr>
        <w:t xml:space="preserve"> The Company’s Capital Construction Fund (“CCF”) is described in Note 7 to the Consolidated Financial Statements included in Part II, Item 8 of the Company’s Annual Report on Form 10-K for the year ended December 31, 2022. A summary of the CCF cash account for the nine months ended September 30, 2023 and 2022 consisted of the following: </w:t>
      </w:r>
    </w:p>
    <w:p>
      <w:pPr>
        <w:pStyle w:val="TextBody"/>
        <w:bidi w:val="0"/>
        <w:spacing w:before="0" w:after="0"/>
        <w:ind w:left="0" w:right="0" w:hanging="0"/>
        <w:jc w:val="left"/>
        <w:rPr/>
      </w:pPr>
      <w:r>
        <w:rPr/>
        <w:t>​</w:t>
      </w:r>
    </w:p>
    <w:tbl>
      <w:tblPr>
        <w:tblW w:w="5431" w:type="dxa"/>
        <w:jc w:val="left"/>
        <w:tblInd w:w="0" w:type="dxa"/>
        <w:tblLayout w:type="fixed"/>
        <w:tblCellMar>
          <w:top w:w="0" w:type="dxa"/>
          <w:left w:w="0" w:type="dxa"/>
          <w:bottom w:w="0" w:type="dxa"/>
          <w:right w:w="0" w:type="dxa"/>
        </w:tblCellMar>
      </w:tblPr>
      <w:tblGrid>
        <w:gridCol w:w="3031"/>
        <w:gridCol w:w="326"/>
        <w:gridCol w:w="211"/>
        <w:gridCol w:w="586"/>
        <w:gridCol w:w="326"/>
        <w:gridCol w:w="211"/>
        <w:gridCol w:w="586"/>
        <w:gridCol w:w="154"/>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924685" cy="175260"/>
                      <wp:effectExtent l="0" t="0" r="0" b="0"/>
                      <wp:wrapNone/>
                      <wp:docPr id="100" name="Frame100"/>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72110" cy="175260"/>
                      <wp:effectExtent l="0" t="0" r="0" b="0"/>
                      <wp:wrapNone/>
                      <wp:docPr id="103" name="Frame10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5"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372110" cy="175260"/>
                      <wp:effectExtent l="0" t="0" r="0" b="0"/>
                      <wp:wrapNone/>
                      <wp:docPr id="106" name="Frame10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97790" cy="175260"/>
                      <wp:effectExtent l="0" t="0" r="0" b="0"/>
                      <wp:wrapNone/>
                      <wp:docPr id="107" name="Frame10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54" w:type="dxa"/>
            <w:tcBorders/>
            <w:vAlign w:val="center"/>
          </w:tcPr>
          <w:p>
            <w:pPr>
              <w:pStyle w:val="TableContents"/>
              <w:bidi w:val="0"/>
              <w:spacing w:before="0" w:after="0"/>
              <w:ind w:left="0" w:right="0" w:hanging="0"/>
              <w:jc w:val="left"/>
              <w:rPr/>
            </w:pPr>
            <w:r>
              <w:rPr/>
              <w:t>​</w:t>
            </w:r>
          </w:p>
        </w:tc>
      </w:tr>
      <w:tr>
        <w:trPr/>
        <w:tc>
          <w:tcPr>
            <w:tcW w:w="3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54" w:type="dxa"/>
            <w:tcBorders/>
            <w:vAlign w:val="center"/>
          </w:tcPr>
          <w:p>
            <w:pPr>
              <w:pStyle w:val="TableContents"/>
              <w:bidi w:val="0"/>
              <w:spacing w:before="0" w:after="0"/>
              <w:ind w:left="0" w:right="0" w:hanging="0"/>
              <w:jc w:val="left"/>
              <w:rPr/>
            </w:pPr>
            <w:r>
              <w:rPr/>
              <w:t>​</w:t>
            </w:r>
          </w:p>
        </w:tc>
      </w:tr>
      <w:tr>
        <w:trPr/>
        <w:tc>
          <w:tcPr>
            <w:tcW w:w="30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vAlign w:val="center"/>
          </w:tcPr>
          <w:p>
            <w:pPr>
              <w:pStyle w:val="TableContents"/>
              <w:bidi w:val="0"/>
              <w:spacing w:before="0" w:after="0"/>
              <w:ind w:left="0" w:right="0" w:hanging="0"/>
              <w:jc w:val="left"/>
              <w:rPr/>
            </w:pPr>
            <w:r>
              <w:rPr/>
              <w:t>​</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balance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deposits into CCF</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579.7</w:t>
            </w:r>
          </w:p>
        </w:tc>
        <w:tc>
          <w:tcPr>
            <w:tcW w:w="154" w:type="dxa"/>
            <w:tcBorders/>
            <w:vAlign w:val="center"/>
          </w:tcPr>
          <w:p>
            <w:pPr>
              <w:pStyle w:val="TableContents"/>
              <w:bidi w:val="0"/>
              <w:spacing w:before="0" w:after="0"/>
              <w:ind w:left="0" w:right="0" w:hanging="0"/>
              <w:jc w:val="left"/>
              <w:rPr/>
            </w:pPr>
            <w:r>
              <w:rPr/>
              <w:t>​</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earned on deposits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Qualifying withdrawal payments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154" w:type="dxa"/>
            <w:tcBorders/>
            <w:vAlign w:val="center"/>
          </w:tcPr>
          <w:p>
            <w:pPr>
              <w:pStyle w:val="TableContents"/>
              <w:bidi w:val="0"/>
              <w:spacing w:before="0" w:after="0"/>
              <w:ind w:left="0" w:right="0" w:hanging="0"/>
              <w:jc w:val="left"/>
              <w:rPr/>
            </w:pPr>
            <w:r>
              <w:rPr/>
              <w:t>​</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balance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565.0</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had $591.6 million and $518.2 million on deposit in the CCF as of September 30, 2023, and December 31, 2022, respectively. Cash on deposit in the CCF is invested in a U.S. Treasury obligations fund with daily liquidity. At September 30, 2023, securities held within this fund had a weighted average life of </w:t>
      </w:r>
      <w:r>
        <w:rPr>
          <w:rFonts w:ascii="Times New Roman;Times;serif" w:hAnsi="Times New Roman;Times;serif"/>
          <w:b w:val="false"/>
          <w:i w:val="false"/>
          <w:caps w:val="false"/>
          <w:smallCaps w:val="false"/>
          <w:sz w:val="20"/>
        </w:rPr>
        <w:t>44 days</w:t>
      </w:r>
      <w:r>
        <w:rPr>
          <w:rFonts w:ascii="Times New Roman;Times;serif" w:hAnsi="Times New Roman;Times;serif"/>
          <w:sz w:val="20"/>
        </w:rPr>
        <w:t xml:space="preserve">. Cash on deposit in the CCF is classified as a long-term asset on the Company’s Condensed Consolidated Balance Sheets, as the Company intends to use withdrawals to fund qualified milestone progress payments for the construction of three new Jones Act vessels.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nine months ended September 30, 2023, the Company pledged $200.0 million of accounts receivable into the CCF. There were no pledged amounts during the nine months ended September 30, 2022. As of September 30, 2023 and December 31, 2022, $213.2 million and $9.9 million of eligible accounts receivable were assigned to the CCF, respectively. Due to the nature of the assignment of eligible accounts receivable into the CCF, such assigned amounts are classified as part of accounts receivable in the Condensed Consolidated Balance Sheets.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929" w:name="Tc_gB5BoFY5Bkm2M1qV0M5Ixg_8_11"/>
      <w:bookmarkStart w:id="930" w:name="Tc_rwreRaSSPECHguo9IsN_aA_8_8"/>
      <w:bookmarkStart w:id="931" w:name="Tc_k49MxnYCCEygBwyLylIm_g_8_5"/>
      <w:bookmarkStart w:id="932" w:name="Tc_rx9vYQ4QCEWDagE6A6tb7A_8_2"/>
      <w:bookmarkStart w:id="933" w:name="Tc_Gx3sDFoUXk2BZctlmNIvFg_8_0"/>
      <w:bookmarkStart w:id="934" w:name="Tc_85ZzJ2Xx0ECAUIaSKkUL3Q_7_11"/>
      <w:bookmarkStart w:id="935" w:name="Tc_0ZQ4_A9b9UedKx7ypNVDWA_7_8"/>
      <w:bookmarkStart w:id="936" w:name="Tc_iUg2ny1VlkKeLYyiCjVTnA_7_5"/>
      <w:bookmarkStart w:id="937" w:name="Tc_IDXF6cnDrUutenVEAGX7QA_7_2"/>
      <w:bookmarkStart w:id="938" w:name="Tc__2i6107ON0CjLp8qAG8R8Q_7_0"/>
      <w:bookmarkStart w:id="939" w:name="Tc_dT7putQHtUqKLAtLBBClOw_6_0"/>
      <w:bookmarkStart w:id="940" w:name="Tc_Cef9DgiB4029t3U3_BXkpQ_5_0"/>
      <w:bookmarkStart w:id="941" w:name="Tc_dBZib6Zjzk2dfwyTPtsexw_4_11"/>
      <w:bookmarkStart w:id="942" w:name="Tc_gVuD1cfsrkiEcEeabHpMvw_4_8"/>
      <w:bookmarkStart w:id="943" w:name="Tc_Zy2ipQ5cm0imOxuVIZ0jbg_4_5"/>
      <w:bookmarkStart w:id="944" w:name="Tc_msrUqnzR-Ee8vVLC0DW3kQ_4_2"/>
      <w:bookmarkStart w:id="945" w:name="Tc_OC0DKj5AKUiqxRPa5OOoyg_4_0"/>
      <w:bookmarkStart w:id="946" w:name="Tc_hkFQvxg84Eeq9vw_osxJXQ_3_11"/>
      <w:bookmarkStart w:id="947" w:name="Tc_B152tcEhQEC31HvunyghYQ_3_8"/>
      <w:bookmarkStart w:id="948" w:name="Tc_UAYG2TL6JEWLEXPOODlLrw_3_5"/>
      <w:bookmarkStart w:id="949" w:name="Tc_vgR0_k9mhUiSBzNwhn07UQ_3_2"/>
      <w:bookmarkStart w:id="950" w:name="Tc_26hseO3n-02Rkfg7Iux8-w_3_0"/>
      <w:bookmarkStart w:id="951" w:name="Tc_Tw5cygpo4EOoTGFORNlU_Q_2_8"/>
      <w:bookmarkStart w:id="952" w:name="Tc_dQJGupfpiE26SCcDxWcRgw_2_2"/>
      <w:bookmarkStart w:id="953" w:name="Tc_jOaM1UHkE06UipW8d1-9wA_1_8"/>
      <w:bookmarkStart w:id="954" w:name="Tc_bb9xUz7j70ebIdjMBkJD8w_1_2"/>
      <w:bookmarkStart w:id="955" w:name="_260e04ed_32e8_476a_a05b_87f858296c59"/>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r>
        <w:rPr>
          <w:rFonts w:ascii="Times New Roman;Times;serif" w:hAnsi="Times New Roman;Times;serif"/>
          <w:b/>
          <w:i/>
          <w:sz w:val="20"/>
        </w:rPr>
        <w:t>Investment in SSAT:</w:t>
      </w:r>
      <w:r>
        <w:rPr>
          <w:rFonts w:ascii="Times New Roman;Times;serif" w:hAnsi="Times New Roman;Times;serif"/>
          <w:sz w:val="20"/>
        </w:rPr>
        <w:t xml:space="preserve"> Condensed income statement information for SSAT for the three and nine months ended September 30, 2023 and 2022 consisted of the following:</w:t>
      </w:r>
    </w:p>
    <w:p>
      <w:pPr>
        <w:pStyle w:val="TextBody"/>
        <w:bidi w:val="0"/>
        <w:spacing w:before="0" w:after="0"/>
        <w:ind w:left="0" w:right="0" w:hanging="0"/>
        <w:jc w:val="left"/>
        <w:rPr/>
      </w:pPr>
      <w:r>
        <w:rPr/>
        <w:t>​</w:t>
      </w:r>
    </w:p>
    <w:tbl>
      <w:tblPr>
        <w:tblW w:w="8787" w:type="dxa"/>
        <w:jc w:val="left"/>
        <w:tblInd w:w="0" w:type="dxa"/>
        <w:tblLayout w:type="fixed"/>
        <w:tblCellMar>
          <w:top w:w="0" w:type="dxa"/>
          <w:left w:w="0" w:type="dxa"/>
          <w:bottom w:w="0" w:type="dxa"/>
          <w:right w:w="0" w:type="dxa"/>
        </w:tblCellMar>
      </w:tblPr>
      <w:tblGrid>
        <w:gridCol w:w="4051"/>
        <w:gridCol w:w="109"/>
        <w:gridCol w:w="211"/>
        <w:gridCol w:w="691"/>
        <w:gridCol w:w="326"/>
        <w:gridCol w:w="211"/>
        <w:gridCol w:w="691"/>
        <w:gridCol w:w="146"/>
        <w:gridCol w:w="211"/>
        <w:gridCol w:w="691"/>
        <w:gridCol w:w="326"/>
        <w:gridCol w:w="211"/>
        <w:gridCol w:w="721"/>
        <w:gridCol w:w="191"/>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572385" cy="175260"/>
                      <wp:effectExtent l="0" t="0" r="0" b="0"/>
                      <wp:wrapNone/>
                      <wp:docPr id="108" name="Frame108"/>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9215" cy="175260"/>
                      <wp:effectExtent l="0" t="0" r="0" b="0"/>
                      <wp:wrapNone/>
                      <wp:docPr id="109" name="Frame1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38785" cy="175260"/>
                      <wp:effectExtent l="0" t="0" r="0" b="0"/>
                      <wp:wrapNone/>
                      <wp:docPr id="111" name="Frame11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38785" cy="175260"/>
                      <wp:effectExtent l="0" t="0" r="0" b="0"/>
                      <wp:wrapNone/>
                      <wp:docPr id="114" name="Frame11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92710" cy="175260"/>
                      <wp:effectExtent l="0" t="0" r="0" b="0"/>
                      <wp:wrapNone/>
                      <wp:docPr id="115" name="Frame11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38785" cy="175260"/>
                      <wp:effectExtent l="0" t="0" r="0" b="0"/>
                      <wp:wrapNone/>
                      <wp:docPr id="117" name="Frame11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9" name="Frame1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57835" cy="175260"/>
                      <wp:effectExtent l="0" t="0" r="0" b="0"/>
                      <wp:wrapNone/>
                      <wp:docPr id="120" name="Frame12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21285" cy="175260"/>
                      <wp:effectExtent l="0" t="0" r="0" b="0"/>
                      <wp:wrapNone/>
                      <wp:docPr id="121" name="Frame12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pPr>
            <w:r>
              <w:rPr/>
              <w:t>​</w:t>
            </w:r>
          </w:p>
        </w:tc>
        <w:tc>
          <w:tcPr>
            <w:tcW w:w="21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before="0" w:after="0"/>
              <w:ind w:left="0" w:right="0" w:hanging="0"/>
              <w:jc w:val="left"/>
              <w:rPr/>
            </w:pPr>
            <w:r>
              <w:rPr/>
              <w:t> </w:t>
            </w:r>
          </w:p>
        </w:tc>
        <w:tc>
          <w:tcPr>
            <w:tcW w:w="21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91" w:type="dxa"/>
            <w:tcBorders/>
            <w:vAlign w:val="center"/>
          </w:tcPr>
          <w:p>
            <w:pPr>
              <w:pStyle w:val="TableContents"/>
              <w:bidi w:val="0"/>
              <w:spacing w:before="0" w:after="0"/>
              <w:ind w:left="0" w:right="0" w:hanging="0"/>
              <w:jc w:val="left"/>
              <w:rPr/>
            </w:pPr>
            <w:r>
              <w:rPr/>
              <w:t> </w:t>
            </w:r>
          </w:p>
        </w:tc>
      </w:tr>
      <w:tr>
        <w:trPr/>
        <w:tc>
          <w:tcPr>
            <w:tcW w:w="40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46" w:type="dxa"/>
            <w:tcBorders/>
            <w:vAlign w:val="center"/>
          </w:tcPr>
          <w:p>
            <w:pPr>
              <w:pStyle w:val="TableContents"/>
              <w:bidi w:val="0"/>
              <w:spacing w:before="0" w:after="0"/>
              <w:ind w:left="0" w:right="0" w:hanging="0"/>
              <w:jc w:val="left"/>
              <w:rPr/>
            </w:pPr>
            <w:r>
              <w:rPr/>
              <w:t> </w:t>
            </w:r>
          </w:p>
        </w:tc>
        <w:tc>
          <w:tcPr>
            <w:tcW w:w="21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91" w:type="dxa"/>
            <w:tcBorders/>
            <w:vAlign w:val="center"/>
          </w:tcPr>
          <w:p>
            <w:pPr>
              <w:pStyle w:val="TableContents"/>
              <w:bidi w:val="0"/>
              <w:spacing w:before="0" w:after="0"/>
              <w:ind w:left="0" w:right="0" w:hanging="0"/>
              <w:jc w:val="left"/>
              <w:rPr/>
            </w:pPr>
            <w:r>
              <w:rPr/>
              <w:t> </w:t>
            </w:r>
          </w:p>
        </w:tc>
      </w:tr>
      <w:tr>
        <w:trPr/>
        <w:tc>
          <w:tcPr>
            <w:tcW w:w="40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1" w:type="dxa"/>
            <w:tcBorders/>
            <w:vAlign w:val="center"/>
          </w:tcPr>
          <w:p>
            <w:pPr>
              <w:pStyle w:val="TableContents"/>
              <w:bidi w:val="0"/>
              <w:spacing w:before="0" w:after="0"/>
              <w:ind w:left="0" w:right="0" w:hanging="0"/>
              <w:jc w:val="left"/>
              <w:rPr/>
            </w:pPr>
            <w:r>
              <w:rPr/>
              <w:t> </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369.8</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(286.9)</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(894.3)</w:t>
            </w:r>
          </w:p>
        </w:tc>
        <w:tc>
          <w:tcPr>
            <w:tcW w:w="191"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247.0</w:t>
            </w:r>
          </w:p>
        </w:tc>
        <w:tc>
          <w:tcPr>
            <w:tcW w:w="191"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Share of SSAT’s Net Income (Loss) (2)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w:t>
            </w:r>
          </w:p>
        </w:tc>
        <w:tc>
          <w:tcPr>
            <w:tcW w:w="191" w:type="dxa"/>
            <w:tcBorders/>
            <w:shd w:fill="CCEEFF" w:val="clear"/>
            <w:vAlign w:val="center"/>
          </w:tcPr>
          <w:p>
            <w:pPr>
              <w:pStyle w:val="TableContents"/>
              <w:bidi w:val="0"/>
              <w:spacing w:before="0" w:after="0"/>
              <w:ind w:left="0" w:right="0" w:hanging="0"/>
              <w:jc w:val="left"/>
              <w:rPr/>
            </w:pPr>
            <w:r>
              <w:rPr/>
              <w:t>​</w:t>
            </w:r>
          </w:p>
        </w:tc>
      </w:tr>
    </w:tbl>
    <w:tbl>
      <w:tblPr>
        <w:tblW w:w="8597" w:type="dxa"/>
        <w:jc w:val="left"/>
        <w:tblInd w:w="0" w:type="dxa"/>
        <w:tblLayout w:type="fixed"/>
        <w:tblCellMar>
          <w:top w:w="0" w:type="dxa"/>
          <w:left w:w="0" w:type="dxa"/>
          <w:bottom w:w="0" w:type="dxa"/>
          <w:right w:w="0" w:type="dxa"/>
        </w:tblCellMar>
      </w:tblPr>
      <w:tblGrid>
        <w:gridCol w:w="331"/>
        <w:gridCol w:w="826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2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Includes earnings from equity method investments held by SSAT less earnings allocated to non-controlling interests. </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The Company records its share of net income (loss) from SSAT in costs and expenses in the Condensed Consolidated Statement of Income and Comprehensive Income due to the nature of SSAT’s operations.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investment in SSAT was $81.4 million and $81.2 million at September 30, 2023 and December 31, 2022, respectively.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Capitalized Interest:</w:t>
      </w:r>
      <w:r>
        <w:rPr>
          <w:rFonts w:ascii="Times New Roman;Times;serif" w:hAnsi="Times New Roman;Times;serif"/>
          <w:sz w:val="20"/>
        </w:rPr>
        <w:t xml:space="preserve"> The Company capitalizes interest costs during the period the qualified assets are being readied for their intended use. The Company determined that the vessel construction costs are considered qualifying assets for the purposes of capitalizing interest on these assets. Capitalized interest is determined based on the number of payments incurred related to the construction of these vessels using a weighted average interest rate. The weighted average interest rate is determined using the Company’s average borrowings outstanding during the period. Capitalized interest is included in vessel construction in progress in property and equipment in the Company’s Condensed Consolidated Balance Sheets (see Note 4). During the three and nine months ended September 30, 2023, the Company capitalized $0.8 million and $1.7 million of interest related to the construction of new vessels, respectively. There was no capitalized interest during the three months ended September 30, 2022. During the nine months ended September 30, 2022, the Company capitalized $0.4 million of interest related to the construction of new vessels.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Dividends:</w:t>
      </w:r>
      <w:r>
        <w:rPr>
          <w:rFonts w:ascii="Times New Roman;Times;serif" w:hAnsi="Times New Roman;Times;serif"/>
          <w:sz w:val="20"/>
        </w:rPr>
        <w:t xml:space="preserve"> The Company’s third quarter 2023 cash dividend of $0.32 per share was paid on September 7, 2023. On October 26, 2023, the Company’s Board of Directors declared a cash dividend of $0.32 per share payable on December 7, 2023 to shareholders of record on November 9,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Repurchase of Shares:</w:t>
      </w:r>
      <w:r>
        <w:rPr>
          <w:rFonts w:ascii="Times New Roman;Times;serif" w:hAnsi="Times New Roman;Times;serif"/>
          <w:sz w:val="20"/>
        </w:rPr>
        <w:t xml:space="preserve"> During the three months ended September 30, 2023, the Company repurchased approximately 0.3 million shares for a total cost of $25.8 million. As of September 30, 2023, the maximum number of remaining shares that may be repurchased under the Company’s share repurchase program was approximately 3.0 million shares.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3.</w:t>
      </w:r>
      <w:r>
        <w:rPr>
          <w:rFonts w:ascii="Times New Roman;Times;serif" w:hAnsi="Times New Roman;Times;serif"/>
          <w:sz w:val="20"/>
        </w:rPr>
        <w:t>          </w:t>
      </w:r>
      <w:r>
        <w:rPr>
          <w:rFonts w:ascii="Times New Roman;Times;serif" w:hAnsi="Times New Roman;Times;serif"/>
          <w:b/>
          <w:sz w:val="20"/>
        </w:rPr>
        <w:t>REPORTABLE SEGMENTS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consists of two reportable segments, Ocean Transportation and Logistics, which are further described in Note 1. Reportable segments are measured based on operating income. In arrangements where the customer purchases ocean transportation and logistics services, the revenues are allocated to each reportable segment based upon the contractual amounts for each type of service. The Company’s SSAT segment has been aggregated into the Company’s Ocean Transportation segment due to the operations of SSAT being an integral part of the Company’s Ocean Transportation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Company’s Ocean Transportation segment provides ocean transportation services to the Logistics segment, and the Logistics segment provides logistics services to the Ocean Transportation segment in certain transactions. Accordingly, inter-segment revenue of $61.1 million and $78.2 million for the three months ended September 30, 2023 and 2022, and $155.6 million and $220.6 million for the nine months ended September 30, 2023 and 2022, respectively, have been eliminated from operating revenues in the table below.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956" w:name="Tc_IuEKda35GEGbmCkjIF7EJQ_17_11"/>
      <w:bookmarkStart w:id="957" w:name="Tc_5yDtlZC0tUmbUVFcC57HJg_17_8"/>
      <w:bookmarkStart w:id="958" w:name="Tc_Abic8c-uw0aBVHo7yvAl4A_17_5"/>
      <w:bookmarkStart w:id="959" w:name="Tc_-Vfpew4U-EK-m4U3Z4rExw_17_2"/>
      <w:bookmarkStart w:id="960" w:name="Tc__h7EQSXshEqj9fRtZn-cEA_17_0"/>
      <w:bookmarkStart w:id="961" w:name="Tc_TQ6SRxixcUSLwqInom7IfA_16_0"/>
      <w:bookmarkStart w:id="962" w:name="Tc_jFT342iq-E65XA3TfjSYBg_15_0"/>
      <w:bookmarkStart w:id="963" w:name="Tc_4_eMnT_t90iqQ2KAMNgwEg_14_0"/>
      <w:bookmarkStart w:id="964" w:name="Tc_0KCd6DDKCkeTrBeircepfg_13_0"/>
      <w:bookmarkStart w:id="965" w:name="Tc_EaqOu3JWJ0Kgj46Ys5uveg_12_0"/>
      <w:bookmarkStart w:id="966" w:name="Tc_KoVhWfSWA06iCZGKq2Ioeg_11_0"/>
      <w:bookmarkStart w:id="967" w:name="Tc_1n2wVyUqyUi4ZKhlx1TuYQ_10_0"/>
      <w:bookmarkStart w:id="968" w:name="Tc_txwDxJiRP0OToyFfcDnB8Q_9_11"/>
      <w:bookmarkStart w:id="969" w:name="Tc_OvEmmYVS1UOMvzQG_CNtiA_9_8"/>
      <w:bookmarkStart w:id="970" w:name="Tc_dBrCDTLq-k-cqTJikEKJAA_9_5"/>
      <w:bookmarkStart w:id="971" w:name="Tc_sIyGwjM3W0exhV51rL41eg_9_2"/>
      <w:bookmarkStart w:id="972" w:name="Tc_9uRXKNTZhE2JbAG-KtOuaQ_9_0"/>
      <w:bookmarkStart w:id="973" w:name="Tc_16wt74PxHkKcrmoMQr0aFg_8_0"/>
      <w:bookmarkStart w:id="974" w:name="Tc_iNZlAQCA9E20ATgQm_rMEg_7_11"/>
      <w:bookmarkStart w:id="975" w:name="Tc_Ny-d2fkOA0m7eqddNofQVw_7_8"/>
      <w:bookmarkStart w:id="976" w:name="Tc_QUbhtuWVSE6_kyoFRAeGsw_7_5"/>
      <w:bookmarkStart w:id="977" w:name="Tc_O0qnpokVa0SZhIsy4bSlDQ_7_2"/>
      <w:bookmarkStart w:id="978" w:name="Tc_YbCfeFysBEqDM1pLMPcZOg_7_0"/>
      <w:bookmarkStart w:id="979" w:name="Tc_WUKxCOcKj06Wv_tr-JEYWg_6_0"/>
      <w:bookmarkStart w:id="980" w:name="Tc_EFoD4gYyWU6xpiFApH1Yvg_5_11"/>
      <w:bookmarkStart w:id="981" w:name="Tc_c8kr1-aLqka46AM4A77aqg_5_8"/>
      <w:bookmarkStart w:id="982" w:name="Tc_xLom31DcA02WqribIoJdaw_5_5"/>
      <w:bookmarkStart w:id="983" w:name="Tc_fRu8T-j4PE2V2HSnC9XJdA_5_2"/>
      <w:bookmarkStart w:id="984" w:name="Tc_bEkq2ItW30qIjavWfq7mdQ_5_0"/>
      <w:bookmarkStart w:id="985" w:name="Tc_CqRtqKhTGkGZXr_GxdTh-g_4_0"/>
      <w:bookmarkStart w:id="986" w:name="Tc_J117KapWUUOugl1l0iWQ_g_3_11"/>
      <w:bookmarkStart w:id="987" w:name="Tc_DmUEuGQAjkC_JJkA4kXxig_3_8"/>
      <w:bookmarkStart w:id="988" w:name="Tc_LKURdm5JZUGFNvMh8ilKbQ_3_5"/>
      <w:bookmarkStart w:id="989" w:name="Tc_lXDDqi83CEaEwhx-AgyMUQ_3_2"/>
      <w:bookmarkStart w:id="990" w:name="Tc_XsDzR0HYaE6ONF_2mPOh7w_3_0"/>
      <w:bookmarkStart w:id="991" w:name="Tc_JMZxXCWJD0GfaMlGjpCpgg_2_8"/>
      <w:bookmarkStart w:id="992" w:name="Tc_usq74kLT00iPhOAiO1oYzg_2_2"/>
      <w:bookmarkStart w:id="993" w:name="Tc_i2cn8-o2S02CAbLpxGm6lg_1_8"/>
      <w:bookmarkStart w:id="994" w:name="Tc_m0DyXyk_ZEiPsFHmZbqO0Q_1_2"/>
      <w:bookmarkStart w:id="995" w:name="_0d7445f0_de78_4027_9356_82ced491309f"/>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r>
        <w:rPr>
          <w:rFonts w:ascii="Times New Roman;Times;serif" w:hAnsi="Times New Roman;Times;serif"/>
          <w:sz w:val="20"/>
        </w:rPr>
        <w:t>Reportable segment financial information for the three and nine months ended September 30, 2023 and 2022 are as follows:</w:t>
      </w:r>
    </w:p>
    <w:p>
      <w:pPr>
        <w:pStyle w:val="TextBody"/>
        <w:bidi w:val="0"/>
        <w:spacing w:before="0" w:after="0"/>
        <w:ind w:left="0" w:right="0" w:hanging="0"/>
        <w:jc w:val="left"/>
        <w:rPr/>
      </w:pPr>
      <w:r>
        <w:rPr/>
        <w:t>​</w:t>
      </w:r>
    </w:p>
    <w:tbl>
      <w:tblPr>
        <w:tblW w:w="7328" w:type="dxa"/>
        <w:jc w:val="left"/>
        <w:tblInd w:w="0" w:type="dxa"/>
        <w:tblLayout w:type="fixed"/>
        <w:tblCellMar>
          <w:top w:w="0" w:type="dxa"/>
          <w:left w:w="0" w:type="dxa"/>
          <w:bottom w:w="0" w:type="dxa"/>
          <w:right w:w="0" w:type="dxa"/>
        </w:tblCellMar>
      </w:tblPr>
      <w:tblGrid>
        <w:gridCol w:w="2386"/>
        <w:gridCol w:w="326"/>
        <w:gridCol w:w="211"/>
        <w:gridCol w:w="586"/>
        <w:gridCol w:w="326"/>
        <w:gridCol w:w="211"/>
        <w:gridCol w:w="721"/>
        <w:gridCol w:w="326"/>
        <w:gridCol w:w="211"/>
        <w:gridCol w:w="721"/>
        <w:gridCol w:w="326"/>
        <w:gridCol w:w="211"/>
        <w:gridCol w:w="766"/>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515110" cy="175260"/>
                      <wp:effectExtent l="0" t="0" r="0" b="0"/>
                      <wp:wrapNone/>
                      <wp:docPr id="122" name="Frame122"/>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72110" cy="175260"/>
                      <wp:effectExtent l="0" t="0" r="0" b="0"/>
                      <wp:wrapNone/>
                      <wp:docPr id="125" name="Frame12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57835" cy="175260"/>
                      <wp:effectExtent l="0" t="0" r="0" b="0"/>
                      <wp:wrapNone/>
                      <wp:docPr id="128" name="Frame12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57835" cy="175260"/>
                      <wp:effectExtent l="0" t="0" r="0" b="0"/>
                      <wp:wrapNone/>
                      <wp:docPr id="131" name="Frame13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86410" cy="175260"/>
                      <wp:effectExtent l="0" t="0" r="0" b="0"/>
                      <wp:wrapNone/>
                      <wp:docPr id="134" name="Frame13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22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2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22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23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1,837.3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2,911.6</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629.8</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2,305.7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3,541.4</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1,201.4</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1,261.0</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1,254.3</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(268.4)</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985.9</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Ocean Transportation operating revenue excludes inter-segment revenue of $22.5</w:t>
            </w:r>
            <w:r>
              <w:rPr>
                <w:caps w:val="false"/>
                <w:smallCaps w:val="false"/>
              </w:rPr>
              <w:t> </w:t>
            </w:r>
            <w:r>
              <w:rPr>
                <w:rFonts w:ascii="Times New Roman;Times;serif" w:hAnsi="Times New Roman;Times;serif"/>
                <w:b w:val="false"/>
                <w:i w:val="false"/>
                <w:caps w:val="false"/>
                <w:smallCaps w:val="false"/>
                <w:sz w:val="16"/>
              </w:rPr>
              <w:t>million and $28.0</w:t>
            </w:r>
            <w:r>
              <w:rPr>
                <w:caps w:val="false"/>
                <w:smallCaps w:val="false"/>
              </w:rPr>
              <w:t> </w:t>
            </w:r>
            <w:r>
              <w:rPr>
                <w:rFonts w:ascii="Times New Roman;Times;serif" w:hAnsi="Times New Roman;Times;serif"/>
                <w:b w:val="false"/>
                <w:i w:val="false"/>
                <w:caps w:val="false"/>
                <w:smallCaps w:val="false"/>
                <w:sz w:val="16"/>
              </w:rPr>
              <w:t>million for the three months ended September 30, 2023 and 2022, and $57.6</w:t>
            </w:r>
            <w:r>
              <w:rPr>
                <w:caps w:val="false"/>
                <w:smallCaps w:val="false"/>
              </w:rPr>
              <w:t> </w:t>
            </w:r>
            <w:r>
              <w:rPr>
                <w:rFonts w:ascii="Times New Roman;Times;serif" w:hAnsi="Times New Roman;Times;serif"/>
                <w:b w:val="false"/>
                <w:i w:val="false"/>
                <w:caps w:val="false"/>
                <w:smallCaps w:val="false"/>
                <w:sz w:val="16"/>
              </w:rPr>
              <w:t>million and $73.8</w:t>
            </w:r>
            <w:r>
              <w:rPr>
                <w:caps w:val="false"/>
                <w:smallCaps w:val="false"/>
              </w:rPr>
              <w:t> </w:t>
            </w:r>
            <w:r>
              <w:rPr>
                <w:rFonts w:ascii="Times New Roman;Times;serif" w:hAnsi="Times New Roman;Times;serif"/>
                <w:b w:val="false"/>
                <w:i w:val="false"/>
                <w:caps w:val="false"/>
                <w:smallCaps w:val="false"/>
                <w:sz w:val="16"/>
              </w:rPr>
              <w:t>million for the nine months ended September 30, 2023 and 2022, respectively.</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0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Logistics operating revenue excludes inter-segment revenue of $38.6</w:t>
            </w:r>
            <w:r>
              <w:rPr>
                <w:caps w:val="false"/>
                <w:smallCaps w:val="false"/>
              </w:rPr>
              <w:t> </w:t>
            </w:r>
            <w:r>
              <w:rPr>
                <w:rFonts w:ascii="Times New Roman;Times;serif" w:hAnsi="Times New Roman;Times;serif"/>
                <w:b w:val="false"/>
                <w:i w:val="false"/>
                <w:caps w:val="false"/>
                <w:smallCaps w:val="false"/>
                <w:sz w:val="16"/>
              </w:rPr>
              <w:t>million and $50.2</w:t>
            </w:r>
            <w:r>
              <w:rPr>
                <w:caps w:val="false"/>
                <w:smallCaps w:val="false"/>
              </w:rPr>
              <w:t> </w:t>
            </w:r>
            <w:r>
              <w:rPr>
                <w:rFonts w:ascii="Times New Roman;Times;serif" w:hAnsi="Times New Roman;Times;serif"/>
                <w:b w:val="false"/>
                <w:i w:val="false"/>
                <w:caps w:val="false"/>
                <w:smallCaps w:val="false"/>
                <w:sz w:val="16"/>
              </w:rPr>
              <w:t>million for the three months ended September 30, 2023 and 2022, and $98.0</w:t>
            </w:r>
            <w:r>
              <w:rPr>
                <w:caps w:val="false"/>
                <w:smallCaps w:val="false"/>
              </w:rPr>
              <w:t> </w:t>
            </w:r>
            <w:r>
              <w:rPr>
                <w:rFonts w:ascii="Times New Roman;Times;serif" w:hAnsi="Times New Roman;Times;serif"/>
                <w:b w:val="false"/>
                <w:i w:val="false"/>
                <w:caps w:val="false"/>
                <w:smallCaps w:val="false"/>
                <w:sz w:val="16"/>
              </w:rPr>
              <w:t>million and $146.8</w:t>
            </w:r>
            <w:r>
              <w:rPr>
                <w:caps w:val="false"/>
                <w:smallCaps w:val="false"/>
              </w:rPr>
              <w:t> </w:t>
            </w:r>
            <w:r>
              <w:rPr>
                <w:rFonts w:ascii="Times New Roman;Times;serif" w:hAnsi="Times New Roman;Times;serif"/>
                <w:b w:val="false"/>
                <w:i w:val="false"/>
                <w:caps w:val="false"/>
                <w:smallCaps w:val="false"/>
                <w:sz w:val="16"/>
              </w:rPr>
              <w:t xml:space="preserve">million for the nine months ended September 30, 2023 and 2022, respectively.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91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Ocean Transportation segment information includes $1.3</w:t>
            </w:r>
            <w:r>
              <w:rPr>
                <w:caps w:val="false"/>
                <w:smallCaps w:val="false"/>
              </w:rPr>
              <w:t> </w:t>
            </w:r>
            <w:r>
              <w:rPr>
                <w:rFonts w:ascii="Times New Roman;Times;serif" w:hAnsi="Times New Roman;Times;serif"/>
                <w:b w:val="false"/>
                <w:i w:val="false"/>
                <w:caps w:val="false"/>
                <w:smallCaps w:val="false"/>
                <w:sz w:val="16"/>
              </w:rPr>
              <w:t>million and $23.4</w:t>
            </w:r>
            <w:r>
              <w:rPr>
                <w:caps w:val="false"/>
                <w:smallCaps w:val="false"/>
              </w:rPr>
              <w:t> </w:t>
            </w:r>
            <w:r>
              <w:rPr>
                <w:rFonts w:ascii="Times New Roman;Times;serif" w:hAnsi="Times New Roman;Times;serif"/>
                <w:b w:val="false"/>
                <w:i w:val="false"/>
                <w:caps w:val="false"/>
                <w:smallCaps w:val="false"/>
                <w:sz w:val="16"/>
              </w:rPr>
              <w:t>million of income from the Company’s equity investment in SSAT for the three months ended September 30, 2023 and 2022, and $(1.9)</w:t>
            </w:r>
            <w:r>
              <w:rPr>
                <w:caps w:val="false"/>
                <w:smallCaps w:val="false"/>
              </w:rPr>
              <w:t> </w:t>
            </w:r>
            <w:r>
              <w:rPr>
                <w:rFonts w:ascii="Times New Roman;Times;serif" w:hAnsi="Times New Roman;Times;serif"/>
                <w:b w:val="false"/>
                <w:i w:val="false"/>
                <w:caps w:val="false"/>
                <w:smallCaps w:val="false"/>
                <w:sz w:val="16"/>
              </w:rPr>
              <w:t>million and $82.1</w:t>
            </w:r>
            <w:r>
              <w:rPr>
                <w:caps w:val="false"/>
                <w:smallCaps w:val="false"/>
              </w:rPr>
              <w:t> </w:t>
            </w:r>
            <w:r>
              <w:rPr>
                <w:rFonts w:ascii="Times New Roman;Times;serif" w:hAnsi="Times New Roman;Times;serif"/>
                <w:b w:val="false"/>
                <w:i w:val="false"/>
                <w:caps w:val="false"/>
                <w:smallCaps w:val="false"/>
                <w:sz w:val="16"/>
              </w:rPr>
              <w:t>million of (loss) income for the nine months ended September 30, 2023 and 2022, respectively.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996" w:name="Tc_xln2ulk200Kmq3O3pzk39A_11_5"/>
      <w:bookmarkStart w:id="997" w:name="Tc_CrYWyMkl80aEFwZsgiRe-A_11_2"/>
      <w:bookmarkStart w:id="998" w:name="Tc_v837xPSJhkiJUcqqXDlq_g_11_0"/>
      <w:bookmarkStart w:id="999" w:name="Tc_BAeZgStCX06HENKiuTARlA_10_0"/>
      <w:bookmarkStart w:id="1000" w:name="Tc_HQoWXB-pjkyMlZO4mPqvkA_9_0"/>
      <w:bookmarkStart w:id="1001" w:name="Tc_q2hdfm_Z5E66skTEGpdCGQ_8_0"/>
      <w:bookmarkStart w:id="1002" w:name="Tc_VylRukcYAkaMiP6EvOLAaw_7_0"/>
      <w:bookmarkStart w:id="1003" w:name="Tc_ewh0Tx_ptk-XGNsR6LiDvg_6_0"/>
      <w:bookmarkStart w:id="1004" w:name="Tc_y8uQ27eSlUOfoJFUBoMHIg_5_0"/>
      <w:bookmarkStart w:id="1005" w:name="Tc_3XuzIkrmNkCKmSwLZ_5tog_4_5"/>
      <w:bookmarkStart w:id="1006" w:name="Tc_WE0a37nY7UShJYzQnJHXuw_4_2"/>
      <w:bookmarkStart w:id="1007" w:name="Tc_07H6JUa4LEWjKhPYfcs4Hg_4_0"/>
      <w:bookmarkStart w:id="1008" w:name="Tc_9jg4Kg8mx02EoajAakqUug_3_0"/>
      <w:bookmarkStart w:id="1009" w:name="Tc_5GfE45Qvg06ar7gdbhb3sA_2_5"/>
      <w:bookmarkStart w:id="1010" w:name="Tc_nRC-ISR0bkasn7Z_fVRI_A_2_2"/>
      <w:bookmarkStart w:id="1011" w:name="Tc_XIZh2G7wh0So_fQT0iak1A_2_0"/>
      <w:bookmarkStart w:id="1012" w:name="Tc_ZW0vwXVuNEWmkF7hly-v_Q_1_5"/>
      <w:bookmarkStart w:id="1013" w:name="Tc_yBjm3n8Nj0SqIL722F3DjA_1_2"/>
      <w:bookmarkStart w:id="1014" w:name="_contentSection_391a0d21_2631_4624_b9dc_"/>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r>
        <w:rPr>
          <w:rFonts w:ascii="Times New Roman;Times;serif" w:hAnsi="Times New Roman;Times;serif"/>
          <w:b/>
          <w:sz w:val="20"/>
        </w:rPr>
        <w:t>4.          PROPERTY AND EQUIPMENT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as of September 30, 2023 and December 31, 2022 consisted of the following:</w:t>
      </w:r>
    </w:p>
    <w:p>
      <w:pPr>
        <w:pStyle w:val="TextBody"/>
        <w:bidi w:val="0"/>
        <w:spacing w:before="0" w:after="0"/>
        <w:ind w:left="0" w:right="0" w:hanging="0"/>
        <w:jc w:val="left"/>
        <w:rPr/>
      </w:pPr>
      <w:r>
        <w:rPr/>
        <w:t>​</w:t>
      </w:r>
    </w:p>
    <w:tbl>
      <w:tblPr>
        <w:tblW w:w="6173" w:type="dxa"/>
        <w:jc w:val="left"/>
        <w:tblInd w:w="0" w:type="dxa"/>
        <w:tblLayout w:type="fixed"/>
        <w:tblCellMar>
          <w:top w:w="0" w:type="dxa"/>
          <w:left w:w="0" w:type="dxa"/>
          <w:bottom w:w="0" w:type="dxa"/>
          <w:right w:w="0" w:type="dxa"/>
        </w:tblCellMar>
      </w:tblPr>
      <w:tblGrid>
        <w:gridCol w:w="3151"/>
        <w:gridCol w:w="326"/>
        <w:gridCol w:w="252"/>
        <w:gridCol w:w="933"/>
        <w:gridCol w:w="326"/>
        <w:gridCol w:w="228"/>
        <w:gridCol w:w="957"/>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00885" cy="175260"/>
                      <wp:effectExtent l="0" t="0" r="0" b="0"/>
                      <wp:wrapNone/>
                      <wp:docPr id="135" name="Frame135"/>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60020" cy="175260"/>
                      <wp:effectExtent l="0" t="0" r="0" b="0"/>
                      <wp:wrapNone/>
                      <wp:docPr id="137" name="Frame137"/>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92455" cy="175260"/>
                      <wp:effectExtent l="0" t="0" r="0" b="0"/>
                      <wp:wrapNone/>
                      <wp:docPr id="138" name="Frame138"/>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44780" cy="175260"/>
                      <wp:effectExtent l="0" t="0" r="0" b="0"/>
                      <wp:wrapNone/>
                      <wp:docPr id="140" name="Frame140"/>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07695" cy="175260"/>
                      <wp:effectExtent l="0" t="0" r="0" b="0"/>
                      <wp:wrapNone/>
                      <wp:docPr id="141" name="Frame141"/>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1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center"/>
              <w:rPr/>
            </w:pPr>
            <w:r>
              <w:rPr/>
              <w:t>​</w:t>
            </w:r>
          </w:p>
        </w:tc>
        <w:tc>
          <w:tcPr>
            <w:tcW w:w="933"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center"/>
              <w:rPr/>
            </w:pPr>
            <w:r>
              <w:rPr/>
              <w:t>​</w:t>
            </w:r>
          </w:p>
        </w:tc>
        <w:tc>
          <w:tcPr>
            <w:tcW w:w="957" w:type="dxa"/>
            <w:tcBorders/>
            <w:shd w:fill="CCEEFF" w:val="clear"/>
            <w:vAlign w:val="center"/>
          </w:tcPr>
          <w:p>
            <w:pPr>
              <w:pStyle w:val="TableContents"/>
              <w:bidi w:val="0"/>
              <w:spacing w:before="0" w:after="0"/>
              <w:ind w:left="0" w:right="0" w:hanging="0"/>
              <w:jc w:val="center"/>
              <w:rPr/>
            </w:pPr>
            <w:r>
              <w:rPr/>
              <w:t>​</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Vessels</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2,260.4</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2,278.6</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Containers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800.3</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762.7</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Terminal facilities and other property</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147.7</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vessel construction in progress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construction in progress</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3,428.1</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3,288.7</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(1,369.6)</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(1,326.2)</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2,058.5</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1,962.5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vessel construction in progress at September 30, 2023 and December 31, 2022 includes milestone progress payments, capitalized interest and other costs related to the construction of three new Jones Act vessels.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015" w:name="Tc_zO0hFLUnW0-6SeLHrjeEdg_3_8"/>
      <w:bookmarkStart w:id="1016" w:name="Tc_6podjgS_NUKADbMX3kHcKQ_3_5"/>
      <w:bookmarkStart w:id="1017" w:name="Tc_gQ45RrpK50i_BCmPXo7qYQ_3_2"/>
      <w:bookmarkStart w:id="1018" w:name="Tc_K1IChbCeMEeDLhFmS-1i_w_3_0"/>
      <w:bookmarkStart w:id="1019" w:name="Tc_1T9wSuP-Zk-XeaDC1Sq4tQ_2_8"/>
      <w:bookmarkStart w:id="1020" w:name="Tc_73ch6oAMzECtQsyHzm5tHg_2_5"/>
      <w:bookmarkStart w:id="1021" w:name="Tc_AfgOzbfSe0qXbASoJ5jY2w_2_2"/>
      <w:bookmarkStart w:id="1022" w:name="Tc_20ewMJ1wrkGVfHXi1al96Q_2_0"/>
      <w:bookmarkStart w:id="1023" w:name="Tc_LuGnqCGiRECCIpLiTz9niA_1_2"/>
      <w:bookmarkEnd w:id="1015"/>
      <w:bookmarkEnd w:id="1016"/>
      <w:bookmarkEnd w:id="1017"/>
      <w:bookmarkEnd w:id="1018"/>
      <w:bookmarkEnd w:id="1019"/>
      <w:bookmarkEnd w:id="1020"/>
      <w:bookmarkEnd w:id="1021"/>
      <w:bookmarkEnd w:id="1022"/>
      <w:bookmarkEnd w:id="1023"/>
      <w:r>
        <w:rPr>
          <w:rFonts w:ascii="Times New Roman;Times;serif" w:hAnsi="Times New Roman;Times;serif"/>
          <w:b/>
          <w:sz w:val="20"/>
        </w:rPr>
        <w:t>5.          GOODWILL AND INTANGIBLES</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by segment as of September 30, 2023 and December 31, 2022 consisted of the following:</w:t>
      </w:r>
    </w:p>
    <w:p>
      <w:pPr>
        <w:pStyle w:val="TextBody"/>
        <w:bidi w:val="0"/>
        <w:spacing w:before="0" w:after="0"/>
        <w:ind w:left="0" w:right="0" w:hanging="0"/>
        <w:jc w:val="left"/>
        <w:rPr/>
      </w:pPr>
      <w:r>
        <w:rPr/>
        <w:t>​</w:t>
      </w:r>
    </w:p>
    <w:tbl>
      <w:tblPr>
        <w:tblW w:w="4940" w:type="dxa"/>
        <w:jc w:val="left"/>
        <w:tblInd w:w="0" w:type="dxa"/>
        <w:tblLayout w:type="fixed"/>
        <w:tblCellMar>
          <w:top w:w="0" w:type="dxa"/>
          <w:left w:w="0" w:type="dxa"/>
          <w:bottom w:w="0" w:type="dxa"/>
          <w:right w:w="0" w:type="dxa"/>
        </w:tblCellMar>
      </w:tblPr>
      <w:tblGrid>
        <w:gridCol w:w="991"/>
        <w:gridCol w:w="326"/>
        <w:gridCol w:w="328"/>
        <w:gridCol w:w="888"/>
        <w:gridCol w:w="326"/>
        <w:gridCol w:w="211"/>
        <w:gridCol w:w="571"/>
        <w:gridCol w:w="326"/>
        <w:gridCol w:w="211"/>
        <w:gridCol w:w="571"/>
        <w:gridCol w:w="191"/>
      </w:tblGrid>
      <w:tr>
        <w:trPr/>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29285" cy="175260"/>
                      <wp:effectExtent l="0" t="0" r="0" b="0"/>
                      <wp:wrapNone/>
                      <wp:docPr id="142" name="Frame14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8280" cy="175260"/>
                      <wp:effectExtent l="0" t="0" r="0" b="0"/>
                      <wp:wrapNone/>
                      <wp:docPr id="144" name="Frame144"/>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63880" cy="175260"/>
                      <wp:effectExtent l="0" t="0" r="0" b="0"/>
                      <wp:wrapNone/>
                      <wp:docPr id="145" name="Frame145"/>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362585" cy="175260"/>
                      <wp:effectExtent l="0" t="0" r="0" b="0"/>
                      <wp:wrapNone/>
                      <wp:docPr id="148" name="Frame14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362585" cy="175260"/>
                      <wp:effectExtent l="0" t="0" r="0" b="0"/>
                      <wp:wrapNone/>
                      <wp:docPr id="151" name="Frame15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21285" cy="175260"/>
                      <wp:effectExtent l="0" t="0" r="0" b="0"/>
                      <wp:wrapNone/>
                      <wp:docPr id="152" name="Frame15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Ocean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9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Transportation</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Logistics</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1" w:type="dxa"/>
            <w:tcBorders/>
            <w:vAlign w:val="center"/>
          </w:tcPr>
          <w:p>
            <w:pPr>
              <w:pStyle w:val="TableContents"/>
              <w:bidi w:val="0"/>
              <w:spacing w:before="0" w:after="0"/>
              <w:ind w:left="0" w:right="0" w:hanging="0"/>
              <w:jc w:val="left"/>
              <w:rPr/>
            </w:pPr>
            <w:r>
              <w:rPr/>
              <w:t> </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024" w:name="Tc_Pkj8z3IlDUWTTH9F5_Bl7w_10_5"/>
      <w:bookmarkStart w:id="1025" w:name="Tc_w-cvLK-0sESWqfDyvwBM8g_10_2"/>
      <w:bookmarkStart w:id="1026" w:name="Tc_51mWdaNEdkGO9xVz4Rrmig_10_0"/>
      <w:bookmarkStart w:id="1027" w:name="Tc_EVXzZWxMwk2LZqIj5iMtjw_9_0"/>
      <w:bookmarkStart w:id="1028" w:name="Tc_QJ6MbHAD0EaJ4vfBSP5k3A_8_0"/>
      <w:bookmarkStart w:id="1029" w:name="Tc_eOBgzMAqqEK2X2vtPOcOnw_7_0"/>
      <w:bookmarkStart w:id="1030" w:name="Tc_hujfbZ-feEm-LSTFqvDBgQ_6_0"/>
      <w:bookmarkStart w:id="1031" w:name="Tc_QOa7T707FU6xCDRCFZRhXA_5_0"/>
      <w:bookmarkStart w:id="1032" w:name="Tc_SkKLCGynHk21hQTUlvLz5Q_4_5"/>
      <w:bookmarkStart w:id="1033" w:name="Tc_2NJr6I-ILkO2812OzBozFA_4_2"/>
      <w:bookmarkStart w:id="1034" w:name="Tc_Iq7LQp-dPkWmd0y06aumSw_4_0"/>
      <w:bookmarkStart w:id="1035" w:name="Tc_3BTOvaJNa0aNeWxxDVefKw_3_0"/>
      <w:bookmarkStart w:id="1036" w:name="Tc_9IG8vbJ3H06n6aliOuaz8w_2_5"/>
      <w:bookmarkStart w:id="1037" w:name="Tc_AEs7xESKLk6f3LysLTGN9A_2_2"/>
      <w:bookmarkStart w:id="1038" w:name="Tc_iTbX_PUVX0KFksWtf6MZMg_2_0"/>
      <w:bookmarkStart w:id="1039" w:name="Tc_z_d1fB2cfEacvxyN1rLT1A_1_5"/>
      <w:bookmarkStart w:id="1040" w:name="Tc_4ndmYxuYcU6bLqL6hJV0Zw_1_2"/>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r>
        <w:rPr>
          <w:rFonts w:ascii="Times New Roman;Times;serif" w:hAnsi="Times New Roman;Times;serif"/>
          <w:sz w:val="20"/>
        </w:rPr>
        <w:t xml:space="preserve">Intangible assets as of September 30, 2023 and December 31, 2022 consisted of the following: </w:t>
      </w:r>
    </w:p>
    <w:p>
      <w:pPr>
        <w:pStyle w:val="TextBody"/>
        <w:bidi w:val="0"/>
        <w:spacing w:lineRule="atLeast" w:line="200" w:before="0" w:after="0"/>
        <w:ind w:left="0" w:right="0" w:hanging="0"/>
        <w:jc w:val="left"/>
        <w:rPr/>
      </w:pPr>
      <w:r>
        <w:rPr/>
        <w:t>​</w:t>
      </w:r>
    </w:p>
    <w:tbl>
      <w:tblPr>
        <w:tblW w:w="6027" w:type="dxa"/>
        <w:jc w:val="left"/>
        <w:tblInd w:w="0" w:type="dxa"/>
        <w:tblLayout w:type="fixed"/>
        <w:tblCellMar>
          <w:top w:w="0" w:type="dxa"/>
          <w:left w:w="0" w:type="dxa"/>
          <w:bottom w:w="0" w:type="dxa"/>
          <w:right w:w="0" w:type="dxa"/>
        </w:tblCellMar>
      </w:tblPr>
      <w:tblGrid>
        <w:gridCol w:w="2896"/>
        <w:gridCol w:w="326"/>
        <w:gridCol w:w="319"/>
        <w:gridCol w:w="866"/>
        <w:gridCol w:w="326"/>
        <w:gridCol w:w="307"/>
        <w:gridCol w:w="833"/>
        <w:gridCol w:w="154"/>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838960" cy="175260"/>
                      <wp:effectExtent l="0" t="0" r="0" b="0"/>
                      <wp:wrapNone/>
                      <wp:docPr id="153" name="Frame153"/>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2565" cy="175260"/>
                      <wp:effectExtent l="0" t="0" r="0" b="0"/>
                      <wp:wrapNone/>
                      <wp:docPr id="155" name="Frame155"/>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49910" cy="175260"/>
                      <wp:effectExtent l="0" t="0" r="0" b="0"/>
                      <wp:wrapNone/>
                      <wp:docPr id="156" name="Frame156"/>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94945" cy="175260"/>
                      <wp:effectExtent l="0" t="0" r="0" b="0"/>
                      <wp:wrapNone/>
                      <wp:docPr id="158" name="Frame158"/>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28955" cy="175260"/>
                      <wp:effectExtent l="0" t="0" r="0" b="0"/>
                      <wp:wrapNone/>
                      <wp:docPr id="159" name="Frame159"/>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97790" cy="175260"/>
                      <wp:effectExtent l="0" t="0" r="0" b="0"/>
                      <wp:wrapNone/>
                      <wp:docPr id="160" name="Frame16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center"/>
              <w:rPr/>
            </w:pPr>
            <w:r>
              <w:rPr/>
              <w:t>​</w:t>
            </w:r>
          </w:p>
        </w:tc>
        <w:tc>
          <w:tcPr>
            <w:tcW w:w="86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center"/>
              <w:rPr/>
            </w:pPr>
            <w:r>
              <w:rPr/>
              <w:t>​</w:t>
            </w:r>
          </w:p>
        </w:tc>
        <w:tc>
          <w:tcPr>
            <w:tcW w:w="833" w:type="dxa"/>
            <w:tcBorders/>
            <w:shd w:fill="CCEEFF" w:val="clear"/>
            <w:vAlign w:val="center"/>
          </w:tcPr>
          <w:p>
            <w:pPr>
              <w:pStyle w:val="TableContents"/>
              <w:bidi w:val="0"/>
              <w:spacing w:before="0" w:after="0"/>
              <w:ind w:left="0" w:right="0" w:hanging="0"/>
              <w:jc w:val="center"/>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252.4</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235.9</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Customer Relationships, net</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153.5</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name – Logistics</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 net</w:t>
            </w:r>
          </w:p>
        </w:tc>
        <w:tc>
          <w:tcPr>
            <w:tcW w:w="326"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180.8</w:t>
            </w:r>
          </w:p>
        </w:tc>
        <w:tc>
          <w:tcPr>
            <w:tcW w:w="326" w:type="dxa"/>
            <w:tcBorders/>
            <w:vAlign w:val="center"/>
          </w:tcPr>
          <w:p>
            <w:pPr>
              <w:pStyle w:val="TableContents"/>
              <w:bidi w:val="0"/>
              <w:spacing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174.9</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lineRule="atLeast" w:line="200" w:before="0" w:after="0"/>
        <w:ind w:left="0" w:right="0" w:hanging="0"/>
        <w:jc w:val="left"/>
        <w:rPr/>
      </w:pPr>
      <w:r>
        <w:rPr/>
        <w:t>​</w:t>
      </w:r>
    </w:p>
    <w:p>
      <w:pPr>
        <w:pStyle w:val="TextBody"/>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On February 27, 2023, the Company completed an asset acquisition consisting of customer relationship intangible assets for $16.5 million, which are being amortized over seven years.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evaluates its goodwill and intangible assets for possible impairment in the fourth quarter, or whenever events or changes in circumstances indicate that it is more likely than not that the fair value is less than its carrying amount. The Company has reporting units within the Ocean Transportation and Logistics reportable segments. The Company considered the general economic and market conditions and its impact on the performance of each of the Company’s reporting units. Based on the Company’s assessment of its market capitalization, future forecasts and the amount of excess of fair value over the carrying value of the reporting units in the 2022 annual impairment tests, the Company concluded that an impairment triggering event did not occur during the three months ended September 30, 2023.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will monitor events and changes in circumstances that could negatively impact the key assumptions used in determining the fair value, including the amount and timing of estimated future cash flows generated by the reporting units, long-term growth and discount rates, comparable company market valuations, and industry and economic trends. It is possible that future changes in such circumstances, including future changes in the assumptions and estimates used in assessing the fair value of the reporting unit, could require the Company to record a non-cash impairment charge.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041" w:name="Tc_ef9WBfWrwEuNKjrLaCITZQ_16_5"/>
      <w:bookmarkStart w:id="1042" w:name="Tc_w7Bs-avceES7fbaaQJWTeQ_16_2"/>
      <w:bookmarkStart w:id="1043" w:name="Tc_xLJG1OKZMU61i_RUDsEgKg_16_0"/>
      <w:bookmarkStart w:id="1044" w:name="Tc_JexLx1QVUU2dO3nHCmZU5w_15_0"/>
      <w:bookmarkStart w:id="1045" w:name="Tc_HSUQ4bIju0CZRMXLhflCOw_14_0"/>
      <w:bookmarkStart w:id="1046" w:name="Tc_CD5cvSX4qk-5QYFMrDwv7w_13_0"/>
      <w:bookmarkStart w:id="1047" w:name="Tc_8I8TNJPMOk2Py-282Uj1Og_12_0"/>
      <w:bookmarkStart w:id="1048" w:name="Tc_t-w752TIf0eyVNCfhHMuZw_11_0"/>
      <w:bookmarkStart w:id="1049" w:name="Tc_adZ8lLwshkmG2zYq-ktqug_10_0"/>
      <w:bookmarkStart w:id="1050" w:name="Tc_lHpuqZPR70WOzfu2nJEQug_9_3"/>
      <w:bookmarkStart w:id="1051" w:name="Tc_2igMAjyEEE25V18vr0AutQ_9_0"/>
      <w:bookmarkStart w:id="1052" w:name="Tc_bSd_29QIJE6B5BMoTVpRyw_8_3"/>
      <w:bookmarkStart w:id="1053" w:name="Tc_LYLgRFFxCk-qcC0GfQ32xw_8_0"/>
      <w:bookmarkStart w:id="1054" w:name="Tc_boqUxDs-m0SMg8WXEfmDpg_7_0"/>
      <w:bookmarkStart w:id="1055" w:name="Tc_icVMMPxlBkGF7JkO0BIKJQ_6_0"/>
      <w:bookmarkStart w:id="1056" w:name="Tc_TEEnpcunSEKtjKuC_hq9AA_5_0"/>
      <w:bookmarkStart w:id="1057" w:name="Tc_CpIz1J5elUuBpU4DhdntSw_4_5"/>
      <w:bookmarkStart w:id="1058" w:name="Tc_iVyGD1DdRUK3PrdO2fWizA_4_3"/>
      <w:bookmarkStart w:id="1059" w:name="Tc_nNZNBKxh6E-PeqM0agv1cg_4_2"/>
      <w:bookmarkStart w:id="1060" w:name="Tc_X_1Cb9HlDUScwZsZGZyBUA_4_0"/>
      <w:bookmarkStart w:id="1061" w:name="Tc_Epgm7P7ZO0KuNbTgKDf8-Q_3_0"/>
      <w:bookmarkStart w:id="1062" w:name="Tc_8HGWHqO08EKGsTz4vDRJYw_2_5"/>
      <w:bookmarkStart w:id="1063" w:name="Tc_Jas1JUGTt0qQHkCPVMfHeg_2_2"/>
      <w:bookmarkStart w:id="1064" w:name="Tc_wcyA33BVoUikh8muQL2LDA_2_0"/>
      <w:bookmarkStart w:id="1065" w:name="Tc_n7LwQ3brEkmv28tQFq7bIA_1_5"/>
      <w:bookmarkStart w:id="1066" w:name="Tc_hjqU1QAASUe3nTa8Yejo0A_1_2"/>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r>
        <w:rPr>
          <w:rFonts w:ascii="Times New Roman;Times;serif" w:hAnsi="Times New Roman;Times;serif"/>
          <w:b/>
          <w:sz w:val="20"/>
        </w:rPr>
        <w:t>6.</w:t>
      </w:r>
      <w:r>
        <w:rPr>
          <w:rFonts w:ascii="Times New Roman;Times;serif" w:hAnsi="Times New Roman;Times;serif"/>
          <w:sz w:val="20"/>
        </w:rPr>
        <w:t>          </w:t>
      </w:r>
      <w:r>
        <w:rPr>
          <w:rFonts w:ascii="Times New Roman;Times;serif" w:hAnsi="Times New Roman;Times;serif"/>
          <w:b/>
          <w:sz w:val="20"/>
        </w:rPr>
        <w:t>DEBT</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September 30, 2023 and December 31, 2022, the Company’s debt consisted of the following:</w:t>
      </w:r>
    </w:p>
    <w:p>
      <w:pPr>
        <w:pStyle w:val="TextBody"/>
        <w:bidi w:val="0"/>
        <w:spacing w:lineRule="atLeast" w:line="200" w:before="0" w:after="0"/>
        <w:ind w:left="0" w:right="0" w:hanging="0"/>
        <w:jc w:val="left"/>
        <w:rPr/>
      </w:pPr>
      <w:r>
        <w:rPr/>
        <w:t>​</w:t>
      </w:r>
    </w:p>
    <w:tbl>
      <w:tblPr>
        <w:tblW w:w="6938" w:type="dxa"/>
        <w:jc w:val="left"/>
        <w:tblInd w:w="0" w:type="dxa"/>
        <w:tblLayout w:type="fixed"/>
        <w:tblCellMar>
          <w:top w:w="0" w:type="dxa"/>
          <w:left w:w="0" w:type="dxa"/>
          <w:bottom w:w="0" w:type="dxa"/>
          <w:right w:w="0" w:type="dxa"/>
        </w:tblCellMar>
      </w:tblPr>
      <w:tblGrid>
        <w:gridCol w:w="3916"/>
        <w:gridCol w:w="326"/>
        <w:gridCol w:w="319"/>
        <w:gridCol w:w="866"/>
        <w:gridCol w:w="326"/>
        <w:gridCol w:w="281"/>
        <w:gridCol w:w="904"/>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486660" cy="175260"/>
                      <wp:effectExtent l="0" t="0" r="0" b="0"/>
                      <wp:wrapNone/>
                      <wp:docPr id="161" name="Frame161"/>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2565" cy="175260"/>
                      <wp:effectExtent l="0" t="0" r="0" b="0"/>
                      <wp:wrapNone/>
                      <wp:docPr id="163" name="Frame163"/>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49910" cy="175260"/>
                      <wp:effectExtent l="0" t="0" r="0" b="0"/>
                      <wp:wrapNone/>
                      <wp:docPr id="164" name="Frame164"/>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78435" cy="175260"/>
                      <wp:effectExtent l="0" t="0" r="0" b="0"/>
                      <wp:wrapNone/>
                      <wp:docPr id="166" name="Frame166"/>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74040" cy="175260"/>
                      <wp:effectExtent l="0" t="0" r="0" b="0"/>
                      <wp:wrapNone/>
                      <wp:docPr id="167" name="Frame167"/>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9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Private Placement Term Loans:</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pPr>
            <w:r>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3.66 %, payable through 2023</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3.37 %, payable through 2027</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3.14 %, payable through 2031</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114.4 </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132.8 </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XI Debt:</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pPr>
            <w:r>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5.34 %, payable through 2028</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13.2 </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5.27 %, payable through 2029</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15.4 </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1.22 %, payable through 2043</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162.2 </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166.2 </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1.35 %, payable through 2044</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121.8 </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127.7 </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450.3</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517.5</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410.6</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440.6</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Deferred loan fees</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 net of deferred loan fees</w:t>
            </w:r>
          </w:p>
        </w:tc>
        <w:tc>
          <w:tcPr>
            <w:tcW w:w="326"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398.7</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427.7</w:t>
            </w:r>
          </w:p>
        </w:tc>
      </w:tr>
    </w:tbl>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Except as described below, the Company’s debt is described in Note 8 to the Consolidated Financial Statements included in the Company’s Annual Report on Form 10-K for the year ended December 31, 2022.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Revolving Credit Facility:</w:t>
      </w:r>
      <w:r>
        <w:rPr>
          <w:rFonts w:ascii="Times New Roman;Times;serif" w:hAnsi="Times New Roman;Times;serif"/>
          <w:sz w:val="20"/>
        </w:rPr>
        <w:t xml:space="preserve"> The Company’s revolving credit facility has committed available borrowing of up to $650 million and matures on March 31, 2026. As of September 30, 2023, the Company had $642.6 million of remaining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067" w:name="Tc_XfKrSTYUDk2C__o5G0geLg_9_2"/>
      <w:bookmarkStart w:id="1068" w:name="Tc_RARYh05IxkmvVA2V-gczNw_9_0"/>
      <w:bookmarkStart w:id="1069" w:name="Tc_1hja62Wc70aQl8kAscfB6Q_8_0"/>
      <w:bookmarkStart w:id="1070" w:name="Tc_gnmTxD6_hkaVNMTCqvOErw_7_0"/>
      <w:bookmarkStart w:id="1071" w:name="Tc_zdpJPUmXmUOoOk7uWIHSLA_6_0"/>
      <w:bookmarkStart w:id="1072" w:name="Tc_PmvoiM7TNky5i77Soh_DMQ_5_0"/>
      <w:bookmarkStart w:id="1073" w:name="Tc_gbFsMxIQoE6pZRi-lw79fg_4_0"/>
      <w:bookmarkStart w:id="1074" w:name="Tc_lQ3dYdlhkUqqlgP86_bOhg_3_2"/>
      <w:bookmarkStart w:id="1075" w:name="Tc_0WQAFgL6nEa5xFgsEmF06g_3_0"/>
      <w:bookmarkStart w:id="1076" w:name="Tc_UkIEXKDmaUyvkeqrdzM-PQ_2_2"/>
      <w:bookmarkStart w:id="1077" w:name="Tc_OgkWawyJGU6zsQiupxPSSA_2_0"/>
      <w:bookmarkStart w:id="1078" w:name="Tc_eKeVidPBbkOq8VMgJowZzA_1_2"/>
      <w:bookmarkEnd w:id="1067"/>
      <w:bookmarkEnd w:id="1068"/>
      <w:bookmarkEnd w:id="1069"/>
      <w:bookmarkEnd w:id="1070"/>
      <w:bookmarkEnd w:id="1071"/>
      <w:bookmarkEnd w:id="1072"/>
      <w:bookmarkEnd w:id="1073"/>
      <w:bookmarkEnd w:id="1074"/>
      <w:bookmarkEnd w:id="1075"/>
      <w:bookmarkEnd w:id="1076"/>
      <w:bookmarkEnd w:id="1077"/>
      <w:bookmarkEnd w:id="1078"/>
      <w:r>
        <w:rPr>
          <w:rFonts w:ascii="Times New Roman;Times;serif" w:hAnsi="Times New Roman;Times;serif"/>
          <w:sz w:val="20"/>
        </w:rPr>
        <w:t>borrowing availability under the revolving credit facility. The Company used $7.4 million of the revolving credit facility for letters of credit outstanding as of September 30, 2023. There were no outstanding borrowings under the revolving credit facility as of September 30, 2023 and December 31, 2022.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February 9, 2023, the Company amended the revolving credit facility to replace LIBOR with a new benchmark interest rate, the Secured Overnight Financing Rate (“SOFR”). There were no other significant changes to the revolving credit facility as a result of this amendment.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Title XI Bonds:</w:t>
      </w:r>
      <w:r>
        <w:rPr>
          <w:rFonts w:ascii="Times New Roman;Times;serif" w:hAnsi="Times New Roman;Times;serif"/>
          <w:sz w:val="20"/>
        </w:rPr>
        <w:t xml:space="preserve"> On January 27, 2023, the Company prepaid $14.3 million of outstanding principal on the 5.27 percent Title XI Bond representing all of the remaining outstanding principal for this bond. On March 3, 2023, the Company also prepaid $12.1 million of outstanding principal on the 5.34 percent Title XI Bond representing all of the outstanding principal for this bond.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Debt Security and Guarantees:</w:t>
      </w:r>
      <w:r>
        <w:rPr>
          <w:rFonts w:ascii="Times New Roman;Times;serif" w:hAnsi="Times New Roman;Times;serif"/>
          <w:sz w:val="20"/>
        </w:rPr>
        <w:t xml:space="preserve"> All of the debt of the Company and MatNav, including related guarantees, as of September 30, 2023 was unsecured, except for the Title XI debt.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Debt Maturities:</w:t>
      </w:r>
      <w:r>
        <w:rPr>
          <w:rFonts w:ascii="Times New Roman;Times;serif" w:hAnsi="Times New Roman;Times;serif"/>
          <w:sz w:val="20"/>
        </w:rPr>
        <w:t xml:space="preserve"> As of September 30, 2023, debt maturities during the next five years and thereafter are as follows:</w:t>
      </w:r>
    </w:p>
    <w:p>
      <w:pPr>
        <w:pStyle w:val="TextBody"/>
        <w:bidi w:val="0"/>
        <w:spacing w:before="0" w:after="0"/>
        <w:ind w:left="0" w:right="0" w:hanging="0"/>
        <w:jc w:val="left"/>
        <w:rPr/>
      </w:pPr>
      <w:r>
        <w:rPr/>
        <w:t>​</w:t>
      </w:r>
    </w:p>
    <w:tbl>
      <w:tblPr>
        <w:tblW w:w="3598" w:type="dxa"/>
        <w:jc w:val="left"/>
        <w:tblInd w:w="0" w:type="dxa"/>
        <w:tblLayout w:type="fixed"/>
        <w:tblCellMar>
          <w:top w:w="0" w:type="dxa"/>
          <w:left w:w="0" w:type="dxa"/>
          <w:bottom w:w="0" w:type="dxa"/>
          <w:right w:w="0" w:type="dxa"/>
        </w:tblCellMar>
      </w:tblPr>
      <w:tblGrid>
        <w:gridCol w:w="1681"/>
        <w:gridCol w:w="326"/>
        <w:gridCol w:w="378"/>
        <w:gridCol w:w="1213"/>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067435" cy="175260"/>
                      <wp:effectExtent l="0" t="0" r="0" b="0"/>
                      <wp:wrapNone/>
                      <wp:docPr id="168" name="Frame168"/>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40030" cy="175260"/>
                      <wp:effectExtent l="0" t="0" r="0" b="0"/>
                      <wp:wrapNone/>
                      <wp:docPr id="170" name="Frame170"/>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770255" cy="175260"/>
                      <wp:effectExtent l="0" t="0" r="0" b="0"/>
                      <wp:wrapNone/>
                      <wp:docPr id="171" name="Frame171"/>
                      <a:graphic xmlns:a="http://schemas.openxmlformats.org/drawingml/2006/main">
                        <a:graphicData uri="http://schemas.microsoft.com/office/word/2010/wordprocessingShape">
                          <wps:wsp>
                            <wps:cNvSpPr txBox="1"/>
                            <wps:spPr>
                              <a:xfrm>
                                <a:off x="0" y="0"/>
                                <a:ext cx="770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81" w:type="dxa"/>
            <w:tcBorders/>
            <w:vAlign w:val="center"/>
          </w:tcPr>
          <w:p>
            <w:pPr>
              <w:pStyle w:val="TableContents"/>
              <w:bidi w:val="0"/>
              <w:spacing w:before="0" w:after="0"/>
              <w:ind w:left="0" w:right="0" w:hanging="0"/>
              <w:jc w:val="left"/>
              <w:rPr>
                <w:color w:val="0563C1"/>
              </w:rPr>
            </w:pPr>
            <w:r>
              <w:rPr>
                <w:color w:val="0563C1"/>
              </w:rPr>
              <w:t>​</w:t>
            </w:r>
          </w:p>
        </w:tc>
        <w:tc>
          <w:tcPr>
            <w:tcW w:w="326" w:type="dxa"/>
            <w:tcBorders/>
            <w:vAlign w:val="center"/>
          </w:tcPr>
          <w:p>
            <w:pPr>
              <w:pStyle w:val="TableContents"/>
              <w:bidi w:val="0"/>
              <w:spacing w:before="0" w:after="0"/>
              <w:ind w:left="0" w:right="0" w:hanging="0"/>
              <w:jc w:val="left"/>
              <w:rPr/>
            </w:pPr>
            <w:r>
              <w:rPr/>
              <w:t>​</w:t>
            </w:r>
          </w:p>
        </w:tc>
        <w:tc>
          <w:tcPr>
            <w:tcW w:w="15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6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(in millions)</w:t>
            </w:r>
          </w:p>
        </w:tc>
        <w:tc>
          <w:tcPr>
            <w:tcW w:w="326" w:type="dxa"/>
            <w:tcBorders/>
            <w:vAlign w:val="center"/>
          </w:tcPr>
          <w:p>
            <w:pPr>
              <w:pStyle w:val="TableContents"/>
              <w:bidi w:val="0"/>
              <w:spacing w:before="0" w:after="0"/>
              <w:ind w:left="0" w:right="0" w:hanging="0"/>
              <w:jc w:val="left"/>
              <w:rPr/>
            </w:pPr>
            <w:r>
              <w:rPr/>
              <w:t>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2023</w:t>
            </w:r>
          </w:p>
        </w:tc>
        <w:tc>
          <w:tcPr>
            <w:tcW w:w="32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 </w:t>
            </w:r>
          </w:p>
        </w:tc>
        <w:tc>
          <w:tcPr>
            <w:tcW w:w="12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 </w:t>
            </w:r>
          </w:p>
        </w:tc>
        <w:tc>
          <w:tcPr>
            <w:tcW w:w="12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 </w:t>
            </w:r>
          </w:p>
        </w:tc>
        <w:tc>
          <w:tcPr>
            <w:tcW w:w="12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 </w:t>
            </w:r>
          </w:p>
        </w:tc>
        <w:tc>
          <w:tcPr>
            <w:tcW w:w="12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left"/>
              <w:rPr/>
            </w:pPr>
            <w:r>
              <w:rPr/>
              <w:t>​</w:t>
            </w:r>
          </w:p>
        </w:tc>
        <w:tc>
          <w:tcPr>
            <w:tcW w:w="37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281.8</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shd w:fill="CCEEFF" w:val="clear"/>
            <w:vAlign w:val="center"/>
          </w:tcPr>
          <w:p>
            <w:pPr>
              <w:pStyle w:val="TableContents"/>
              <w:bidi w:val="0"/>
              <w:spacing w:before="0" w:after="0"/>
              <w:ind w:left="0" w:right="0" w:hanging="0"/>
              <w:jc w:val="left"/>
              <w:rPr/>
            </w:pPr>
            <w:r>
              <w:rPr/>
              <w:t>​</w:t>
            </w:r>
          </w:p>
        </w:tc>
        <w:tc>
          <w:tcPr>
            <w:tcW w:w="3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450.3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079" w:name="Tc_lTgiY-I5O0-QBYOffvbaHQ_13_2"/>
      <w:bookmarkStart w:id="1080" w:name="Tc_Zs-2dO2aeEu0jSAAjBUBqg_13_0"/>
      <w:bookmarkStart w:id="1081" w:name="Tc_Pkr4ATctPkaA5pDgpKMlWw_12_0"/>
      <w:bookmarkStart w:id="1082" w:name="Tc_iFtw5BXgp0qJYPk6yWhYqw_11_0"/>
      <w:bookmarkStart w:id="1083" w:name="Tc_USVlo_tUU0KXD2QpiDa91Q_10_0"/>
      <w:bookmarkStart w:id="1084" w:name="Tc_CVXV1H7_002y5L8EgHniaQ_9_0"/>
      <w:bookmarkStart w:id="1085" w:name="Tc_juR7UhZvMkazVKmmeSbf8Q_8_0"/>
      <w:bookmarkStart w:id="1086" w:name="Tc_kg9X6Kiyv0aJCkhA6Kzc_w_7_0"/>
      <w:bookmarkStart w:id="1087" w:name="Tc_GY7T32dxLkmXqHtLlVTICg_6_0"/>
      <w:bookmarkStart w:id="1088" w:name="Tc_tryBIa5LrEWMYYAeuTzFKg_5_0"/>
      <w:bookmarkStart w:id="1089" w:name="Tc_532_JdhpDUOwuxj_c7PZXw_4_0"/>
      <w:bookmarkStart w:id="1090" w:name="Tc_9k_foTvA5E6-t7x0fuqaUw_3_2"/>
      <w:bookmarkStart w:id="1091" w:name="Tc_uecrIC7I6UWspjJiW5ngIA_3_0"/>
      <w:bookmarkStart w:id="1092" w:name="Tc_ZZgF52B0AUmV4-o_t_0zfA_2_2"/>
      <w:bookmarkStart w:id="1093" w:name="Tc_ZfwZSxUwD0S-V8NlQStDag_2_0"/>
      <w:bookmarkStart w:id="1094" w:name="Tc_Bv0zl6jBwk6mBdxG6dW5EQ_1_2"/>
      <w:bookmarkStart w:id="1095" w:name="Tc_Jqnr1jKqokGxS3-UioLarA_7_11"/>
      <w:bookmarkStart w:id="1096" w:name="Tc_wdN8_6evnUWoIlbE3bpOoQ_7_8"/>
      <w:bookmarkStart w:id="1097" w:name="Tc_DKzq0oDU6k2Dl2TxkG-q6w_7_5"/>
      <w:bookmarkStart w:id="1098" w:name="Tc_iLaVSTjp5ESdg52lryz2Yw_7_2"/>
      <w:bookmarkStart w:id="1099" w:name="Tc_Jzm_w1mI1kiz3U_HJg41GA_7_0"/>
      <w:bookmarkStart w:id="1100" w:name="Tc_kQ-ouUmk5kikkb_g1el28w_6_0"/>
      <w:bookmarkStart w:id="1101" w:name="Tc_ysGfacxBbEWwHXxk70OyUg_5_0"/>
      <w:bookmarkStart w:id="1102" w:name="Tc_K5sSRpszOEuSJVS2Za0RZQ_4_11"/>
      <w:bookmarkStart w:id="1103" w:name="Tc_9wk_ti-ai0W39Cvxb_vHkw_4_8"/>
      <w:bookmarkStart w:id="1104" w:name="Tc_5NHxVIlAiUCT_bCJ7U_Hdw_4_5"/>
      <w:bookmarkStart w:id="1105" w:name="Tc_5LYYC4JuCEyWLOHroEpp7g_4_2"/>
      <w:bookmarkStart w:id="1106" w:name="Tc_89KUIJeFfEyKj_AST9ArsQ_4_0"/>
      <w:bookmarkStart w:id="1107" w:name="Tc_3QOhm3zL3keFRjaggsAyyA_3_11"/>
      <w:bookmarkStart w:id="1108" w:name="Tc_AIwGyQRfFkeNIFGHjuyVEA_3_8"/>
      <w:bookmarkStart w:id="1109" w:name="Tc_EF53zTgGbEOFmT69cQF_Dw_3_5"/>
      <w:bookmarkStart w:id="1110" w:name="Tc_ZzZee3Z4QU-W_TC_R4Ilww_3_2"/>
      <w:bookmarkStart w:id="1111" w:name="Tc_l0P7kvWuzECrYEEMwBi2PA_3_0"/>
      <w:bookmarkStart w:id="1112" w:name="Tc_mcFcJ0mQiE-IQ1Q75A-F3w_2_8"/>
      <w:bookmarkStart w:id="1113" w:name="Tc_uNf8HJWqsUeQwkDuSbLqag_2_2"/>
      <w:bookmarkStart w:id="1114" w:name="Tc_U6v4iDSzdU-N1yKiL90_Kg_1_8"/>
      <w:bookmarkStart w:id="1115" w:name="Tc_xWs3yc1s1U2QpCO1vGFJDQ_1_2"/>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r>
        <w:rPr>
          <w:rFonts w:ascii="Times New Roman;Times;serif" w:hAnsi="Times New Roman;Times;serif"/>
          <w:b/>
          <w:sz w:val="20"/>
        </w:rPr>
        <w:t>7.          LEASES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leases are described in Note 9 to the Consolidated Financial Statements included in Part II, Item 8 of the Company’s Annual Report on Form 10-K for the year ended December 31, 2022.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Components of Lease Cost:</w:t>
      </w:r>
      <w:r>
        <w:rPr>
          <w:rFonts w:ascii="Times New Roman;Times;serif" w:hAnsi="Times New Roman;Times;serif"/>
          <w:sz w:val="20"/>
        </w:rPr>
        <w:t xml:space="preserve"> Components of lease cost recorded in the Company’s Condensed Consolidated Statement of Income and Comprehensive Income for the three and nine months ended September 30, 2023 and 2022 consisted of the following: </w:t>
      </w:r>
    </w:p>
    <w:p>
      <w:pPr>
        <w:pStyle w:val="TextBody"/>
        <w:bidi w:val="0"/>
        <w:spacing w:before="0" w:after="0"/>
        <w:ind w:left="0" w:right="0" w:hanging="0"/>
        <w:jc w:val="left"/>
        <w:rPr/>
      </w:pPr>
      <w:r>
        <w:rPr/>
        <w:t>​</w:t>
      </w:r>
    </w:p>
    <w:tbl>
      <w:tblPr>
        <w:tblW w:w="5663" w:type="dxa"/>
        <w:jc w:val="left"/>
        <w:tblInd w:w="0" w:type="dxa"/>
        <w:tblLayout w:type="fixed"/>
        <w:tblCellMar>
          <w:top w:w="0" w:type="dxa"/>
          <w:left w:w="0" w:type="dxa"/>
          <w:bottom w:w="0" w:type="dxa"/>
          <w:right w:w="0" w:type="dxa"/>
        </w:tblCellMar>
      </w:tblPr>
      <w:tblGrid>
        <w:gridCol w:w="1801"/>
        <w:gridCol w:w="326"/>
        <w:gridCol w:w="238"/>
        <w:gridCol w:w="525"/>
        <w:gridCol w:w="123"/>
        <w:gridCol w:w="238"/>
        <w:gridCol w:w="525"/>
        <w:gridCol w:w="109"/>
        <w:gridCol w:w="211"/>
        <w:gridCol w:w="571"/>
        <w:gridCol w:w="109"/>
        <w:gridCol w:w="211"/>
        <w:gridCol w:w="676"/>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143635" cy="175260"/>
                      <wp:effectExtent l="0" t="0" r="0" b="0"/>
                      <wp:wrapNone/>
                      <wp:docPr id="172" name="Frame172"/>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51130" cy="175260"/>
                      <wp:effectExtent l="0" t="0" r="0" b="0"/>
                      <wp:wrapNone/>
                      <wp:docPr id="174" name="Frame174"/>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333375" cy="175260"/>
                      <wp:effectExtent l="0" t="0" r="0" b="0"/>
                      <wp:wrapNone/>
                      <wp:docPr id="175" name="Frame175"/>
                      <a:graphic xmlns:a="http://schemas.openxmlformats.org/drawingml/2006/main">
                        <a:graphicData uri="http://schemas.microsoft.com/office/word/2010/wordprocessingShape">
                          <wps:wsp>
                            <wps:cNvSpPr txBox="1"/>
                            <wps:spPr>
                              <a:xfrm>
                                <a:off x="0" y="0"/>
                                <a:ext cx="333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78105" cy="175260"/>
                      <wp:effectExtent l="0" t="0" r="0" b="0"/>
                      <wp:wrapNone/>
                      <wp:docPr id="176" name="Frame176"/>
                      <a:graphic xmlns:a="http://schemas.openxmlformats.org/drawingml/2006/main">
                        <a:graphicData uri="http://schemas.microsoft.com/office/word/2010/wordprocessingShape">
                          <wps:wsp>
                            <wps:cNvSpPr txBox="1"/>
                            <wps:spPr>
                              <a:xfrm>
                                <a:off x="0" y="0"/>
                                <a:ext cx="78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51130" cy="175260"/>
                      <wp:effectExtent l="0" t="0" r="0" b="0"/>
                      <wp:wrapNone/>
                      <wp:docPr id="177" name="Frame177"/>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333375" cy="175260"/>
                      <wp:effectExtent l="0" t="0" r="0" b="0"/>
                      <wp:wrapNone/>
                      <wp:docPr id="178" name="Frame178"/>
                      <a:graphic xmlns:a="http://schemas.openxmlformats.org/drawingml/2006/main">
                        <a:graphicData uri="http://schemas.microsoft.com/office/word/2010/wordprocessingShape">
                          <wps:wsp>
                            <wps:cNvSpPr txBox="1"/>
                            <wps:spPr>
                              <a:xfrm>
                                <a:off x="0" y="0"/>
                                <a:ext cx="333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215" cy="175260"/>
                      <wp:effectExtent l="0" t="0" r="0" b="0"/>
                      <wp:wrapNone/>
                      <wp:docPr id="179" name="Frame1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80" name="Frame1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362585" cy="175260"/>
                      <wp:effectExtent l="0" t="0" r="0" b="0"/>
                      <wp:wrapNone/>
                      <wp:docPr id="181" name="Frame18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9215" cy="175260"/>
                      <wp:effectExtent l="0" t="0" r="0" b="0"/>
                      <wp:wrapNone/>
                      <wp:docPr id="182" name="Frame1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29260" cy="175260"/>
                      <wp:effectExtent l="0" t="0" r="0" b="0"/>
                      <wp:wrapNone/>
                      <wp:docPr id="184" name="Frame18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4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177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09" w:type="dxa"/>
            <w:tcBorders/>
            <w:vAlign w:val="center"/>
          </w:tcPr>
          <w:p>
            <w:pPr>
              <w:pStyle w:val="TableContents"/>
              <w:bidi w:val="0"/>
              <w:spacing w:before="0" w:after="0"/>
              <w:ind w:left="0" w:right="0" w:hanging="0"/>
              <w:jc w:val="left"/>
              <w:rPr/>
            </w:pPr>
            <w:r>
              <w:rPr/>
              <w:t>​</w:t>
            </w:r>
          </w:p>
        </w:tc>
        <w:tc>
          <w:tcPr>
            <w:tcW w:w="17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18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center"/>
              <w:rPr/>
            </w:pPr>
            <w:r>
              <w:rPr/>
              <w:t>    </w:t>
            </w:r>
          </w:p>
        </w:tc>
        <w:tc>
          <w:tcPr>
            <w:tcW w:w="7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23" w:type="dxa"/>
            <w:tcBorders/>
            <w:vAlign w:val="center"/>
          </w:tcPr>
          <w:p>
            <w:pPr>
              <w:pStyle w:val="TableContents"/>
              <w:bidi w:val="0"/>
              <w:spacing w:before="0" w:after="0"/>
              <w:ind w:left="0" w:right="0" w:hanging="0"/>
              <w:jc w:val="left"/>
              <w:rPr/>
            </w:pPr>
            <w:r>
              <w:rPr/>
              <w:t>​</w:t>
            </w:r>
          </w:p>
        </w:tc>
        <w:tc>
          <w:tcPr>
            <w:tcW w:w="7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26" w:type="dxa"/>
            <w:tcBorders/>
            <w:shd w:fill="CCEEFF" w:val="clear"/>
            <w:vAlign w:val="center"/>
          </w:tcPr>
          <w:p>
            <w:pPr>
              <w:pStyle w:val="TableContents"/>
              <w:bidi w:val="0"/>
              <w:spacing w:before="0" w:after="0"/>
              <w:ind w:left="0" w:right="0" w:hanging="0"/>
              <w:jc w:val="center"/>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c>
          <w:tcPr>
            <w:tcW w:w="123"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120.8</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326" w:type="dxa"/>
            <w:tcBorders/>
            <w:vAlign w:val="center"/>
          </w:tcPr>
          <w:p>
            <w:pPr>
              <w:pStyle w:val="TableContents"/>
              <w:bidi w:val="0"/>
              <w:spacing w:before="0" w:after="0"/>
              <w:ind w:left="0" w:right="0" w:hanging="0"/>
              <w:jc w:val="center"/>
              <w:rPr/>
            </w:pPr>
            <w:r>
              <w:rPr/>
              <w:t>​</w:t>
            </w:r>
          </w:p>
        </w:tc>
        <w:tc>
          <w:tcPr>
            <w:tcW w:w="238" w:type="dxa"/>
            <w:tcBorders/>
            <w:vAlign w:val="center"/>
          </w:tcPr>
          <w:p>
            <w:pPr>
              <w:pStyle w:val="TableContents"/>
              <w:bidi w:val="0"/>
              <w:spacing w:before="0" w:after="0"/>
              <w:ind w:left="0" w:right="0" w:hanging="0"/>
              <w:jc w:val="left"/>
              <w:rPr/>
            </w:pPr>
            <w:r>
              <w:rPr/>
              <w:t> </w:t>
            </w:r>
          </w:p>
        </w:tc>
        <w:tc>
          <w:tcPr>
            <w:tcW w:w="5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123"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5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26" w:type="dxa"/>
            <w:tcBorders/>
            <w:shd w:fill="CCEEFF" w:val="clear"/>
            <w:vAlign w:val="center"/>
          </w:tcPr>
          <w:p>
            <w:pPr>
              <w:pStyle w:val="TableContents"/>
              <w:bidi w:val="0"/>
              <w:spacing w:before="0" w:after="0"/>
              <w:ind w:left="0" w:right="0" w:hanging="0"/>
              <w:jc w:val="center"/>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23"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326" w:type="dxa"/>
            <w:tcBorders/>
            <w:vAlign w:val="center"/>
          </w:tcPr>
          <w:p>
            <w:pPr>
              <w:pStyle w:val="TableContents"/>
              <w:bidi w:val="0"/>
              <w:spacing w:before="0" w:after="0"/>
              <w:ind w:left="0" w:right="0" w:hanging="0"/>
              <w:jc w:val="center"/>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w:t>
            </w:r>
          </w:p>
        </w:tc>
        <w:tc>
          <w:tcPr>
            <w:tcW w:w="123" w:type="dxa"/>
            <w:tcBorders/>
            <w:vAlign w:val="center"/>
          </w:tcPr>
          <w:p>
            <w:pPr>
              <w:pStyle w:val="TableContents"/>
              <w:bidi w:val="0"/>
              <w:spacing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121.8</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Maturities of operating lease liabilities at September 30, 2023 are as follows:</w:t>
      </w:r>
    </w:p>
    <w:p>
      <w:pPr>
        <w:pStyle w:val="TextBody"/>
        <w:bidi w:val="0"/>
        <w:spacing w:before="0" w:after="0"/>
        <w:ind w:left="0" w:right="0" w:hanging="0"/>
        <w:jc w:val="left"/>
        <w:rPr/>
      </w:pPr>
      <w:r>
        <w:rPr/>
        <w:t>​</w:t>
      </w:r>
    </w:p>
    <w:tbl>
      <w:tblPr>
        <w:tblW w:w="5428" w:type="dxa"/>
        <w:jc w:val="left"/>
        <w:tblInd w:w="0" w:type="dxa"/>
        <w:tblLayout w:type="fixed"/>
        <w:tblCellMar>
          <w:top w:w="0" w:type="dxa"/>
          <w:left w:w="0" w:type="dxa"/>
          <w:bottom w:w="0" w:type="dxa"/>
          <w:right w:w="0" w:type="dxa"/>
        </w:tblCellMar>
      </w:tblPr>
      <w:tblGrid>
        <w:gridCol w:w="3511"/>
        <w:gridCol w:w="326"/>
        <w:gridCol w:w="378"/>
        <w:gridCol w:w="1213"/>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229485" cy="175260"/>
                      <wp:effectExtent l="0" t="0" r="0" b="0"/>
                      <wp:wrapNone/>
                      <wp:docPr id="185" name="Frame185"/>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40030" cy="175260"/>
                      <wp:effectExtent l="0" t="0" r="0" b="0"/>
                      <wp:wrapNone/>
                      <wp:docPr id="187" name="Frame187"/>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770255" cy="175260"/>
                      <wp:effectExtent l="0" t="0" r="0" b="0"/>
                      <wp:wrapNone/>
                      <wp:docPr id="188" name="Frame188"/>
                      <a:graphic xmlns:a="http://schemas.openxmlformats.org/drawingml/2006/main">
                        <a:graphicData uri="http://schemas.microsoft.com/office/word/2010/wordprocessingShape">
                          <wps:wsp>
                            <wps:cNvSpPr txBox="1"/>
                            <wps:spPr>
                              <a:xfrm>
                                <a:off x="0" y="0"/>
                                <a:ext cx="770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5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(in millions)</w:t>
            </w:r>
          </w:p>
        </w:tc>
        <w:tc>
          <w:tcPr>
            <w:tcW w:w="326" w:type="dxa"/>
            <w:tcBorders/>
            <w:vAlign w:val="center"/>
          </w:tcPr>
          <w:p>
            <w:pPr>
              <w:pStyle w:val="TableContents"/>
              <w:bidi w:val="0"/>
              <w:spacing w:before="0" w:after="0"/>
              <w:ind w:left="0" w:right="0" w:hanging="0"/>
              <w:jc w:val="center"/>
              <w:rPr/>
            </w:pPr>
            <w:r>
              <w:rPr/>
              <w:t>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2023</w:t>
            </w:r>
          </w:p>
        </w:tc>
        <w:tc>
          <w:tcPr>
            <w:tcW w:w="326" w:type="dxa"/>
            <w:tcBorders/>
            <w:shd w:fill="CCEEFF" w:val="clear"/>
            <w:vAlign w:val="center"/>
          </w:tcPr>
          <w:p>
            <w:pPr>
              <w:pStyle w:val="TableContents"/>
              <w:bidi w:val="0"/>
              <w:spacing w:before="0" w:after="0"/>
              <w:ind w:left="0" w:right="0" w:hanging="0"/>
              <w:jc w:val="center"/>
              <w:rPr/>
            </w:pPr>
            <w:r>
              <w:rPr/>
              <w:t>​</w:t>
            </w:r>
          </w:p>
        </w:tc>
        <w:tc>
          <w:tcPr>
            <w:tcW w:w="3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center"/>
              <w:rPr/>
            </w:pPr>
            <w:r>
              <w:rPr/>
              <w:t>​</w:t>
            </w:r>
          </w:p>
        </w:tc>
        <w:tc>
          <w:tcPr>
            <w:tcW w:w="378" w:type="dxa"/>
            <w:tcBorders/>
            <w:vAlign w:val="center"/>
          </w:tcPr>
          <w:p>
            <w:pPr>
              <w:pStyle w:val="TableContents"/>
              <w:bidi w:val="0"/>
              <w:spacing w:before="0" w:after="0"/>
              <w:ind w:left="0" w:right="0" w:hanging="0"/>
              <w:jc w:val="left"/>
              <w:rPr/>
            </w:pPr>
            <w:r>
              <w:rPr/>
              <w:t> </w:t>
            </w:r>
          </w:p>
        </w:tc>
        <w:tc>
          <w:tcPr>
            <w:tcW w:w="12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center"/>
              <w:rPr/>
            </w:pPr>
            <w:r>
              <w:rPr/>
              <w:t>​</w:t>
            </w:r>
          </w:p>
        </w:tc>
        <w:tc>
          <w:tcPr>
            <w:tcW w:w="378" w:type="dxa"/>
            <w:tcBorders/>
            <w:shd w:fill="CCEEFF" w:val="clear"/>
            <w:vAlign w:val="center"/>
          </w:tcPr>
          <w:p>
            <w:pPr>
              <w:pStyle w:val="TableContents"/>
              <w:bidi w:val="0"/>
              <w:spacing w:before="0" w:after="0"/>
              <w:ind w:left="0" w:right="0" w:hanging="0"/>
              <w:jc w:val="left"/>
              <w:rPr/>
            </w:pPr>
            <w:r>
              <w:rPr/>
              <w:t> </w:t>
            </w:r>
          </w:p>
        </w:tc>
        <w:tc>
          <w:tcPr>
            <w:tcW w:w="12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center"/>
              <w:rPr/>
            </w:pPr>
            <w:r>
              <w:rPr/>
              <w:t>​</w:t>
            </w:r>
          </w:p>
        </w:tc>
        <w:tc>
          <w:tcPr>
            <w:tcW w:w="378" w:type="dxa"/>
            <w:tcBorders/>
            <w:vAlign w:val="center"/>
          </w:tcPr>
          <w:p>
            <w:pPr>
              <w:pStyle w:val="TableContents"/>
              <w:bidi w:val="0"/>
              <w:spacing w:before="0" w:after="0"/>
              <w:ind w:left="0" w:right="0" w:hanging="0"/>
              <w:jc w:val="left"/>
              <w:rPr/>
            </w:pPr>
            <w:r>
              <w:rPr/>
              <w:t> </w:t>
            </w:r>
          </w:p>
        </w:tc>
        <w:tc>
          <w:tcPr>
            <w:tcW w:w="12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center"/>
              <w:rPr/>
            </w:pPr>
            <w:r>
              <w:rPr/>
              <w:t>​</w:t>
            </w:r>
          </w:p>
        </w:tc>
        <w:tc>
          <w:tcPr>
            <w:tcW w:w="378" w:type="dxa"/>
            <w:tcBorders/>
            <w:shd w:fill="CCEEFF" w:val="clear"/>
            <w:vAlign w:val="center"/>
          </w:tcPr>
          <w:p>
            <w:pPr>
              <w:pStyle w:val="TableContents"/>
              <w:bidi w:val="0"/>
              <w:spacing w:before="0" w:after="0"/>
              <w:ind w:left="0" w:right="0" w:hanging="0"/>
              <w:jc w:val="left"/>
              <w:rPr/>
            </w:pPr>
            <w:r>
              <w:rPr/>
              <w:t> </w:t>
            </w:r>
          </w:p>
        </w:tc>
        <w:tc>
          <w:tcPr>
            <w:tcW w:w="12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center"/>
              <w:rPr/>
            </w:pPr>
            <w:r>
              <w:rPr/>
              <w:t>​</w:t>
            </w:r>
          </w:p>
        </w:tc>
        <w:tc>
          <w:tcPr>
            <w:tcW w:w="37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shd w:fill="CCEEFF" w:val="clear"/>
            <w:vAlign w:val="center"/>
          </w:tcPr>
          <w:p>
            <w:pPr>
              <w:pStyle w:val="TableContents"/>
              <w:bidi w:val="0"/>
              <w:spacing w:before="0" w:after="0"/>
              <w:ind w:left="0" w:right="0" w:hanging="0"/>
              <w:jc w:val="center"/>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12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348.4</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326" w:type="dxa"/>
            <w:tcBorders/>
            <w:vAlign w:val="center"/>
          </w:tcPr>
          <w:p>
            <w:pPr>
              <w:pStyle w:val="TableContents"/>
              <w:bidi w:val="0"/>
              <w:spacing w:before="0" w:after="0"/>
              <w:ind w:left="0" w:right="0" w:hanging="0"/>
              <w:jc w:val="center"/>
              <w:rPr/>
            </w:pPr>
            <w:r>
              <w:rPr/>
              <w:t>​</w:t>
            </w:r>
          </w:p>
        </w:tc>
        <w:tc>
          <w:tcPr>
            <w:tcW w:w="3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operating lease liabilities</w:t>
            </w:r>
          </w:p>
        </w:tc>
        <w:tc>
          <w:tcPr>
            <w:tcW w:w="326" w:type="dxa"/>
            <w:tcBorders/>
            <w:shd w:fill="CCEEFF" w:val="clear"/>
            <w:vAlign w:val="center"/>
          </w:tcPr>
          <w:p>
            <w:pPr>
              <w:pStyle w:val="TableContents"/>
              <w:bidi w:val="0"/>
              <w:spacing w:before="0" w:after="0"/>
              <w:ind w:left="0" w:right="0" w:hanging="0"/>
              <w:jc w:val="center"/>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12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313.8</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Short-term portion</w:t>
            </w:r>
          </w:p>
        </w:tc>
        <w:tc>
          <w:tcPr>
            <w:tcW w:w="326" w:type="dxa"/>
            <w:tcBorders/>
            <w:vAlign w:val="center"/>
          </w:tcPr>
          <w:p>
            <w:pPr>
              <w:pStyle w:val="TableContents"/>
              <w:bidi w:val="0"/>
              <w:spacing w:before="0" w:after="0"/>
              <w:ind w:left="0" w:right="0" w:hanging="0"/>
              <w:jc w:val="center"/>
              <w:rPr/>
            </w:pPr>
            <w:r>
              <w:rPr/>
              <w:t>​</w:t>
            </w:r>
          </w:p>
        </w:tc>
        <w:tc>
          <w:tcPr>
            <w:tcW w:w="3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operating lease liabilities</w:t>
            </w:r>
          </w:p>
        </w:tc>
        <w:tc>
          <w:tcPr>
            <w:tcW w:w="326" w:type="dxa"/>
            <w:tcBorders/>
            <w:shd w:fill="CCEEFF" w:val="clear"/>
            <w:vAlign w:val="center"/>
          </w:tcPr>
          <w:p>
            <w:pPr>
              <w:pStyle w:val="TableContents"/>
              <w:bidi w:val="0"/>
              <w:spacing w:before="0" w:after="0"/>
              <w:ind w:left="0" w:right="0" w:hanging="0"/>
              <w:jc w:val="center"/>
              <w:rPr/>
            </w:pPr>
            <w:r>
              <w:rPr/>
              <w:t>​</w:t>
            </w:r>
          </w:p>
        </w:tc>
        <w:tc>
          <w:tcPr>
            <w:tcW w:w="3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186.1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16" w:name="Tc_b9W5u3rwoUaltr5QlWkJaw_19_14"/>
      <w:bookmarkStart w:id="1117" w:name="Tc_00IgRPEIy02dmZYPq-3wsA_19_11"/>
      <w:bookmarkStart w:id="1118" w:name="Tc_2BenqDqlfUqjlD5jEulfpA_19_8"/>
      <w:bookmarkStart w:id="1119" w:name="Tc_Bp_iDhgUCke0Ql2OBt1xVQ_19_5"/>
      <w:bookmarkStart w:id="1120" w:name="Tc_bGDiMGm6q06q5-QTGvXmxg_19_2"/>
      <w:bookmarkStart w:id="1121" w:name="Tc_tWVB1NqDAUKVid2k3E7U3w_19_0"/>
      <w:bookmarkStart w:id="1122" w:name="Tc_Kqz6bO13ZU-GN_HVQYsBSQ_18_9"/>
      <w:bookmarkStart w:id="1123" w:name="Tc_jl4RNarX1Emw1WS7YrTsbw_18_6"/>
      <w:bookmarkStart w:id="1124" w:name="Tc_LLbErKb97k6Ni_wexcYWkQ_18_3"/>
      <w:bookmarkStart w:id="1125" w:name="Tc_4sAm-JNoS0ObmT5BO9qTfQ_18_0"/>
      <w:bookmarkStart w:id="1126" w:name="Tc_7wcc-J2KgESV-mSpZxstEQ_17_9"/>
      <w:bookmarkStart w:id="1127" w:name="Tc_T4VP15bBcUext2pFHb3ZxQ_17_6"/>
      <w:bookmarkStart w:id="1128" w:name="Tc_SDvIq3Y4h0CK_ZCth7Swpg_17_3"/>
      <w:bookmarkStart w:id="1129" w:name="Tc_28ONHwXUy0iJoEdAvypPiQ_17_0"/>
      <w:bookmarkStart w:id="1130" w:name="Tc_FLwf8JHFeUuHk3G8ccAFMQ_16_12"/>
      <w:bookmarkStart w:id="1131" w:name="Tc_w7sNNtjgVEOyaUxdPHhpLQ_16_9"/>
      <w:bookmarkStart w:id="1132" w:name="Tc_O_WYBsqQ-kq4nB7io-ElIg_16_3"/>
      <w:bookmarkStart w:id="1133" w:name="Tc_O0P1VUe6Gk2sBGfsC2bHzg_16_0"/>
      <w:bookmarkStart w:id="1134" w:name="Tc_QOd7rBLkjECk5tTY9Cy_nQ_15_12"/>
      <w:bookmarkStart w:id="1135" w:name="Tc_5k6LW0b88ECQ1mAgNLzfQw_15_9"/>
      <w:bookmarkStart w:id="1136" w:name="Tc_OyvoJreTN0a16MZiBW4S3Q_15_0"/>
      <w:bookmarkStart w:id="1137" w:name="Tc_9_JRgCkVoEebtQJlVmJMoA_14_0"/>
      <w:bookmarkStart w:id="1138" w:name="Tc_HpQCT_mJRUunD3q-hEki-g_13_9"/>
      <w:bookmarkStart w:id="1139" w:name="Tc_DXVJZv4nhEalC0BTS2T44g_13_6"/>
      <w:bookmarkStart w:id="1140" w:name="Tc_O_dYZzqrYEa_72nxwcZLrQ_13_3"/>
      <w:bookmarkStart w:id="1141" w:name="Tc_tCsizhxPXkCo_Rc1NSmPaA_13_0"/>
      <w:bookmarkStart w:id="1142" w:name="Tc_Kl9pSw69RkehaYvL6rqoRA_12_9"/>
      <w:bookmarkStart w:id="1143" w:name="Tc_Rbs07zyttEeG509VPLiorQ_12_6"/>
      <w:bookmarkStart w:id="1144" w:name="Tc_I6b0cw3yE02qs4auTMZU9w_12_3"/>
      <w:bookmarkStart w:id="1145" w:name="Tc_0QJFrWl750yooDUivBI7vw_12_0"/>
      <w:bookmarkStart w:id="1146" w:name="Tc_kyzktUFLTkm9B027PDByIg_11_9"/>
      <w:bookmarkStart w:id="1147" w:name="Tc_nG5mb2BxykiDlCRDWC5jqQ_11_0"/>
      <w:bookmarkStart w:id="1148" w:name="Tc_2YwncpXpb0CeQQtl2TNkBA_10_12"/>
      <w:bookmarkStart w:id="1149" w:name="Tc_DGj_VSy9x0qFzX5duGAMxA_10_9"/>
      <w:bookmarkStart w:id="1150" w:name="Tc_8_199GcN3UCDJwfyk9u2Qw_10_0"/>
      <w:bookmarkStart w:id="1151" w:name="Tc_IbXSR-_Ls0ajXol-DE1fSA_9_0"/>
      <w:bookmarkStart w:id="1152" w:name="Tc_4zMMO7XI1kG_DNas_8--XQ_8_9"/>
      <w:bookmarkStart w:id="1153" w:name="Tc_OWAdP4n9GUG-YCl3-EdLGw_8_6"/>
      <w:bookmarkStart w:id="1154" w:name="Tc_Zk-FcchqVUW9JEVu3p4QEw_8_3"/>
      <w:bookmarkStart w:id="1155" w:name="Tc_nJSt7lmUNk23Tg7W8KWEXw_8_0"/>
      <w:bookmarkStart w:id="1156" w:name="Tc_3mJokcxD1ESuqnLKrxCjLA_7_12"/>
      <w:bookmarkStart w:id="1157" w:name="Tc_CbDvfK0EOESHweAYVfs60w_7_9"/>
      <w:bookmarkStart w:id="1158" w:name="Tc_IIJ9liehe0ShGdHUId5djg_7_0"/>
      <w:bookmarkStart w:id="1159" w:name="Tc_COaDPl3hN02ngKxRgxnUug_6_12"/>
      <w:bookmarkStart w:id="1160" w:name="Tc_vHlsPLR3UU2wVfe2b0Suuw_6_9"/>
      <w:bookmarkStart w:id="1161" w:name="Tc_R8ECncvbtEm7bVBAnOtmYA_6_0"/>
      <w:bookmarkStart w:id="1162" w:name="Tc_x73fzWWI2U2NnFcMNrHVlA_5_14"/>
      <w:bookmarkStart w:id="1163" w:name="Tc_KCYEDgudM0GddruJ-qQFwg_5_11"/>
      <w:bookmarkStart w:id="1164" w:name="Tc_VYFlBUEUJU6hkUUP4qa47g_5_8"/>
      <w:bookmarkStart w:id="1165" w:name="Tc_VHWVkJSuiEeHJWN6cAMm5g_5_5"/>
      <w:bookmarkStart w:id="1166" w:name="Tc_Dcpe21nanEKQtgzAH-omLA_5_2"/>
      <w:bookmarkStart w:id="1167" w:name="Tc_1OnACxEh706MPBceuUSnMQ_5_0"/>
      <w:bookmarkStart w:id="1168" w:name="Tc_8CexSyW4wUqBS7dVWr0Y0w_4_14"/>
      <w:bookmarkStart w:id="1169" w:name="Tc_N51pCDIQREOri4sMGymkuA_4_11"/>
      <w:bookmarkStart w:id="1170" w:name="Tc_AwqXMxbi-kGyW9WShJWMPA_4_8"/>
      <w:bookmarkStart w:id="1171" w:name="Tc_8_xWbs0Ks0yiA1vPI1bFOg_4_5"/>
      <w:bookmarkStart w:id="1172" w:name="Tc_ILJTLbRaRUKMxjz3An9m7Q_4_2"/>
      <w:bookmarkStart w:id="1173" w:name="Tc_g97i3jpDT0mwwko3ysNTAg_4_0"/>
      <w:bookmarkStart w:id="1174" w:name="Tc_biQARjgcV0-e6tzZK7iHcA_3_14"/>
      <w:bookmarkStart w:id="1175" w:name="Tc_vGgTEqfwi06Vovc5RIqKVA_3_8"/>
      <w:bookmarkStart w:id="1176" w:name="Tc_pm-RnTFMpEGBETj4kvXpnA_3_5"/>
      <w:bookmarkStart w:id="1177" w:name="Tc_IwXoZdwjsUG602FVd_ItBg_3_2"/>
      <w:bookmarkStart w:id="1178" w:name="Tc_IrYow1ekQU60eSn6fA1SaA_2_14"/>
      <w:bookmarkStart w:id="1179" w:name="Tc_TAGDmlV290KCK_PoxZHjjg_2_8"/>
      <w:bookmarkStart w:id="1180" w:name="Tc_i5b4CwyGlkydtxMpmlmEUA_2_5"/>
      <w:bookmarkStart w:id="1181" w:name="Tc_RRNlWgpAmUat6tx42kt2Bw_1_14"/>
      <w:bookmarkStart w:id="1182" w:name="_24824587_02f3_40af_a17f_16138927bde4"/>
      <w:bookmarkStart w:id="1183" w:name="Tc_EcWPrBm9TEeDK9oi9XtKTQ_18_14"/>
      <w:bookmarkStart w:id="1184" w:name="Tc_q8AxtIGi7Uia58QbIJ2PgA_18_11"/>
      <w:bookmarkStart w:id="1185" w:name="Tc_Nlmm27EUPECiLYnOh5QKEw_18_8"/>
      <w:bookmarkStart w:id="1186" w:name="Tc_Njmxc7QX6U-sNrP2DYJqZg_18_5"/>
      <w:bookmarkStart w:id="1187" w:name="Tc_AgiEM1NQ40GgweMyvcsfBg_18_2"/>
      <w:bookmarkStart w:id="1188" w:name="Tc_XaXUik5UXUi82BkbEcuFqg_18_0"/>
      <w:bookmarkStart w:id="1189" w:name="Tc_BMm0bux-tUq36DS4z04GHg_17_9"/>
      <w:bookmarkStart w:id="1190" w:name="Tc_PYgSzlIJrECfsF3AW9l4_w_17_6"/>
      <w:bookmarkStart w:id="1191" w:name="Tc_sIM79r8Dz0y9M4wYijdbqw_17_3"/>
      <w:bookmarkStart w:id="1192" w:name="Tc_WDDEWF8CpkCEbacIjtFL8g_17_0"/>
      <w:bookmarkStart w:id="1193" w:name="Tc_Y_qaNoUa6EG6rPnBkKpmJQ_16_12"/>
      <w:bookmarkStart w:id="1194" w:name="Tc_q1EUr03euU-lTdrxwEtpdw_16_9"/>
      <w:bookmarkStart w:id="1195" w:name="Tc_eA7HKFrE6EqVNWTP7pRgsw_16_0"/>
      <w:bookmarkStart w:id="1196" w:name="Tc_6q-CC-MQ-kGWTPnwKxsA_A_15_12"/>
      <w:bookmarkStart w:id="1197" w:name="Tc_yvZ-nNHHZUSqwBXyw8o0SQ_15_9"/>
      <w:bookmarkStart w:id="1198" w:name="Tc_1qA6i4c_P02-9DBQdNFLbg_15_3"/>
      <w:bookmarkStart w:id="1199" w:name="Tc_OZNmAR15AEOKZOg08kPUVg_15_0"/>
      <w:bookmarkStart w:id="1200" w:name="Tc_qHnaWNQrH0OiMR5rFSkyCQ_14_0"/>
      <w:bookmarkStart w:id="1201" w:name="Tc_yfiHyBIDrki3qMyyIE4XIg_13_9"/>
      <w:bookmarkStart w:id="1202" w:name="Tc_UrtvBkbmskysw_0hDYg5HQ_13_6"/>
      <w:bookmarkStart w:id="1203" w:name="Tc_oua-jlxGbkWjPT5GFKLDGg_13_3"/>
      <w:bookmarkStart w:id="1204" w:name="Tc_mAQYRD0yPEmltZ65lAhUqA_13_0"/>
      <w:bookmarkStart w:id="1205" w:name="Tc_NedGmp5wv0GU2Xeg-dlq-Q_12_12"/>
      <w:bookmarkStart w:id="1206" w:name="Tc_oZpN0Cf4LUqABOdFKimSXw_12_9"/>
      <w:bookmarkStart w:id="1207" w:name="Tc_B54L2YAWFUG7rEnQRsuItg_12_0"/>
      <w:bookmarkStart w:id="1208" w:name="Tc_THgCRc7B4Uqcy8r8S1VAuw_11_12"/>
      <w:bookmarkStart w:id="1209" w:name="Tc_KORmCZ9J0ESZtM7c8mckpw_11_9"/>
      <w:bookmarkStart w:id="1210" w:name="Tc_e8WNSn5PVkiNcJzyEl7gqw_11_3"/>
      <w:bookmarkStart w:id="1211" w:name="Tc_-uOnSa8Edkm5BU3aN236Dw_11_0"/>
      <w:bookmarkStart w:id="1212" w:name="Tc_wsYwpOhQi02EswmYaT8-bg_10_0"/>
      <w:bookmarkStart w:id="1213" w:name="Tc_sh3JdyPSzUGjNbWUTrIXZA_9_9"/>
      <w:bookmarkStart w:id="1214" w:name="Tc_qVdwCT4tS0WI0Ou0zX0GLg_9_6"/>
      <w:bookmarkStart w:id="1215" w:name="Tc_lh7F5KIlQEiYuMtxFcFOZA_9_3"/>
      <w:bookmarkStart w:id="1216" w:name="Tc_9xATv51qukSRUXs-9F4gIQ_9_0"/>
      <w:bookmarkStart w:id="1217" w:name="Tc_ZSAE7wVlnUeq3jjGxBfM-g_8_9"/>
      <w:bookmarkStart w:id="1218" w:name="Tc_zcW3cHk7A0KbB5v9eSea5g_8_6"/>
      <w:bookmarkStart w:id="1219" w:name="Tc_QJXN0C8PWUa8ovIhBLKrNA_8_3"/>
      <w:bookmarkStart w:id="1220" w:name="Tc_Ku6mhIdZTkSJN24OHiS3Gw_8_0"/>
      <w:bookmarkStart w:id="1221" w:name="Tc_PJOLbeJkRkWhWjEetk0HEQ_7_12"/>
      <w:bookmarkStart w:id="1222" w:name="Tc_6fA3k5BPmkO69gwuKyhZ1Q_7_9"/>
      <w:bookmarkStart w:id="1223" w:name="Tc_6YaII3DXsk6ROYcsMhsP7g_7_0"/>
      <w:bookmarkStart w:id="1224" w:name="Tc_wtgejuBor0ediNQp12SFFA_6_12"/>
      <w:bookmarkStart w:id="1225" w:name="Tc_l6YMY_Bw9U2qe8wAouYRPA_6_9"/>
      <w:bookmarkStart w:id="1226" w:name="Tc_hCPLvU1HMkuroN2Z-GwxdA_6_3"/>
      <w:bookmarkStart w:id="1227" w:name="Tc_bkAGi3LNB0KuYw_jWCtlPw_6_0"/>
      <w:bookmarkStart w:id="1228" w:name="Tc_Lv3q9dBFZ0-Tt_8L_iorlQ_5_14"/>
      <w:bookmarkStart w:id="1229" w:name="Tc_BQhWH0DO30qA8zM9nytH0w_5_11"/>
      <w:bookmarkStart w:id="1230" w:name="Tc_JcR4cmj0mkSMEBd4pEgMNw_5_8"/>
      <w:bookmarkStart w:id="1231" w:name="Tc_rlvYSuEtC06hHGTZ1HYSdQ_5_5"/>
      <w:bookmarkStart w:id="1232" w:name="Tc_vIvuSqQVV0KUlIHvfG2QTA_5_2"/>
      <w:bookmarkStart w:id="1233" w:name="Tc_SSuH8wqui02ZoQxFEussTA_5_0"/>
      <w:bookmarkStart w:id="1234" w:name="Tc_AN-M2EqNwk6OE_2zwRDR9g_4_14"/>
      <w:bookmarkStart w:id="1235" w:name="Tc_iOAU7_JtAkKnyhflpxu4_A_4_11"/>
      <w:bookmarkStart w:id="1236" w:name="Tc_liOVtkrJDUSMg4kdXgcz7w_4_8"/>
      <w:bookmarkStart w:id="1237" w:name="Tc_44Mo60S7RUu0vI_OJqRP0A_4_5"/>
      <w:bookmarkStart w:id="1238" w:name="Tc_pv29jawif0uA43--JQeGFQ_4_2"/>
      <w:bookmarkStart w:id="1239" w:name="Tc_3pFW_U1mHESI3GK7eugEtA_4_0"/>
      <w:bookmarkStart w:id="1240" w:name="Tc_LBsmjbkim0mU010k5OzxRA_3_14"/>
      <w:bookmarkStart w:id="1241" w:name="Tc_lyvZ12WF-UCd6BxZM1qNDQ_3_8"/>
      <w:bookmarkStart w:id="1242" w:name="Tc_xEeY-onlWk2MJ-cBn-YBUw_3_5"/>
      <w:bookmarkStart w:id="1243" w:name="Tc_Cnf3S6PeJEqiUBJHh78zGA_3_2"/>
      <w:bookmarkStart w:id="1244" w:name="Tc_jqrlWyIGlUm5DhVurpT1Hg_2_14"/>
      <w:bookmarkStart w:id="1245" w:name="Tc_1p09aY1ak0CsG7J67LXQlQ_2_8"/>
      <w:bookmarkStart w:id="1246" w:name="Tc_irF64B0pdUK5f9qOyHGC4g_2_5"/>
      <w:bookmarkStart w:id="1247" w:name="Tc_cnXuOkRNckWXR5C_tnoNOQ_1_14"/>
      <w:bookmarkStart w:id="1248" w:name="_e1001717_62d6_4e4c_82f1_b7415064dd16"/>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r>
        <w:rPr>
          <w:rFonts w:ascii="Times New Roman;Times;serif" w:hAnsi="Times New Roman;Times;serif"/>
          <w:b/>
          <w:sz w:val="20"/>
        </w:rPr>
        <w:t>8.          ACCUMULATED OTHER COMPREHENSIVE INCOME (LOSS)</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accumulated other comprehensive income (loss) by component, net of tax, for the nine months ended September 30, 2023 consisted of the following:</w:t>
      </w:r>
    </w:p>
    <w:tbl>
      <w:tblPr>
        <w:tblW w:w="9104" w:type="dxa"/>
        <w:jc w:val="left"/>
        <w:tblInd w:w="0" w:type="dxa"/>
        <w:tblLayout w:type="fixed"/>
        <w:tblCellMar>
          <w:top w:w="0" w:type="dxa"/>
          <w:left w:w="0" w:type="dxa"/>
          <w:bottom w:w="0" w:type="dxa"/>
          <w:right w:w="0" w:type="dxa"/>
        </w:tblCellMar>
      </w:tblPr>
      <w:tblGrid>
        <w:gridCol w:w="2881"/>
        <w:gridCol w:w="326"/>
        <w:gridCol w:w="211"/>
        <w:gridCol w:w="586"/>
        <w:gridCol w:w="326"/>
        <w:gridCol w:w="285"/>
        <w:gridCol w:w="631"/>
        <w:gridCol w:w="326"/>
        <w:gridCol w:w="288"/>
        <w:gridCol w:w="493"/>
        <w:gridCol w:w="326"/>
        <w:gridCol w:w="211"/>
        <w:gridCol w:w="481"/>
        <w:gridCol w:w="326"/>
        <w:gridCol w:w="404"/>
        <w:gridCol w:w="812"/>
        <w:gridCol w:w="191"/>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829435" cy="175895"/>
                      <wp:effectExtent l="0" t="0" r="0" b="0"/>
                      <wp:wrapNone/>
                      <wp:docPr id="189" name="Frame189"/>
                      <a:graphic xmlns:a="http://schemas.openxmlformats.org/drawingml/2006/main">
                        <a:graphicData uri="http://schemas.microsoft.com/office/word/2010/wordprocessingShape">
                          <wps:wsp>
                            <wps:cNvSpPr txBox="1"/>
                            <wps:spPr>
                              <a:xfrm>
                                <a:off x="0" y="0"/>
                                <a:ext cx="18294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895"/>
                      <wp:effectExtent l="0" t="0" r="0" b="0"/>
                      <wp:wrapNone/>
                      <wp:docPr id="190" name="Frame190"/>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895"/>
                      <wp:effectExtent l="0" t="0" r="0" b="0"/>
                      <wp:wrapNone/>
                      <wp:docPr id="191" name="Frame191"/>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372110" cy="175895"/>
                      <wp:effectExtent l="0" t="0" r="0" b="0"/>
                      <wp:wrapNone/>
                      <wp:docPr id="192" name="Frame192"/>
                      <a:graphic xmlns:a="http://schemas.openxmlformats.org/drawingml/2006/main">
                        <a:graphicData uri="http://schemas.microsoft.com/office/word/2010/wordprocessingShape">
                          <wps:wsp>
                            <wps:cNvSpPr txBox="1"/>
                            <wps:spPr>
                              <a:xfrm>
                                <a:off x="0" y="0"/>
                                <a:ext cx="3721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895"/>
                      <wp:effectExtent l="0" t="0" r="0" b="0"/>
                      <wp:wrapNone/>
                      <wp:docPr id="193" name="Frame193"/>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80975" cy="175895"/>
                      <wp:effectExtent l="0" t="0" r="0" b="0"/>
                      <wp:wrapNone/>
                      <wp:docPr id="194" name="Frame194"/>
                      <a:graphic xmlns:a="http://schemas.openxmlformats.org/drawingml/2006/main">
                        <a:graphicData uri="http://schemas.microsoft.com/office/word/2010/wordprocessingShape">
                          <wps:wsp>
                            <wps:cNvSpPr txBox="1"/>
                            <wps:spPr>
                              <a:xfrm>
                                <a:off x="0" y="0"/>
                                <a:ext cx="18097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00685" cy="175895"/>
                      <wp:effectExtent l="0" t="0" r="0" b="0"/>
                      <wp:wrapNone/>
                      <wp:docPr id="195" name="Frame195"/>
                      <a:graphic xmlns:a="http://schemas.openxmlformats.org/drawingml/2006/main">
                        <a:graphicData uri="http://schemas.microsoft.com/office/word/2010/wordprocessingShape">
                          <wps:wsp>
                            <wps:cNvSpPr txBox="1"/>
                            <wps:spPr>
                              <a:xfrm>
                                <a:off x="0" y="0"/>
                                <a:ext cx="4006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895"/>
                      <wp:effectExtent l="0" t="0" r="0" b="0"/>
                      <wp:wrapNone/>
                      <wp:docPr id="196" name="Frame196"/>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82880" cy="175895"/>
                      <wp:effectExtent l="0" t="0" r="0" b="0"/>
                      <wp:wrapNone/>
                      <wp:docPr id="197" name="Frame197"/>
                      <a:graphic xmlns:a="http://schemas.openxmlformats.org/drawingml/2006/main">
                        <a:graphicData uri="http://schemas.microsoft.com/office/word/2010/wordprocessingShape">
                          <wps:wsp>
                            <wps:cNvSpPr txBox="1"/>
                            <wps:spPr>
                              <a:xfrm>
                                <a:off x="0" y="0"/>
                                <a:ext cx="18288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13055" cy="175895"/>
                      <wp:effectExtent l="0" t="0" r="0" b="0"/>
                      <wp:wrapNone/>
                      <wp:docPr id="198" name="Frame198"/>
                      <a:graphic xmlns:a="http://schemas.openxmlformats.org/drawingml/2006/main">
                        <a:graphicData uri="http://schemas.microsoft.com/office/word/2010/wordprocessingShape">
                          <wps:wsp>
                            <wps:cNvSpPr txBox="1"/>
                            <wps:spPr>
                              <a:xfrm>
                                <a:off x="0" y="0"/>
                                <a:ext cx="31305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895"/>
                      <wp:effectExtent l="0" t="0" r="0" b="0"/>
                      <wp:wrapNone/>
                      <wp:docPr id="199" name="Frame199"/>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895"/>
                      <wp:effectExtent l="0" t="0" r="0" b="0"/>
                      <wp:wrapNone/>
                      <wp:docPr id="200" name="Frame200"/>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305435" cy="175895"/>
                      <wp:effectExtent l="0" t="0" r="0" b="0"/>
                      <wp:wrapNone/>
                      <wp:docPr id="201" name="Frame201"/>
                      <a:graphic xmlns:a="http://schemas.openxmlformats.org/drawingml/2006/main">
                        <a:graphicData uri="http://schemas.microsoft.com/office/word/2010/wordprocessingShape">
                          <wps:wsp>
                            <wps:cNvSpPr txBox="1"/>
                            <wps:spPr>
                              <a:xfrm>
                                <a:off x="0" y="0"/>
                                <a:ext cx="3054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895"/>
                      <wp:effectExtent l="0" t="0" r="0" b="0"/>
                      <wp:wrapNone/>
                      <wp:docPr id="202" name="Frame202"/>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56540" cy="175895"/>
                      <wp:effectExtent l="0" t="0" r="0" b="0"/>
                      <wp:wrapNone/>
                      <wp:docPr id="203" name="Frame203"/>
                      <a:graphic xmlns:a="http://schemas.openxmlformats.org/drawingml/2006/main">
                        <a:graphicData uri="http://schemas.microsoft.com/office/word/2010/wordprocessingShape">
                          <wps:wsp>
                            <wps:cNvSpPr txBox="1"/>
                            <wps:spPr>
                              <a:xfrm>
                                <a:off x="0" y="0"/>
                                <a:ext cx="25654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15620" cy="175895"/>
                      <wp:effectExtent l="0" t="0" r="0" b="0"/>
                      <wp:wrapNone/>
                      <wp:docPr id="204" name="Frame204"/>
                      <a:graphic xmlns:a="http://schemas.openxmlformats.org/drawingml/2006/main">
                        <a:graphicData uri="http://schemas.microsoft.com/office/word/2010/wordprocessingShape">
                          <wps:wsp>
                            <wps:cNvSpPr txBox="1"/>
                            <wps:spPr>
                              <a:xfrm>
                                <a:off x="0" y="0"/>
                                <a:ext cx="51562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21285" cy="175895"/>
                      <wp:effectExtent l="0" t="0" r="0" b="0"/>
                      <wp:wrapNone/>
                      <wp:docPr id="205" name="Frame205"/>
                      <a:graphic xmlns:a="http://schemas.openxmlformats.org/drawingml/2006/main">
                        <a:graphicData uri="http://schemas.microsoft.com/office/word/2010/wordprocessingShape">
                          <wps:wsp>
                            <wps:cNvSpPr txBox="1"/>
                            <wps:spPr>
                              <a:xfrm>
                                <a:off x="0" y="0"/>
                                <a:ext cx="121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86"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916" w:type="dxa"/>
            <w:gridSpan w:val="2"/>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781" w:type="dxa"/>
            <w:gridSpan w:val="2"/>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692" w:type="dxa"/>
            <w:gridSpan w:val="2"/>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121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91" w:type="dxa"/>
            <w:tcBorders/>
            <w:vAlign w:val="center"/>
          </w:tcPr>
          <w:p>
            <w:pPr>
              <w:pStyle w:val="TableContents"/>
              <w:bidi w:val="0"/>
              <w:spacing w:before="1" w:after="1"/>
              <w:ind w:left="0" w:right="0" w:hanging="0"/>
              <w:jc w:val="left"/>
              <w:rPr/>
            </w:pPr>
            <w:r>
              <w:rPr/>
              <w:t>​</w:t>
            </w:r>
          </w:p>
        </w:tc>
      </w:tr>
      <w:tr>
        <w:trPr/>
        <w:tc>
          <w:tcPr>
            <w:tcW w:w="288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86"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91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Post-</w:t>
            </w:r>
          </w:p>
        </w:tc>
        <w:tc>
          <w:tcPr>
            <w:tcW w:w="326" w:type="dxa"/>
            <w:tcBorders/>
            <w:vAlign w:val="center"/>
          </w:tcPr>
          <w:p>
            <w:pPr>
              <w:pStyle w:val="TableContents"/>
              <w:bidi w:val="0"/>
              <w:spacing w:before="1" w:after="1"/>
              <w:ind w:left="0" w:right="0" w:hanging="0"/>
              <w:jc w:val="left"/>
              <w:rPr/>
            </w:pPr>
            <w:r>
              <w:rPr/>
              <w:t>​</w:t>
            </w:r>
          </w:p>
        </w:tc>
        <w:tc>
          <w:tcPr>
            <w:tcW w:w="781"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26" w:type="dxa"/>
            <w:tcBorders/>
            <w:vAlign w:val="center"/>
          </w:tcPr>
          <w:p>
            <w:pPr>
              <w:pStyle w:val="TableContents"/>
              <w:bidi w:val="0"/>
              <w:spacing w:before="1" w:after="1"/>
              <w:ind w:left="0" w:right="0" w:hanging="0"/>
              <w:jc w:val="left"/>
              <w:rPr/>
            </w:pPr>
            <w:r>
              <w:rPr/>
              <w:t>​</w:t>
            </w:r>
          </w:p>
        </w:tc>
        <w:tc>
          <w:tcPr>
            <w:tcW w:w="692" w:type="dxa"/>
            <w:gridSpan w:val="2"/>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121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91" w:type="dxa"/>
            <w:tcBorders/>
            <w:vAlign w:val="center"/>
          </w:tcPr>
          <w:p>
            <w:pPr>
              <w:pStyle w:val="TableContents"/>
              <w:bidi w:val="0"/>
              <w:spacing w:before="1" w:after="1"/>
              <w:ind w:left="0" w:right="0" w:hanging="0"/>
              <w:jc w:val="left"/>
              <w:rPr/>
            </w:pPr>
            <w:r>
              <w:rPr/>
              <w:t>​</w:t>
            </w:r>
          </w:p>
        </w:tc>
      </w:tr>
      <w:tr>
        <w:trPr/>
        <w:tc>
          <w:tcPr>
            <w:tcW w:w="288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797"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Pension</w:t>
            </w:r>
          </w:p>
        </w:tc>
        <w:tc>
          <w:tcPr>
            <w:tcW w:w="326" w:type="dxa"/>
            <w:tcBorders/>
            <w:vAlign w:val="center"/>
          </w:tcPr>
          <w:p>
            <w:pPr>
              <w:pStyle w:val="TableContents"/>
              <w:bidi w:val="0"/>
              <w:spacing w:before="1" w:after="1"/>
              <w:ind w:left="0" w:right="0" w:hanging="0"/>
              <w:jc w:val="left"/>
              <w:rPr/>
            </w:pPr>
            <w:r>
              <w:rPr/>
              <w:t>​</w:t>
            </w:r>
          </w:p>
        </w:tc>
        <w:tc>
          <w:tcPr>
            <w:tcW w:w="91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Retirement</w:t>
            </w:r>
          </w:p>
        </w:tc>
        <w:tc>
          <w:tcPr>
            <w:tcW w:w="326" w:type="dxa"/>
            <w:tcBorders/>
            <w:vAlign w:val="center"/>
          </w:tcPr>
          <w:p>
            <w:pPr>
              <w:pStyle w:val="TableContents"/>
              <w:bidi w:val="0"/>
              <w:spacing w:before="1" w:after="1"/>
              <w:ind w:left="0" w:right="0" w:hanging="0"/>
              <w:jc w:val="left"/>
              <w:rPr/>
            </w:pPr>
            <w:r>
              <w:rPr/>
              <w:t>​</w:t>
            </w:r>
          </w:p>
        </w:tc>
        <w:tc>
          <w:tcPr>
            <w:tcW w:w="781"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Qualified</w:t>
            </w:r>
          </w:p>
        </w:tc>
        <w:tc>
          <w:tcPr>
            <w:tcW w:w="326" w:type="dxa"/>
            <w:tcBorders/>
            <w:vAlign w:val="center"/>
          </w:tcPr>
          <w:p>
            <w:pPr>
              <w:pStyle w:val="TableContents"/>
              <w:bidi w:val="0"/>
              <w:spacing w:before="1" w:after="1"/>
              <w:ind w:left="0" w:right="0" w:hanging="0"/>
              <w:jc w:val="left"/>
              <w:rPr/>
            </w:pPr>
            <w:r>
              <w:rPr/>
              <w:t>​</w:t>
            </w:r>
          </w:p>
        </w:tc>
        <w:tc>
          <w:tcPr>
            <w:tcW w:w="692" w:type="dxa"/>
            <w:gridSpan w:val="2"/>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w:t>
            </w:r>
          </w:p>
        </w:tc>
        <w:tc>
          <w:tcPr>
            <w:tcW w:w="121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91" w:type="dxa"/>
            <w:tcBorders/>
            <w:vAlign w:val="center"/>
          </w:tcPr>
          <w:p>
            <w:pPr>
              <w:pStyle w:val="TableContents"/>
              <w:bidi w:val="0"/>
              <w:spacing w:before="1" w:after="1"/>
              <w:ind w:left="0" w:right="0" w:hanging="0"/>
              <w:jc w:val="left"/>
              <w:rPr/>
            </w:pPr>
            <w:r>
              <w:rPr/>
              <w:t>​</w:t>
            </w:r>
          </w:p>
        </w:tc>
      </w:tr>
      <w:tr>
        <w:trPr/>
        <w:tc>
          <w:tcPr>
            <w:tcW w:w="2881"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1"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26" w:type="dxa"/>
            <w:tcBorders/>
            <w:vAlign w:val="center"/>
          </w:tcPr>
          <w:p>
            <w:pPr>
              <w:pStyle w:val="TableContents"/>
              <w:bidi w:val="0"/>
              <w:spacing w:before="1" w:after="1"/>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26" w:type="dxa"/>
            <w:tcBorders/>
            <w:vAlign w:val="center"/>
          </w:tcPr>
          <w:p>
            <w:pPr>
              <w:pStyle w:val="TableContents"/>
              <w:bidi w:val="0"/>
              <w:spacing w:before="1" w:after="1"/>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Plans</w:t>
            </w:r>
          </w:p>
        </w:tc>
        <w:tc>
          <w:tcPr>
            <w:tcW w:w="326" w:type="dxa"/>
            <w:tcBorders/>
            <w:vAlign w:val="center"/>
          </w:tcPr>
          <w:p>
            <w:pPr>
              <w:pStyle w:val="TableContents"/>
              <w:bidi w:val="0"/>
              <w:spacing w:before="1" w:after="1"/>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1"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91" w:type="dxa"/>
            <w:tcBorders/>
            <w:vAlign w:val="center"/>
          </w:tcPr>
          <w:p>
            <w:pPr>
              <w:pStyle w:val="TableContents"/>
              <w:bidi w:val="0"/>
              <w:spacing w:before="1" w:after="1"/>
              <w:ind w:left="0" w:right="0" w:hanging="0"/>
              <w:jc w:val="left"/>
              <w:rPr/>
            </w:pPr>
            <w:r>
              <w:rPr/>
              <w:t> </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(25.8)</w:t>
            </w:r>
          </w:p>
        </w:tc>
        <w:tc>
          <w:tcPr>
            <w:tcW w:w="326" w:type="dxa"/>
            <w:tcBorders/>
            <w:shd w:fill="CCEEFF" w:val="clear"/>
            <w:vAlign w:val="center"/>
          </w:tcPr>
          <w:p>
            <w:pPr>
              <w:pStyle w:val="TableContents"/>
              <w:bidi w:val="0"/>
              <w:spacing w:before="1" w:after="1"/>
              <w:ind w:left="0" w:right="0" w:hanging="0"/>
              <w:jc w:val="left"/>
              <w:rPr/>
            </w:pPr>
            <w:r>
              <w:rPr/>
              <w:t>​</w:t>
            </w:r>
          </w:p>
        </w:tc>
        <w:tc>
          <w:tcPr>
            <w:tcW w:w="285"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18.7</w:t>
            </w:r>
          </w:p>
        </w:tc>
        <w:tc>
          <w:tcPr>
            <w:tcW w:w="326" w:type="dxa"/>
            <w:tcBorders/>
            <w:shd w:fill="CCEEFF" w:val="clear"/>
            <w:vAlign w:val="center"/>
          </w:tcPr>
          <w:p>
            <w:pPr>
              <w:pStyle w:val="TableContents"/>
              <w:bidi w:val="0"/>
              <w:spacing w:before="1" w:after="1"/>
              <w:ind w:left="0" w:right="0" w:hanging="0"/>
              <w:jc w:val="left"/>
              <w:rPr/>
            </w:pPr>
            <w:r>
              <w:rPr/>
              <w:t>​</w:t>
            </w:r>
          </w:p>
        </w:tc>
        <w:tc>
          <w:tcPr>
            <w:tcW w:w="288"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3"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bidi w:val="0"/>
              <w:spacing w:before="1" w:after="1"/>
              <w:ind w:left="0" w:right="0" w:hanging="0"/>
              <w:jc w:val="left"/>
              <w:rPr/>
            </w:pPr>
            <w:r>
              <w:rPr/>
              <w:t>​</w:t>
            </w:r>
          </w:p>
        </w:tc>
        <w:tc>
          <w:tcPr>
            <w:tcW w:w="404"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xml:space="preserve">Amortization of prior service cost </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86"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85" w:type="dxa"/>
            <w:tcBorders/>
            <w:vAlign w:val="center"/>
          </w:tcPr>
          <w:p>
            <w:pPr>
              <w:pStyle w:val="TableContents"/>
              <w:bidi w:val="0"/>
              <w:spacing w:before="1" w:after="1"/>
              <w:ind w:left="0" w:right="0" w:hanging="0"/>
              <w:jc w:val="left"/>
              <w:rPr/>
            </w:pPr>
            <w:r>
              <w:rPr/>
              <w:t>​</w:t>
            </w:r>
          </w:p>
        </w:tc>
        <w:tc>
          <w:tcPr>
            <w:tcW w:w="63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vAlign w:val="center"/>
          </w:tcPr>
          <w:p>
            <w:pPr>
              <w:pStyle w:val="TableContents"/>
              <w:bidi w:val="0"/>
              <w:spacing w:before="1" w:after="1"/>
              <w:ind w:left="0" w:right="0" w:hanging="0"/>
              <w:jc w:val="left"/>
              <w:rPr/>
            </w:pPr>
            <w:r>
              <w:rPr/>
              <w:t>​</w:t>
            </w:r>
          </w:p>
        </w:tc>
        <w:tc>
          <w:tcPr>
            <w:tcW w:w="288" w:type="dxa"/>
            <w:tcBorders/>
            <w:vAlign w:val="center"/>
          </w:tcPr>
          <w:p>
            <w:pPr>
              <w:pStyle w:val="TableContents"/>
              <w:bidi w:val="0"/>
              <w:spacing w:before="1" w:after="1"/>
              <w:ind w:left="0" w:right="0" w:hanging="0"/>
              <w:jc w:val="left"/>
              <w:rPr/>
            </w:pPr>
            <w:r>
              <w:rPr/>
              <w:t>​</w:t>
            </w:r>
          </w:p>
        </w:tc>
        <w:tc>
          <w:tcPr>
            <w:tcW w:w="493"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404" w:type="dxa"/>
            <w:tcBorders/>
            <w:vAlign w:val="center"/>
          </w:tcPr>
          <w:p>
            <w:pPr>
              <w:pStyle w:val="TableContents"/>
              <w:bidi w:val="0"/>
              <w:spacing w:before="1" w:after="1"/>
              <w:ind w:left="0" w:right="0" w:hanging="0"/>
              <w:jc w:val="left"/>
              <w:rPr/>
            </w:pPr>
            <w:r>
              <w:rPr/>
              <w:t>​</w:t>
            </w:r>
          </w:p>
        </w:tc>
        <w:tc>
          <w:tcPr>
            <w:tcW w:w="81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191" w:type="dxa"/>
            <w:tcBorders/>
            <w:vAlign w:val="center"/>
          </w:tcPr>
          <w:p>
            <w:pPr>
              <w:pStyle w:val="TableContents"/>
              <w:bidi w:val="0"/>
              <w:spacing w:before="1" w:after="1"/>
              <w:ind w:left="0" w:right="0" w:hanging="0"/>
              <w:jc w:val="left"/>
              <w:rPr/>
            </w:pPr>
            <w:r>
              <w:rPr/>
              <w:t>​</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Amortization of net gain (loss)</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shd w:fill="CCEEFF" w:val="clear"/>
            <w:vAlign w:val="center"/>
          </w:tcPr>
          <w:p>
            <w:pPr>
              <w:pStyle w:val="TableContents"/>
              <w:bidi w:val="0"/>
              <w:spacing w:before="1" w:after="1"/>
              <w:ind w:left="0" w:right="0" w:hanging="0"/>
              <w:jc w:val="left"/>
              <w:rPr/>
            </w:pPr>
            <w:r>
              <w:rPr/>
              <w:t>​</w:t>
            </w:r>
          </w:p>
        </w:tc>
        <w:tc>
          <w:tcPr>
            <w:tcW w:w="285" w:type="dxa"/>
            <w:tcBorders/>
            <w:shd w:fill="CCEEFF" w:val="clear"/>
            <w:vAlign w:val="center"/>
          </w:tcPr>
          <w:p>
            <w:pPr>
              <w:pStyle w:val="TableContents"/>
              <w:bidi w:val="0"/>
              <w:spacing w:before="1" w:after="1"/>
              <w:ind w:left="0" w:right="0" w:hanging="0"/>
              <w:jc w:val="left"/>
              <w:rPr/>
            </w:pPr>
            <w:r>
              <w:rPr/>
              <w:t>​</w:t>
            </w:r>
          </w:p>
        </w:tc>
        <w:tc>
          <w:tcPr>
            <w:tcW w:w="6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shd w:fill="CCEEFF" w:val="clear"/>
            <w:vAlign w:val="center"/>
          </w:tcPr>
          <w:p>
            <w:pPr>
              <w:pStyle w:val="TableContents"/>
              <w:bidi w:val="0"/>
              <w:spacing w:before="1" w:after="1"/>
              <w:ind w:left="0" w:right="0" w:hanging="0"/>
              <w:jc w:val="left"/>
              <w:rPr/>
            </w:pPr>
            <w:r>
              <w:rPr/>
              <w:t>​</w:t>
            </w:r>
          </w:p>
        </w:tc>
        <w:tc>
          <w:tcPr>
            <w:tcW w:w="288" w:type="dxa"/>
            <w:tcBorders/>
            <w:shd w:fill="CCEEFF" w:val="clear"/>
            <w:vAlign w:val="center"/>
          </w:tcPr>
          <w:p>
            <w:pPr>
              <w:pStyle w:val="TableContents"/>
              <w:bidi w:val="0"/>
              <w:spacing w:before="1" w:after="1"/>
              <w:ind w:left="0" w:right="0" w:hanging="0"/>
              <w:jc w:val="left"/>
              <w:rPr/>
            </w:pPr>
            <w:r>
              <w:rPr/>
              <w:t>​</w:t>
            </w:r>
          </w:p>
        </w:tc>
        <w:tc>
          <w:tcPr>
            <w:tcW w:w="493"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48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404" w:type="dxa"/>
            <w:tcBorders/>
            <w:shd w:fill="CCEEFF" w:val="clear"/>
            <w:vAlign w:val="center"/>
          </w:tcPr>
          <w:p>
            <w:pPr>
              <w:pStyle w:val="TableContents"/>
              <w:bidi w:val="0"/>
              <w:spacing w:before="1" w:after="1"/>
              <w:ind w:left="0" w:right="0" w:hanging="0"/>
              <w:jc w:val="left"/>
              <w:rPr/>
            </w:pPr>
            <w:r>
              <w:rPr/>
              <w:t>​</w:t>
            </w:r>
          </w:p>
        </w:tc>
        <w:tc>
          <w:tcPr>
            <w:tcW w:w="81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Foreign currency exchange</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86"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85" w:type="dxa"/>
            <w:tcBorders/>
            <w:vAlign w:val="center"/>
          </w:tcPr>
          <w:p>
            <w:pPr>
              <w:pStyle w:val="TableContents"/>
              <w:bidi w:val="0"/>
              <w:spacing w:before="1" w:after="1"/>
              <w:ind w:left="0" w:right="0" w:hanging="0"/>
              <w:jc w:val="left"/>
              <w:rPr/>
            </w:pPr>
            <w:r>
              <w:rPr/>
              <w:t>​</w:t>
            </w:r>
          </w:p>
        </w:tc>
        <w:tc>
          <w:tcPr>
            <w:tcW w:w="63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88" w:type="dxa"/>
            <w:tcBorders/>
            <w:vAlign w:val="center"/>
          </w:tcPr>
          <w:p>
            <w:pPr>
              <w:pStyle w:val="TableContents"/>
              <w:bidi w:val="0"/>
              <w:spacing w:before="1" w:after="1"/>
              <w:ind w:left="0" w:right="0" w:hanging="0"/>
              <w:jc w:val="left"/>
              <w:rPr/>
            </w:pPr>
            <w:r>
              <w:rPr/>
              <w:t>​</w:t>
            </w:r>
          </w:p>
        </w:tc>
        <w:tc>
          <w:tcPr>
            <w:tcW w:w="493"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vAlign w:val="center"/>
          </w:tcPr>
          <w:p>
            <w:pPr>
              <w:pStyle w:val="TableContents"/>
              <w:bidi w:val="0"/>
              <w:spacing w:before="1" w:after="1"/>
              <w:ind w:left="0" w:right="0" w:hanging="0"/>
              <w:jc w:val="left"/>
              <w:rPr/>
            </w:pPr>
            <w:r>
              <w:rPr/>
              <w:t>​</w:t>
            </w:r>
          </w:p>
        </w:tc>
        <w:tc>
          <w:tcPr>
            <w:tcW w:w="404" w:type="dxa"/>
            <w:tcBorders/>
            <w:vAlign w:val="center"/>
          </w:tcPr>
          <w:p>
            <w:pPr>
              <w:pStyle w:val="TableContents"/>
              <w:bidi w:val="0"/>
              <w:spacing w:before="1" w:after="1"/>
              <w:ind w:left="0" w:right="0" w:hanging="0"/>
              <w:jc w:val="left"/>
              <w:rPr/>
            </w:pPr>
            <w:r>
              <w:rPr/>
              <w:t>​</w:t>
            </w:r>
          </w:p>
        </w:tc>
        <w:tc>
          <w:tcPr>
            <w:tcW w:w="81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191" w:type="dxa"/>
            <w:tcBorders/>
            <w:vAlign w:val="center"/>
          </w:tcPr>
          <w:p>
            <w:pPr>
              <w:pStyle w:val="TableContents"/>
              <w:bidi w:val="0"/>
              <w:spacing w:before="1" w:after="1"/>
              <w:ind w:left="0" w:right="0" w:hanging="0"/>
              <w:jc w:val="left"/>
              <w:rPr/>
            </w:pPr>
            <w:r>
              <w:rPr/>
              <w:t>​</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493"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1" w:after="1"/>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Balance at March 31, 2023</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vAlign w:val="center"/>
          </w:tcPr>
          <w:p>
            <w:pPr>
              <w:pStyle w:val="TableContents"/>
              <w:bidi w:val="0"/>
              <w:spacing w:before="1" w:after="1"/>
              <w:ind w:left="0" w:right="0" w:hanging="0"/>
              <w:jc w:val="left"/>
              <w:rPr/>
            </w:pPr>
            <w:r>
              <w:rPr/>
              <w:t>​</w:t>
            </w:r>
          </w:p>
        </w:tc>
        <w:tc>
          <w:tcPr>
            <w:tcW w:w="285" w:type="dxa"/>
            <w:tcBorders/>
            <w:vAlign w:val="center"/>
          </w:tcPr>
          <w:p>
            <w:pPr>
              <w:pStyle w:val="TableContents"/>
              <w:bidi w:val="0"/>
              <w:spacing w:before="1" w:after="1"/>
              <w:ind w:left="0" w:right="0" w:hanging="0"/>
              <w:jc w:val="left"/>
              <w:rPr/>
            </w:pPr>
            <w:r>
              <w:rPr/>
              <w:t>​</w:t>
            </w:r>
          </w:p>
        </w:tc>
        <w:tc>
          <w:tcPr>
            <w:tcW w:w="63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326" w:type="dxa"/>
            <w:tcBorders/>
            <w:vAlign w:val="center"/>
          </w:tcPr>
          <w:p>
            <w:pPr>
              <w:pStyle w:val="TableContents"/>
              <w:bidi w:val="0"/>
              <w:spacing w:before="1" w:after="1"/>
              <w:ind w:left="0" w:right="0" w:hanging="0"/>
              <w:jc w:val="left"/>
              <w:rPr/>
            </w:pPr>
            <w:r>
              <w:rPr/>
              <w:t>​</w:t>
            </w:r>
          </w:p>
        </w:tc>
        <w:tc>
          <w:tcPr>
            <w:tcW w:w="288" w:type="dxa"/>
            <w:tcBorders/>
            <w:vAlign w:val="center"/>
          </w:tcPr>
          <w:p>
            <w:pPr>
              <w:pStyle w:val="TableContents"/>
              <w:bidi w:val="0"/>
              <w:spacing w:before="1" w:after="1"/>
              <w:ind w:left="0" w:right="0" w:hanging="0"/>
              <w:jc w:val="left"/>
              <w:rPr/>
            </w:pPr>
            <w:r>
              <w:rPr/>
              <w:t>​</w:t>
            </w:r>
          </w:p>
        </w:tc>
        <w:tc>
          <w:tcPr>
            <w:tcW w:w="493"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1" w:after="1"/>
              <w:ind w:left="0" w:right="0" w:hanging="0"/>
              <w:jc w:val="left"/>
              <w:rPr/>
            </w:pPr>
            <w:r>
              <w:rPr/>
              <w:t>​</w:t>
            </w:r>
          </w:p>
        </w:tc>
        <w:tc>
          <w:tcPr>
            <w:tcW w:w="404" w:type="dxa"/>
            <w:tcBorders/>
            <w:vAlign w:val="center"/>
          </w:tcPr>
          <w:p>
            <w:pPr>
              <w:pStyle w:val="TableContents"/>
              <w:bidi w:val="0"/>
              <w:spacing w:before="1" w:after="1"/>
              <w:ind w:left="0" w:right="0" w:hanging="0"/>
              <w:jc w:val="left"/>
              <w:rPr/>
            </w:pPr>
            <w:r>
              <w:rPr/>
              <w:t>​</w:t>
            </w:r>
          </w:p>
        </w:tc>
        <w:tc>
          <w:tcPr>
            <w:tcW w:w="81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191" w:type="dxa"/>
            <w:tcBorders/>
            <w:vAlign w:val="center"/>
          </w:tcPr>
          <w:p>
            <w:pPr>
              <w:pStyle w:val="TableContents"/>
              <w:bidi w:val="0"/>
              <w:spacing w:before="1" w:after="1"/>
              <w:ind w:left="0" w:right="0" w:hanging="0"/>
              <w:jc w:val="left"/>
              <w:rPr/>
            </w:pPr>
            <w:r>
              <w:rPr/>
              <w:t>​</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xml:space="preserve">Amortization of prior service cost </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86"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85" w:type="dxa"/>
            <w:tcBorders/>
            <w:shd w:fill="CCEEFF" w:val="clear"/>
            <w:vAlign w:val="center"/>
          </w:tcPr>
          <w:p>
            <w:pPr>
              <w:pStyle w:val="TableContents"/>
              <w:bidi w:val="0"/>
              <w:spacing w:before="1" w:after="1"/>
              <w:ind w:left="0" w:right="0" w:hanging="0"/>
              <w:jc w:val="left"/>
              <w:rPr/>
            </w:pPr>
            <w:r>
              <w:rPr/>
              <w:t>​</w:t>
            </w:r>
          </w:p>
        </w:tc>
        <w:tc>
          <w:tcPr>
            <w:tcW w:w="6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shd w:fill="CCEEFF" w:val="clear"/>
            <w:vAlign w:val="center"/>
          </w:tcPr>
          <w:p>
            <w:pPr>
              <w:pStyle w:val="TableContents"/>
              <w:bidi w:val="0"/>
              <w:spacing w:before="1" w:after="1"/>
              <w:ind w:left="0" w:right="0" w:hanging="0"/>
              <w:jc w:val="left"/>
              <w:rPr/>
            </w:pPr>
            <w:r>
              <w:rPr/>
              <w:t>​</w:t>
            </w:r>
          </w:p>
        </w:tc>
        <w:tc>
          <w:tcPr>
            <w:tcW w:w="288" w:type="dxa"/>
            <w:tcBorders/>
            <w:shd w:fill="CCEEFF" w:val="clear"/>
            <w:vAlign w:val="center"/>
          </w:tcPr>
          <w:p>
            <w:pPr>
              <w:pStyle w:val="TableContents"/>
              <w:bidi w:val="0"/>
              <w:spacing w:before="1" w:after="1"/>
              <w:ind w:left="0" w:right="0" w:hanging="0"/>
              <w:jc w:val="left"/>
              <w:rPr/>
            </w:pPr>
            <w:r>
              <w:rPr/>
              <w:t>​</w:t>
            </w:r>
          </w:p>
        </w:tc>
        <w:tc>
          <w:tcPr>
            <w:tcW w:w="493"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48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404" w:type="dxa"/>
            <w:tcBorders/>
            <w:shd w:fill="CCEEFF" w:val="clear"/>
            <w:vAlign w:val="center"/>
          </w:tcPr>
          <w:p>
            <w:pPr>
              <w:pStyle w:val="TableContents"/>
              <w:bidi w:val="0"/>
              <w:spacing w:before="1" w:after="1"/>
              <w:ind w:left="0" w:right="0" w:hanging="0"/>
              <w:jc w:val="left"/>
              <w:rPr/>
            </w:pPr>
            <w:r>
              <w:rPr/>
              <w:t>​</w:t>
            </w:r>
          </w:p>
        </w:tc>
        <w:tc>
          <w:tcPr>
            <w:tcW w:w="81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Amortization of net gain (loss)</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vAlign w:val="center"/>
          </w:tcPr>
          <w:p>
            <w:pPr>
              <w:pStyle w:val="TableContents"/>
              <w:bidi w:val="0"/>
              <w:spacing w:before="1" w:after="1"/>
              <w:ind w:left="0" w:right="0" w:hanging="0"/>
              <w:jc w:val="left"/>
              <w:rPr/>
            </w:pPr>
            <w:r>
              <w:rPr/>
              <w:t>​</w:t>
            </w:r>
          </w:p>
        </w:tc>
        <w:tc>
          <w:tcPr>
            <w:tcW w:w="285" w:type="dxa"/>
            <w:tcBorders/>
            <w:vAlign w:val="center"/>
          </w:tcPr>
          <w:p>
            <w:pPr>
              <w:pStyle w:val="TableContents"/>
              <w:bidi w:val="0"/>
              <w:spacing w:before="1" w:after="1"/>
              <w:ind w:left="0" w:right="0" w:hanging="0"/>
              <w:jc w:val="left"/>
              <w:rPr/>
            </w:pPr>
            <w:r>
              <w:rPr/>
              <w:t>​</w:t>
            </w:r>
          </w:p>
        </w:tc>
        <w:tc>
          <w:tcPr>
            <w:tcW w:w="63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vAlign w:val="center"/>
          </w:tcPr>
          <w:p>
            <w:pPr>
              <w:pStyle w:val="TableContents"/>
              <w:bidi w:val="0"/>
              <w:spacing w:before="1" w:after="1"/>
              <w:ind w:left="0" w:right="0" w:hanging="0"/>
              <w:jc w:val="left"/>
              <w:rPr/>
            </w:pPr>
            <w:r>
              <w:rPr/>
              <w:t>​</w:t>
            </w:r>
          </w:p>
        </w:tc>
        <w:tc>
          <w:tcPr>
            <w:tcW w:w="288" w:type="dxa"/>
            <w:tcBorders/>
            <w:vAlign w:val="center"/>
          </w:tcPr>
          <w:p>
            <w:pPr>
              <w:pStyle w:val="TableContents"/>
              <w:bidi w:val="0"/>
              <w:spacing w:before="1" w:after="1"/>
              <w:ind w:left="0" w:right="0" w:hanging="0"/>
              <w:jc w:val="left"/>
              <w:rPr/>
            </w:pPr>
            <w:r>
              <w:rPr/>
              <w:t>​</w:t>
            </w:r>
          </w:p>
        </w:tc>
        <w:tc>
          <w:tcPr>
            <w:tcW w:w="493"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404" w:type="dxa"/>
            <w:tcBorders/>
            <w:vAlign w:val="center"/>
          </w:tcPr>
          <w:p>
            <w:pPr>
              <w:pStyle w:val="TableContents"/>
              <w:bidi w:val="0"/>
              <w:spacing w:before="1" w:after="1"/>
              <w:ind w:left="0" w:right="0" w:hanging="0"/>
              <w:jc w:val="left"/>
              <w:rPr/>
            </w:pPr>
            <w:r>
              <w:rPr/>
              <w:t>​</w:t>
            </w:r>
          </w:p>
        </w:tc>
        <w:tc>
          <w:tcPr>
            <w:tcW w:w="81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191" w:type="dxa"/>
            <w:tcBorders/>
            <w:vAlign w:val="center"/>
          </w:tcPr>
          <w:p>
            <w:pPr>
              <w:pStyle w:val="TableContents"/>
              <w:bidi w:val="0"/>
              <w:spacing w:before="1" w:after="1"/>
              <w:ind w:left="0" w:right="0" w:hanging="0"/>
              <w:jc w:val="left"/>
              <w:rPr/>
            </w:pPr>
            <w:r>
              <w:rPr/>
              <w:t>​</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Foreign currency exchange</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493"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shd w:fill="CCEEFF" w:val="clear"/>
            <w:vAlign w:val="center"/>
          </w:tcPr>
          <w:p>
            <w:pPr>
              <w:pStyle w:val="TableContents"/>
              <w:bidi w:val="0"/>
              <w:spacing w:before="1" w:after="1"/>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Balance at June 30, 2023</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(25.3)</w:t>
            </w:r>
          </w:p>
        </w:tc>
        <w:tc>
          <w:tcPr>
            <w:tcW w:w="326" w:type="dxa"/>
            <w:tcBorders/>
            <w:vAlign w:val="center"/>
          </w:tcPr>
          <w:p>
            <w:pPr>
              <w:pStyle w:val="TableContents"/>
              <w:bidi w:val="0"/>
              <w:spacing w:before="1" w:after="1"/>
              <w:ind w:left="0" w:right="0" w:hanging="0"/>
              <w:jc w:val="left"/>
              <w:rPr/>
            </w:pPr>
            <w:r>
              <w:rPr/>
              <w:t>​</w:t>
            </w:r>
          </w:p>
        </w:tc>
        <w:tc>
          <w:tcPr>
            <w:tcW w:w="285" w:type="dxa"/>
            <w:tcBorders/>
            <w:vAlign w:val="center"/>
          </w:tcPr>
          <w:p>
            <w:pPr>
              <w:pStyle w:val="TableContents"/>
              <w:bidi w:val="0"/>
              <w:spacing w:before="1" w:after="1"/>
              <w:ind w:left="0" w:right="0" w:hanging="0"/>
              <w:jc w:val="left"/>
              <w:rPr/>
            </w:pPr>
            <w:r>
              <w:rPr/>
              <w:t>​</w:t>
            </w:r>
          </w:p>
        </w:tc>
        <w:tc>
          <w:tcPr>
            <w:tcW w:w="63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16.5</w:t>
            </w:r>
          </w:p>
        </w:tc>
        <w:tc>
          <w:tcPr>
            <w:tcW w:w="326" w:type="dxa"/>
            <w:tcBorders/>
            <w:vAlign w:val="center"/>
          </w:tcPr>
          <w:p>
            <w:pPr>
              <w:pStyle w:val="TableContents"/>
              <w:bidi w:val="0"/>
              <w:spacing w:before="1" w:after="1"/>
              <w:ind w:left="0" w:right="0" w:hanging="0"/>
              <w:jc w:val="left"/>
              <w:rPr/>
            </w:pPr>
            <w:r>
              <w:rPr/>
              <w:t>​</w:t>
            </w:r>
          </w:p>
        </w:tc>
        <w:tc>
          <w:tcPr>
            <w:tcW w:w="288" w:type="dxa"/>
            <w:tcBorders/>
            <w:vAlign w:val="center"/>
          </w:tcPr>
          <w:p>
            <w:pPr>
              <w:pStyle w:val="TableContents"/>
              <w:bidi w:val="0"/>
              <w:spacing w:before="1" w:after="1"/>
              <w:ind w:left="0" w:right="0" w:hanging="0"/>
              <w:jc w:val="left"/>
              <w:rPr/>
            </w:pPr>
            <w:r>
              <w:rPr/>
              <w:t>​</w:t>
            </w:r>
          </w:p>
        </w:tc>
        <w:tc>
          <w:tcPr>
            <w:tcW w:w="493"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326" w:type="dxa"/>
            <w:tcBorders/>
            <w:vAlign w:val="center"/>
          </w:tcPr>
          <w:p>
            <w:pPr>
              <w:pStyle w:val="TableContents"/>
              <w:bidi w:val="0"/>
              <w:spacing w:before="1" w:after="1"/>
              <w:ind w:left="0" w:right="0" w:hanging="0"/>
              <w:jc w:val="left"/>
              <w:rPr/>
            </w:pPr>
            <w:r>
              <w:rPr/>
              <w:t>​</w:t>
            </w:r>
          </w:p>
        </w:tc>
        <w:tc>
          <w:tcPr>
            <w:tcW w:w="404" w:type="dxa"/>
            <w:tcBorders/>
            <w:vAlign w:val="center"/>
          </w:tcPr>
          <w:p>
            <w:pPr>
              <w:pStyle w:val="TableContents"/>
              <w:bidi w:val="0"/>
              <w:spacing w:before="1" w:after="1"/>
              <w:ind w:left="0" w:right="0" w:hanging="0"/>
              <w:jc w:val="left"/>
              <w:rPr/>
            </w:pPr>
            <w:r>
              <w:rPr/>
              <w:t>​</w:t>
            </w:r>
          </w:p>
        </w:tc>
        <w:tc>
          <w:tcPr>
            <w:tcW w:w="81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191" w:type="dxa"/>
            <w:tcBorders/>
            <w:vAlign w:val="center"/>
          </w:tcPr>
          <w:p>
            <w:pPr>
              <w:pStyle w:val="TableContents"/>
              <w:bidi w:val="0"/>
              <w:spacing w:before="1" w:after="1"/>
              <w:ind w:left="0" w:right="0" w:hanging="0"/>
              <w:jc w:val="left"/>
              <w:rPr/>
            </w:pPr>
            <w:r>
              <w:rPr/>
              <w:t>​</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xml:space="preserve">Amortization of prior service cost </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86"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85" w:type="dxa"/>
            <w:tcBorders/>
            <w:shd w:fill="CCEEFF" w:val="clear"/>
            <w:vAlign w:val="center"/>
          </w:tcPr>
          <w:p>
            <w:pPr>
              <w:pStyle w:val="TableContents"/>
              <w:bidi w:val="0"/>
              <w:spacing w:before="1" w:after="1"/>
              <w:ind w:left="0" w:right="0" w:hanging="0"/>
              <w:jc w:val="left"/>
              <w:rPr/>
            </w:pPr>
            <w:r>
              <w:rPr/>
              <w:t>​</w:t>
            </w:r>
          </w:p>
        </w:tc>
        <w:tc>
          <w:tcPr>
            <w:tcW w:w="6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shd w:fill="CCEEFF" w:val="clear"/>
            <w:vAlign w:val="center"/>
          </w:tcPr>
          <w:p>
            <w:pPr>
              <w:pStyle w:val="TableContents"/>
              <w:bidi w:val="0"/>
              <w:spacing w:before="1" w:after="1"/>
              <w:ind w:left="0" w:right="0" w:hanging="0"/>
              <w:jc w:val="left"/>
              <w:rPr/>
            </w:pPr>
            <w:r>
              <w:rPr/>
              <w:t>​</w:t>
            </w:r>
          </w:p>
        </w:tc>
        <w:tc>
          <w:tcPr>
            <w:tcW w:w="288" w:type="dxa"/>
            <w:tcBorders/>
            <w:shd w:fill="CCEEFF" w:val="clear"/>
            <w:vAlign w:val="center"/>
          </w:tcPr>
          <w:p>
            <w:pPr>
              <w:pStyle w:val="TableContents"/>
              <w:bidi w:val="0"/>
              <w:spacing w:before="1" w:after="1"/>
              <w:ind w:left="0" w:right="0" w:hanging="0"/>
              <w:jc w:val="left"/>
              <w:rPr/>
            </w:pPr>
            <w:r>
              <w:rPr/>
              <w:t>​</w:t>
            </w:r>
          </w:p>
        </w:tc>
        <w:tc>
          <w:tcPr>
            <w:tcW w:w="493"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48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404" w:type="dxa"/>
            <w:tcBorders/>
            <w:shd w:fill="CCEEFF" w:val="clear"/>
            <w:vAlign w:val="center"/>
          </w:tcPr>
          <w:p>
            <w:pPr>
              <w:pStyle w:val="TableContents"/>
              <w:bidi w:val="0"/>
              <w:spacing w:before="1" w:after="1"/>
              <w:ind w:left="0" w:right="0" w:hanging="0"/>
              <w:jc w:val="left"/>
              <w:rPr/>
            </w:pPr>
            <w:r>
              <w:rPr/>
              <w:t>​</w:t>
            </w:r>
          </w:p>
        </w:tc>
        <w:tc>
          <w:tcPr>
            <w:tcW w:w="81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Amortization of net gain (loss)</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vAlign w:val="center"/>
          </w:tcPr>
          <w:p>
            <w:pPr>
              <w:pStyle w:val="TableContents"/>
              <w:bidi w:val="0"/>
              <w:spacing w:before="1" w:after="1"/>
              <w:ind w:left="0" w:right="0" w:hanging="0"/>
              <w:jc w:val="left"/>
              <w:rPr/>
            </w:pPr>
            <w:r>
              <w:rPr/>
              <w:t>​</w:t>
            </w:r>
          </w:p>
        </w:tc>
        <w:tc>
          <w:tcPr>
            <w:tcW w:w="285" w:type="dxa"/>
            <w:tcBorders/>
            <w:vAlign w:val="center"/>
          </w:tcPr>
          <w:p>
            <w:pPr>
              <w:pStyle w:val="TableContents"/>
              <w:bidi w:val="0"/>
              <w:spacing w:before="1" w:after="1"/>
              <w:ind w:left="0" w:right="0" w:hanging="0"/>
              <w:jc w:val="left"/>
              <w:rPr/>
            </w:pPr>
            <w:r>
              <w:rPr/>
              <w:t>​</w:t>
            </w:r>
          </w:p>
        </w:tc>
        <w:tc>
          <w:tcPr>
            <w:tcW w:w="63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vAlign w:val="center"/>
          </w:tcPr>
          <w:p>
            <w:pPr>
              <w:pStyle w:val="TableContents"/>
              <w:bidi w:val="0"/>
              <w:spacing w:before="1" w:after="1"/>
              <w:ind w:left="0" w:right="0" w:hanging="0"/>
              <w:jc w:val="left"/>
              <w:rPr/>
            </w:pPr>
            <w:r>
              <w:rPr/>
              <w:t>​</w:t>
            </w:r>
          </w:p>
        </w:tc>
        <w:tc>
          <w:tcPr>
            <w:tcW w:w="288" w:type="dxa"/>
            <w:tcBorders/>
            <w:vAlign w:val="center"/>
          </w:tcPr>
          <w:p>
            <w:pPr>
              <w:pStyle w:val="TableContents"/>
              <w:bidi w:val="0"/>
              <w:spacing w:before="1" w:after="1"/>
              <w:ind w:left="0" w:right="0" w:hanging="0"/>
              <w:jc w:val="left"/>
              <w:rPr/>
            </w:pPr>
            <w:r>
              <w:rPr/>
              <w:t>​</w:t>
            </w:r>
          </w:p>
        </w:tc>
        <w:tc>
          <w:tcPr>
            <w:tcW w:w="493"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404" w:type="dxa"/>
            <w:tcBorders/>
            <w:vAlign w:val="center"/>
          </w:tcPr>
          <w:p>
            <w:pPr>
              <w:pStyle w:val="TableContents"/>
              <w:bidi w:val="0"/>
              <w:spacing w:before="1" w:after="1"/>
              <w:ind w:left="0" w:right="0" w:hanging="0"/>
              <w:jc w:val="left"/>
              <w:rPr/>
            </w:pPr>
            <w:r>
              <w:rPr/>
              <w:t>​</w:t>
            </w:r>
          </w:p>
        </w:tc>
        <w:tc>
          <w:tcPr>
            <w:tcW w:w="81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191" w:type="dxa"/>
            <w:tcBorders/>
            <w:vAlign w:val="center"/>
          </w:tcPr>
          <w:p>
            <w:pPr>
              <w:pStyle w:val="TableContents"/>
              <w:bidi w:val="0"/>
              <w:spacing w:before="1" w:after="1"/>
              <w:ind w:left="0" w:right="0" w:hanging="0"/>
              <w:jc w:val="left"/>
              <w:rPr/>
            </w:pPr>
            <w:r>
              <w:rPr/>
              <w:t>​</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Foreign currency exchange</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493"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326" w:type="dxa"/>
            <w:tcBorders/>
            <w:shd w:fill="CCEEFF" w:val="clear"/>
            <w:vAlign w:val="center"/>
          </w:tcPr>
          <w:p>
            <w:pPr>
              <w:pStyle w:val="TableContents"/>
              <w:bidi w:val="0"/>
              <w:spacing w:before="1" w:after="1"/>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Balance at September 30, 2023</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(25.1)</w:t>
            </w:r>
          </w:p>
        </w:tc>
        <w:tc>
          <w:tcPr>
            <w:tcW w:w="326" w:type="dxa"/>
            <w:tcBorders/>
            <w:vAlign w:val="center"/>
          </w:tcPr>
          <w:p>
            <w:pPr>
              <w:pStyle w:val="TableContents"/>
              <w:bidi w:val="0"/>
              <w:spacing w:before="1" w:after="1"/>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326" w:type="dxa"/>
            <w:tcBorders/>
            <w:vAlign w:val="center"/>
          </w:tcPr>
          <w:p>
            <w:pPr>
              <w:pStyle w:val="TableContents"/>
              <w:bidi w:val="0"/>
              <w:spacing w:before="1" w:after="1"/>
              <w:ind w:left="0" w:right="0" w:hanging="0"/>
              <w:jc w:val="left"/>
              <w:rPr/>
            </w:pPr>
            <w:r>
              <w:rPr/>
              <w:t>​</w:t>
            </w:r>
          </w:p>
        </w:tc>
        <w:tc>
          <w:tcPr>
            <w:tcW w:w="288"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3"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vAlign w:val="center"/>
          </w:tcPr>
          <w:p>
            <w:pPr>
              <w:pStyle w:val="TableContents"/>
              <w:bidi w:val="0"/>
              <w:spacing w:before="1" w:after="1"/>
              <w:ind w:left="0" w:right="0" w:hanging="0"/>
              <w:jc w:val="left"/>
              <w:rPr/>
            </w:pPr>
            <w:r>
              <w:rPr/>
              <w:t>​</w:t>
            </w:r>
          </w:p>
        </w:tc>
        <w:tc>
          <w:tcPr>
            <w:tcW w:w="404"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191" w:type="dxa"/>
            <w:tcBorders/>
            <w:vAlign w:val="center"/>
          </w:tcPr>
          <w:p>
            <w:pPr>
              <w:pStyle w:val="TableContents"/>
              <w:bidi w:val="0"/>
              <w:spacing w:before="1"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accumulated other comprehensive income (loss) by component, net of tax, for the nine months ended September 30, 2022 consisted of the following:</w:t>
      </w:r>
    </w:p>
    <w:tbl>
      <w:tblPr>
        <w:tblW w:w="9104" w:type="dxa"/>
        <w:jc w:val="left"/>
        <w:tblInd w:w="0" w:type="dxa"/>
        <w:tblLayout w:type="fixed"/>
        <w:tblCellMar>
          <w:top w:w="0" w:type="dxa"/>
          <w:left w:w="0" w:type="dxa"/>
          <w:bottom w:w="0" w:type="dxa"/>
          <w:right w:w="0" w:type="dxa"/>
        </w:tblCellMar>
      </w:tblPr>
      <w:tblGrid>
        <w:gridCol w:w="2881"/>
        <w:gridCol w:w="326"/>
        <w:gridCol w:w="211"/>
        <w:gridCol w:w="586"/>
        <w:gridCol w:w="326"/>
        <w:gridCol w:w="285"/>
        <w:gridCol w:w="631"/>
        <w:gridCol w:w="326"/>
        <w:gridCol w:w="260"/>
        <w:gridCol w:w="521"/>
        <w:gridCol w:w="326"/>
        <w:gridCol w:w="211"/>
        <w:gridCol w:w="481"/>
        <w:gridCol w:w="326"/>
        <w:gridCol w:w="347"/>
        <w:gridCol w:w="869"/>
        <w:gridCol w:w="191"/>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829435" cy="175260"/>
                      <wp:effectExtent l="0" t="0" r="0" b="0"/>
                      <wp:wrapNone/>
                      <wp:docPr id="206" name="Frame206"/>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3985" cy="175260"/>
                      <wp:effectExtent l="0" t="0" r="0" b="0"/>
                      <wp:wrapNone/>
                      <wp:docPr id="208"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372110" cy="175260"/>
                      <wp:effectExtent l="0" t="0" r="0" b="0"/>
                      <wp:wrapNone/>
                      <wp:docPr id="209" name="Frame20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80975" cy="175260"/>
                      <wp:effectExtent l="0" t="0" r="0" b="0"/>
                      <wp:wrapNone/>
                      <wp:docPr id="211" name="Frame211"/>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00685" cy="175260"/>
                      <wp:effectExtent l="0" t="0" r="0" b="0"/>
                      <wp:wrapNone/>
                      <wp:docPr id="212" name="Frame21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2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65100" cy="175260"/>
                      <wp:effectExtent l="0" t="0" r="0" b="0"/>
                      <wp:wrapNone/>
                      <wp:docPr id="214" name="Frame214"/>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330835" cy="175260"/>
                      <wp:effectExtent l="0" t="0" r="0" b="0"/>
                      <wp:wrapNone/>
                      <wp:docPr id="215" name="Frame215"/>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6" name="Frame2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3985" cy="175260"/>
                      <wp:effectExtent l="0" t="0" r="0" b="0"/>
                      <wp:wrapNone/>
                      <wp:docPr id="217" name="Frame2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305435" cy="175260"/>
                      <wp:effectExtent l="0" t="0" r="0" b="0"/>
                      <wp:wrapNone/>
                      <wp:docPr id="218" name="Frame218"/>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9"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20345" cy="175260"/>
                      <wp:effectExtent l="0" t="0" r="0" b="0"/>
                      <wp:wrapNone/>
                      <wp:docPr id="220" name="Frame220"/>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551815" cy="175260"/>
                      <wp:effectExtent l="0" t="0" r="0" b="0"/>
                      <wp:wrapNone/>
                      <wp:docPr id="221" name="Frame221"/>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21285" cy="175260"/>
                      <wp:effectExtent l="0" t="0" r="0" b="0"/>
                      <wp:wrapNone/>
                      <wp:docPr id="222" name="Frame22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91" w:type="dxa"/>
            <w:tcBorders/>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w:t>
            </w:r>
          </w:p>
        </w:tc>
        <w:tc>
          <w:tcPr>
            <w:tcW w:w="3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2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91" w:type="dxa"/>
            <w:tcBorders/>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w:t>
            </w:r>
          </w:p>
        </w:tc>
        <w:tc>
          <w:tcPr>
            <w:tcW w:w="32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Retirement</w:t>
            </w:r>
          </w:p>
        </w:tc>
        <w:tc>
          <w:tcPr>
            <w:tcW w:w="3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Qualified</w:t>
            </w:r>
          </w:p>
        </w:tc>
        <w:tc>
          <w:tcPr>
            <w:tcW w:w="32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91" w:type="dxa"/>
            <w:tcBorders/>
            <w:vAlign w:val="center"/>
          </w:tcPr>
          <w:p>
            <w:pPr>
              <w:pStyle w:val="TableContents"/>
              <w:bidi w:val="0"/>
              <w:spacing w:before="0" w:after="0"/>
              <w:ind w:left="0" w:right="0" w:hanging="0"/>
              <w:jc w:val="left"/>
              <w:rPr/>
            </w:pPr>
            <w:r>
              <w:rPr/>
              <w:t>​</w:t>
            </w:r>
          </w:p>
        </w:tc>
      </w:tr>
      <w:tr>
        <w:trPr/>
        <w:tc>
          <w:tcPr>
            <w:tcW w:w="28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26" w:type="dxa"/>
            <w:tcBorders/>
            <w:vAlign w:val="center"/>
          </w:tcPr>
          <w:p>
            <w:pPr>
              <w:pStyle w:val="TableContents"/>
              <w:bidi w:val="0"/>
              <w:spacing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26" w:type="dxa"/>
            <w:tcBorders/>
            <w:vAlign w:val="center"/>
          </w:tcPr>
          <w:p>
            <w:pPr>
              <w:pStyle w:val="TableContents"/>
              <w:bidi w:val="0"/>
              <w:spacing w:before="0" w:after="0"/>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Plans</w:t>
            </w:r>
          </w:p>
        </w:tc>
        <w:tc>
          <w:tcPr>
            <w:tcW w:w="326" w:type="dxa"/>
            <w:tcBorders/>
            <w:vAlign w:val="center"/>
          </w:tcPr>
          <w:p>
            <w:pPr>
              <w:pStyle w:val="TableContents"/>
              <w:bidi w:val="0"/>
              <w:spacing w:before="0" w:after="0"/>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91" w:type="dxa"/>
            <w:tcBorders/>
            <w:vAlign w:val="center"/>
          </w:tcPr>
          <w:p>
            <w:pPr>
              <w:pStyle w:val="TableContents"/>
              <w:bidi w:val="0"/>
              <w:spacing w:before="0" w:after="0"/>
              <w:ind w:left="0" w:right="0" w:hanging="0"/>
              <w:jc w:val="left"/>
              <w:rPr/>
            </w:pPr>
            <w:r>
              <w:rPr/>
              <w:t> </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of prior service cost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191" w:type="dxa"/>
            <w:tcBorders/>
            <w:vAlign w:val="center"/>
          </w:tcPr>
          <w:p>
            <w:pPr>
              <w:pStyle w:val="TableContents"/>
              <w:bidi w:val="0"/>
              <w:spacing w:before="0" w:after="0"/>
              <w:ind w:left="0" w:right="0" w:hanging="0"/>
              <w:jc w:val="left"/>
              <w:rPr/>
            </w:pPr>
            <w:r>
              <w:rPr/>
              <w:t>​</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gain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vAlign w:val="center"/>
          </w:tcPr>
          <w:p>
            <w:pPr>
              <w:pStyle w:val="TableContents"/>
              <w:bidi w:val="0"/>
              <w:spacing w:before="0" w:after="0"/>
              <w:ind w:left="0" w:right="0" w:hanging="0"/>
              <w:jc w:val="left"/>
              <w:rPr/>
            </w:pPr>
            <w:r>
              <w:rPr/>
              <w:t>​</w:t>
            </w:r>
          </w:p>
        </w:tc>
        <w:tc>
          <w:tcPr>
            <w:tcW w:w="3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191" w:type="dxa"/>
            <w:tcBorders/>
            <w:vAlign w:val="center"/>
          </w:tcPr>
          <w:p>
            <w:pPr>
              <w:pStyle w:val="TableContents"/>
              <w:bidi w:val="0"/>
              <w:spacing w:before="0" w:after="0"/>
              <w:ind w:left="0" w:right="0" w:hanging="0"/>
              <w:jc w:val="left"/>
              <w:rPr/>
            </w:pPr>
            <w:r>
              <w:rPr/>
              <w:t>​</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2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of prior service cost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191" w:type="dxa"/>
            <w:tcBorders/>
            <w:vAlign w:val="center"/>
          </w:tcPr>
          <w:p>
            <w:pPr>
              <w:pStyle w:val="TableContents"/>
              <w:bidi w:val="0"/>
              <w:spacing w:before="0" w:after="0"/>
              <w:ind w:left="0" w:right="0" w:hanging="0"/>
              <w:jc w:val="left"/>
              <w:rPr/>
            </w:pPr>
            <w:r>
              <w:rPr/>
              <w:t>​</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gain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191" w:type="dxa"/>
            <w:tcBorders/>
            <w:vAlign w:val="center"/>
          </w:tcPr>
          <w:p>
            <w:pPr>
              <w:pStyle w:val="TableContents"/>
              <w:bidi w:val="0"/>
              <w:spacing w:before="0" w:after="0"/>
              <w:ind w:left="0" w:right="0" w:hanging="0"/>
              <w:jc w:val="left"/>
              <w:rPr/>
            </w:pPr>
            <w:r>
              <w:rPr/>
              <w:t>​</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shd w:fill="CCEEFF" w:val="clear"/>
            <w:vAlign w:val="center"/>
          </w:tcPr>
          <w:p>
            <w:pPr>
              <w:pStyle w:val="TableContents"/>
              <w:bidi w:val="0"/>
              <w:spacing w:before="0" w:after="0"/>
              <w:ind w:left="0" w:right="0" w:hanging="0"/>
              <w:jc w:val="left"/>
              <w:rPr/>
            </w:pPr>
            <w:r>
              <w:rPr/>
              <w:t>​</w:t>
            </w:r>
          </w:p>
        </w:tc>
        <w:tc>
          <w:tcPr>
            <w:tcW w:w="3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191" w:type="dxa"/>
            <w:tcBorders/>
            <w:vAlign w:val="center"/>
          </w:tcPr>
          <w:p>
            <w:pPr>
              <w:pStyle w:val="TableContents"/>
              <w:bidi w:val="0"/>
              <w:spacing w:before="0" w:after="0"/>
              <w:ind w:left="0" w:right="0" w:hanging="0"/>
              <w:jc w:val="left"/>
              <w:rPr/>
            </w:pPr>
            <w:r>
              <w:rPr/>
              <w:t>​</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of prior service cost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gain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91" w:type="dxa"/>
            <w:tcBorders/>
            <w:vAlign w:val="center"/>
          </w:tcPr>
          <w:p>
            <w:pPr>
              <w:pStyle w:val="TableContents"/>
              <w:bidi w:val="0"/>
              <w:spacing w:before="0" w:after="0"/>
              <w:ind w:left="0" w:right="0" w:hanging="0"/>
              <w:jc w:val="left"/>
              <w:rPr/>
            </w:pPr>
            <w:r>
              <w:rPr/>
              <w:t>​</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0" w:after="0"/>
              <w:ind w:left="0" w:right="0" w:hanging="0"/>
              <w:jc w:val="left"/>
              <w:rPr/>
            </w:pPr>
            <w:r>
              <w:rPr/>
              <w:t>​</w:t>
            </w:r>
          </w:p>
        </w:tc>
        <w:tc>
          <w:tcPr>
            <w:tcW w:w="3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91" w:type="dxa"/>
            <w:tcBorders/>
            <w:vAlign w:val="center"/>
          </w:tcPr>
          <w:p>
            <w:pPr>
              <w:pStyle w:val="TableContents"/>
              <w:bidi w:val="0"/>
              <w:spacing w:before="0" w:after="0"/>
              <w:ind w:left="0" w:right="0" w:hanging="0"/>
              <w:jc w:val="left"/>
              <w:rPr/>
            </w:pPr>
            <w:r>
              <w:rPr/>
              <w:t>​</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shd w:fill="CCEEFF" w:val="clear"/>
            <w:vAlign w:val="center"/>
          </w:tcPr>
          <w:p>
            <w:pPr>
              <w:pStyle w:val="TableContents"/>
              <w:bidi w:val="0"/>
              <w:spacing w:before="0" w:after="0"/>
              <w:ind w:left="0" w:right="0" w:hanging="0"/>
              <w:jc w:val="left"/>
              <w:rPr/>
            </w:pPr>
            <w:r>
              <w:rPr/>
              <w:t>​</w:t>
            </w:r>
          </w:p>
        </w:tc>
        <w:tc>
          <w:tcPr>
            <w:tcW w:w="3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9.</w:t>
      </w:r>
      <w:r>
        <w:rPr>
          <w:rFonts w:ascii="Times New Roman;Times;serif" w:hAnsi="Times New Roman;Times;serif"/>
          <w:sz w:val="20"/>
        </w:rPr>
        <w:t>          </w:t>
      </w:r>
      <w:r>
        <w:rPr>
          <w:rFonts w:ascii="Times New Roman;Times;serif" w:hAnsi="Times New Roman;Times;serif"/>
          <w:b/>
          <w:sz w:val="20"/>
        </w:rPr>
        <w:t>FAIR VALUE OF FINANCIAL INSTRUMENTS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249" w:name="Tc_xJZejdig-0Geek0Bgcqi9A_14_15"/>
      <w:bookmarkStart w:id="1250" w:name="Tc_VurMkQ-WZkCZqkV9foQ6zQ_14_14"/>
      <w:bookmarkStart w:id="1251" w:name="Tc_mqplxKT000y1zb72xMXV7Q_14_11"/>
      <w:bookmarkStart w:id="1252" w:name="Tc_OgPIOtC_K0K-_atAwwcpvA_14_9"/>
      <w:bookmarkStart w:id="1253" w:name="Tc_3ZGeMFJsyUeLaRW5sPYJOg_14_8"/>
      <w:bookmarkStart w:id="1254" w:name="Tc_WUfaMtvaGECkAp62O72jbQ_14_5"/>
      <w:bookmarkStart w:id="1255" w:name="Tc_ibWa_WDT_06oQsLUXc-j1w_14_2"/>
      <w:bookmarkStart w:id="1256" w:name="Tc_aKJmLU2ChEypDwF3LlrHMg_14_0"/>
      <w:bookmarkStart w:id="1257" w:name="Tc_NaEuJnQqf0-zkK3o1zwmZQ_13_15"/>
      <w:bookmarkStart w:id="1258" w:name="Tc_bLxNcE32O0KcMs5rfkO8pw_13_14"/>
      <w:bookmarkStart w:id="1259" w:name="Tc_BLb4MYBw-0-mm8mAa0ESTQ_13_12"/>
      <w:bookmarkStart w:id="1260" w:name="Tc_fwz_9PWFE02eV8GhyYrX_Q_13_11"/>
      <w:bookmarkStart w:id="1261" w:name="Tc_L-Ru31EVxUu7SdTgCWC6DQ_13_8"/>
      <w:bookmarkStart w:id="1262" w:name="Tc_iyGV4PxXS0yhYRtccD_BsQ_13_5"/>
      <w:bookmarkStart w:id="1263" w:name="Tc_JVOmt7okvUeXNZ4Biuo6GQ_13_2"/>
      <w:bookmarkStart w:id="1264" w:name="Tc_QV99nkbvdEarxXvUrEezHg_13_0"/>
      <w:bookmarkStart w:id="1265" w:name="Tc_F6YKAQqUBU-xFN9qTlXg0w_12_15"/>
      <w:bookmarkStart w:id="1266" w:name="Tc_6IeTRfOLWEettS9v7CLPOg_12_14"/>
      <w:bookmarkStart w:id="1267" w:name="Tc_byeblPjfR0eLq2B7VIAChA_12_12"/>
      <w:bookmarkStart w:id="1268" w:name="Tc_7GYp3bnhjkyxF5wjwCUvtg_12_11"/>
      <w:bookmarkStart w:id="1269" w:name="Tc_0qr1kLmHPEyq5snDCkobMw_12_8"/>
      <w:bookmarkStart w:id="1270" w:name="Tc_cTEOwT0mREOwtTUDeNuUuQ_12_5"/>
      <w:bookmarkStart w:id="1271" w:name="Tc_vG1AOZAPZ0a0JBMtMqw7HQ_12_2"/>
      <w:bookmarkStart w:id="1272" w:name="Tc_LJKox_-z6E6WcBtdPPSS3Q_12_0"/>
      <w:bookmarkStart w:id="1273" w:name="Tc_T2UsSgOzVE6bS9TaC2JHJQ_11_15"/>
      <w:bookmarkStart w:id="1274" w:name="Tc_NE9C-BWi2k-zasKlj6PlIQ_11_14"/>
      <w:bookmarkStart w:id="1275" w:name="Tc_TjY-ok31AEqY8W6VcSkfxQ_11_12"/>
      <w:bookmarkStart w:id="1276" w:name="Tc_brOzF1Lvc0mUDjWT4XIIWg_11_11"/>
      <w:bookmarkStart w:id="1277" w:name="Tc_05ZCj_ZN5kWuI0MNi5GKbQ_11_8"/>
      <w:bookmarkStart w:id="1278" w:name="Tc_fxZT3RzFckWRjQMTMl00XQ_11_5"/>
      <w:bookmarkStart w:id="1279" w:name="Tc_KN9EAgdaJEKeWx1XrRLUzg_11_2"/>
      <w:bookmarkStart w:id="1280" w:name="Tc_u_j6SVRe1E6584Pc9NK63g_11_0"/>
      <w:bookmarkStart w:id="1281" w:name="Tc_CoWcwk-wxkWxGvxpsWLsOw_10_5"/>
      <w:bookmarkStart w:id="1282" w:name="Tc_tKGLqw4hKUCz9TVSW93gFQ_10_2"/>
      <w:bookmarkStart w:id="1283" w:name="Tc_BMxSNk3FikyO3deVOAyyDw_10_0"/>
      <w:bookmarkStart w:id="1284" w:name="Tc_LbRfbY5GKUeVqM8PdoA5Jg_8_15"/>
      <w:bookmarkStart w:id="1285" w:name="Tc_W9eJtN0hJUGiHCyzALCbDw_8_14"/>
      <w:bookmarkStart w:id="1286" w:name="Tc_i9dDJoNfC0md5V0R16IbRw_8_11"/>
      <w:bookmarkStart w:id="1287" w:name="Tc_uklJ0SOcrE-PAhTXAjaM6g_8_9"/>
      <w:bookmarkStart w:id="1288" w:name="Tc_ecJLaDM6Vku3_gbclbv-PA_8_8"/>
      <w:bookmarkStart w:id="1289" w:name="Tc_bh59UZE0OEaAtoZBAxB7Cg_8_5"/>
      <w:bookmarkStart w:id="1290" w:name="Tc_-dGIf7ZAo0yRtRWZS6CBLg_8_2"/>
      <w:bookmarkStart w:id="1291" w:name="Tc_eCernH0YDkKHnppzPLUKvw_8_0"/>
      <w:bookmarkStart w:id="1292" w:name="Tc_3XkSellBaEmFKAjUvIS-CA_7_15"/>
      <w:bookmarkStart w:id="1293" w:name="Tc_CPeReqLkVUmSA_uohH2dEQ_7_14"/>
      <w:bookmarkStart w:id="1294" w:name="Tc_aQ0yvAvJYEygI9BeQcIfEA_7_12"/>
      <w:bookmarkStart w:id="1295" w:name="Tc_1GN3tVNAhECboDLZg49O3g_7_11"/>
      <w:bookmarkStart w:id="1296" w:name="Tc_vsExWwzl30iGrfHj2D4m0w_7_8"/>
      <w:bookmarkStart w:id="1297" w:name="Tc_lODwJrQUqkW0rM3gU5Uy1Q_7_5"/>
      <w:bookmarkStart w:id="1298" w:name="Tc_Kk2VXuwPIUe5JSx9je8IYw_7_2"/>
      <w:bookmarkStart w:id="1299" w:name="Tc_vu44YXBj006nzlHBJI_0Cw_7_0"/>
      <w:bookmarkStart w:id="1300" w:name="Tc_KP-_84CWZkyMbQ5qjdB8rQ_6_15"/>
      <w:bookmarkStart w:id="1301" w:name="Tc_Gu1WOpjNZkWJiQqw9azkpw_6_14"/>
      <w:bookmarkStart w:id="1302" w:name="Tc__5tF-TjfU0WS1eqelAf1nA_6_12"/>
      <w:bookmarkStart w:id="1303" w:name="Tc_fBQg_Ws-Ek6xX4bHqT3SeA_6_11"/>
      <w:bookmarkStart w:id="1304" w:name="Tc_9IIE_DXqwkGbnnkW8pm9Nw_6_8"/>
      <w:bookmarkStart w:id="1305" w:name="Tc_BMETq-LzDE2Yu8PdtgmaGw_6_5"/>
      <w:bookmarkStart w:id="1306" w:name="Tc_4s4kD-J9LEClHdBwusj8HQ_6_2"/>
      <w:bookmarkStart w:id="1307" w:name="Tc_6M7AzmBA2Ua7hi4kzl7rag_6_0"/>
      <w:bookmarkStart w:id="1308" w:name="Tc_-1O6pCodfkWU7EWIGimNzg_5_15"/>
      <w:bookmarkStart w:id="1309" w:name="Tc_uS4meJDlxk-MlmHo3a3RAg_5_14"/>
      <w:bookmarkStart w:id="1310" w:name="Tc_MjtcRZFqskSqKQI6z1PuLw_5_12"/>
      <w:bookmarkStart w:id="1311" w:name="Tc_Bo9xsJ18_Uyr2_rsRlvZBg_5_11"/>
      <w:bookmarkStart w:id="1312" w:name="Tc_tworil4guk2lexAVNeqzxw_5_8"/>
      <w:bookmarkStart w:id="1313" w:name="Tc_6e4xdFfo5EeIDyWuD-PY-A_5_5"/>
      <w:bookmarkStart w:id="1314" w:name="Tc_Qnwy4as6ukKDukUBnwja8Q_5_2"/>
      <w:bookmarkStart w:id="1315" w:name="Tc_c7ww78JhukWi30ihbHuRVw_5_0"/>
      <w:bookmarkStart w:id="1316" w:name="Tc_UBLljEDKLUyqM7rmBWFIqg_4_5"/>
      <w:bookmarkStart w:id="1317" w:name="Tc_jJVFrsL7C0mDDl2ZHXQPnw_4_2"/>
      <w:bookmarkStart w:id="1318" w:name="Tc_P8WMVWzD8UmGwP0wFVLjrg_4_0"/>
      <w:bookmarkStart w:id="1319" w:name="Tc_6VdwZokuN0mOFthMDpSKNg_3_14"/>
      <w:bookmarkStart w:id="1320" w:name="Tc_g4Yf8gAqe0m5cFdawUQvoQ_3_11"/>
      <w:bookmarkStart w:id="1321" w:name="Tc_IMvp6Unt5ki7zv1pTlskXw_3_8"/>
      <w:bookmarkStart w:id="1322" w:name="Tc_pKciqfHMDk-1n_AdnAhefA_3_5"/>
      <w:bookmarkStart w:id="1323" w:name="Tc_IF3p61PgJEOKlKMaG67aFg_3_2"/>
      <w:bookmarkStart w:id="1324" w:name="Tc_ksGUPfB2AUqG_6C7WomK1g_2_14"/>
      <w:bookmarkStart w:id="1325" w:name="Tc_RHGSEVUkE063oa3FlQDyew_2_11"/>
      <w:bookmarkStart w:id="1326" w:name="Tc_zkNyU3GFv0aHJBkdu-OiQw_2_8"/>
      <w:bookmarkStart w:id="1327" w:name="Tc_hv1DaB3RUkegziy_oikLEQ_2_2"/>
      <w:bookmarkStart w:id="1328" w:name="Tc_Oj_7vQtVg0qH_cqNciiUPw_1_14"/>
      <w:bookmarkStart w:id="1329" w:name="Tc_8mSEXsvwpE603BXEghOuNQ_1_11"/>
      <w:bookmarkStart w:id="1330" w:name="Tc_aM3NmKY7JUiSomVCni9hCw_1_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r>
        <w:rPr>
          <w:rFonts w:ascii="Times New Roman;Times;serif" w:hAnsi="Times New Roman;Times;serif"/>
          <w:sz w:val="20"/>
        </w:rPr>
        <w:t>The Company uses Level 1 inputs for the fair values of its cash, cash equivalents, restricted cash and cash in the CCF, and Level 2 inputs for its variable and fixed rate debt. The fair values of cash, cash equivalents, restricted cash and cash on deposit in the CCF, and variable rate debt approximate their carrying values due to the nature of the instruments. The fair value of fixed rate debt is calculated based upon interest rates available for debt with terms and maturities similar to the Company’s existing debt arrangements.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carrying value and fair value of the Company’s financial instruments as of September 30, 2023 and December 31, 2022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58"/>
        <w:gridCol w:w="326"/>
        <w:gridCol w:w="449"/>
        <w:gridCol w:w="1217"/>
        <w:gridCol w:w="326"/>
        <w:gridCol w:w="372"/>
        <w:gridCol w:w="1009"/>
        <w:gridCol w:w="326"/>
        <w:gridCol w:w="352"/>
        <w:gridCol w:w="954"/>
        <w:gridCol w:w="326"/>
        <w:gridCol w:w="300"/>
        <w:gridCol w:w="814"/>
        <w:gridCol w:w="326"/>
        <w:gridCol w:w="451"/>
        <w:gridCol w:w="743"/>
        <w:gridCol w:w="156"/>
      </w:tblGrid>
      <w:tr>
        <w:trPr/>
        <w:tc>
          <w:tcPr>
            <w:tcW w:w="17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116330" cy="175260"/>
                      <wp:effectExtent l="0" t="0" r="0" b="0"/>
                      <wp:wrapNone/>
                      <wp:docPr id="223" name="Frame223"/>
                      <a:graphic xmlns:a="http://schemas.openxmlformats.org/drawingml/2006/main">
                        <a:graphicData uri="http://schemas.microsoft.com/office/word/2010/wordprocessingShape">
                          <wps:wsp>
                            <wps:cNvSpPr txBox="1"/>
                            <wps:spPr>
                              <a:xfrm>
                                <a:off x="0" y="0"/>
                                <a:ext cx="1116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85115" cy="175260"/>
                      <wp:effectExtent l="0" t="0" r="0" b="0"/>
                      <wp:wrapNone/>
                      <wp:docPr id="225" name="Frame225"/>
                      <a:graphic xmlns:a="http://schemas.openxmlformats.org/drawingml/2006/main">
                        <a:graphicData uri="http://schemas.microsoft.com/office/word/2010/wordprocessingShape">
                          <wps:wsp>
                            <wps:cNvSpPr txBox="1"/>
                            <wps:spPr>
                              <a:xfrm>
                                <a:off x="0" y="0"/>
                                <a:ext cx="285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772795" cy="175260"/>
                      <wp:effectExtent l="0" t="0" r="0" b="0"/>
                      <wp:wrapNone/>
                      <wp:docPr id="226" name="Frame226"/>
                      <a:graphic xmlns:a="http://schemas.openxmlformats.org/drawingml/2006/main">
                        <a:graphicData uri="http://schemas.microsoft.com/office/word/2010/wordprocessingShape">
                          <wps:wsp>
                            <wps:cNvSpPr txBox="1"/>
                            <wps:spPr>
                              <a:xfrm>
                                <a:off x="0" y="0"/>
                                <a:ext cx="772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36220" cy="175260"/>
                      <wp:effectExtent l="0" t="0" r="0" b="0"/>
                      <wp:wrapNone/>
                      <wp:docPr id="228" name="Frame228"/>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0715" cy="175260"/>
                      <wp:effectExtent l="0" t="0" r="0" b="0"/>
                      <wp:wrapNone/>
                      <wp:docPr id="229" name="Frame229"/>
                      <a:graphic xmlns:a="http://schemas.openxmlformats.org/drawingml/2006/main">
                        <a:graphicData uri="http://schemas.microsoft.com/office/word/2010/wordprocessingShape">
                          <wps:wsp>
                            <wps:cNvSpPr txBox="1"/>
                            <wps:spPr>
                              <a:xfrm>
                                <a:off x="0" y="0"/>
                                <a:ext cx="640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30"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23520" cy="175260"/>
                      <wp:effectExtent l="0" t="0" r="0" b="0"/>
                      <wp:wrapNone/>
                      <wp:docPr id="231" name="Frame231"/>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05790" cy="175260"/>
                      <wp:effectExtent l="0" t="0" r="0" b="0"/>
                      <wp:wrapNone/>
                      <wp:docPr id="232" name="Frame232"/>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3"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90500" cy="175260"/>
                      <wp:effectExtent l="0" t="0" r="0" b="0"/>
                      <wp:wrapNone/>
                      <wp:docPr id="234" name="Frame234"/>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16890" cy="175260"/>
                      <wp:effectExtent l="0" t="0" r="0" b="0"/>
                      <wp:wrapNone/>
                      <wp:docPr id="235" name="Frame235"/>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86385" cy="175260"/>
                      <wp:effectExtent l="0" t="0" r="0" b="0"/>
                      <wp:wrapNone/>
                      <wp:docPr id="237" name="Frame237"/>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471805" cy="175260"/>
                      <wp:effectExtent l="0" t="0" r="0" b="0"/>
                      <wp:wrapNone/>
                      <wp:docPr id="238" name="Frame238"/>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99060" cy="175260"/>
                      <wp:effectExtent l="0" t="0" r="0" b="0"/>
                      <wp:wrapNone/>
                      <wp:docPr id="239" name="Frame239"/>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66"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8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26" w:type="dxa"/>
            <w:tcBorders/>
            <w:vAlign w:val="center"/>
          </w:tcPr>
          <w:p>
            <w:pPr>
              <w:pStyle w:val="TableContents"/>
              <w:bidi w:val="0"/>
              <w:spacing w:before="0" w:after="0"/>
              <w:ind w:left="0" w:right="0" w:hanging="0"/>
              <w:jc w:val="left"/>
              <w:rPr/>
            </w:pPr>
            <w:r>
              <w:rPr/>
              <w:t>​</w:t>
            </w:r>
          </w:p>
        </w:tc>
        <w:tc>
          <w:tcPr>
            <w:tcW w:w="111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vAlign w:val="center"/>
          </w:tcPr>
          <w:p>
            <w:pPr>
              <w:pStyle w:val="TableContents"/>
              <w:bidi w:val="0"/>
              <w:spacing w:before="0" w:after="0"/>
              <w:ind w:left="0" w:right="0" w:hanging="0"/>
              <w:jc w:val="left"/>
              <w:rPr/>
            </w:pPr>
            <w:r>
              <w:rPr/>
              <w:t>​</w:t>
            </w:r>
          </w:p>
        </w:tc>
        <w:tc>
          <w:tcPr>
            <w:tcW w:w="119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156" w:type="dxa"/>
            <w:tcBorders/>
            <w:vAlign w:val="center"/>
          </w:tcPr>
          <w:p>
            <w:pPr>
              <w:pStyle w:val="TableContents"/>
              <w:bidi w:val="0"/>
              <w:spacing w:before="0" w:after="0"/>
              <w:ind w:left="0" w:right="0" w:hanging="0"/>
              <w:jc w:val="left"/>
              <w:rPr/>
            </w:pPr>
            <w:r>
              <w:rPr/>
              <w:t>​</w:t>
            </w:r>
          </w:p>
        </w:tc>
      </w:tr>
      <w:tr>
        <w:trPr/>
        <w:tc>
          <w:tcPr>
            <w:tcW w:w="17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left"/>
              <w:rPr/>
            </w:pPr>
            <w:r>
              <w:rPr/>
              <w:t>​</w:t>
            </w:r>
          </w:p>
        </w:tc>
        <w:tc>
          <w:tcPr>
            <w:tcW w:w="138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326" w:type="dxa"/>
            <w:tcBorders/>
            <w:vAlign w:val="center"/>
          </w:tcPr>
          <w:p>
            <w:pPr>
              <w:pStyle w:val="TableContents"/>
              <w:bidi w:val="0"/>
              <w:spacing w:before="0" w:after="0"/>
              <w:ind w:left="0" w:right="0" w:hanging="0"/>
              <w:jc w:val="left"/>
              <w:rPr/>
            </w:pPr>
            <w:r>
              <w:rPr/>
              <w:t>​</w:t>
            </w:r>
          </w:p>
        </w:tc>
        <w:tc>
          <w:tcPr>
            <w:tcW w:w="111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 </w:t>
            </w:r>
          </w:p>
        </w:tc>
        <w:tc>
          <w:tcPr>
            <w:tcW w:w="326" w:type="dxa"/>
            <w:tcBorders/>
            <w:vAlign w:val="center"/>
          </w:tcPr>
          <w:p>
            <w:pPr>
              <w:pStyle w:val="TableContents"/>
              <w:bidi w:val="0"/>
              <w:spacing w:before="0" w:after="0"/>
              <w:ind w:left="0" w:right="0" w:hanging="0"/>
              <w:jc w:val="left"/>
              <w:rPr/>
            </w:pPr>
            <w:r>
              <w:rPr/>
              <w:t>​</w:t>
            </w:r>
          </w:p>
        </w:tc>
        <w:tc>
          <w:tcPr>
            <w:tcW w:w="119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 </w:t>
            </w:r>
          </w:p>
        </w:tc>
        <w:tc>
          <w:tcPr>
            <w:tcW w:w="156" w:type="dxa"/>
            <w:tcBorders/>
            <w:vAlign w:val="center"/>
          </w:tcPr>
          <w:p>
            <w:pPr>
              <w:pStyle w:val="TableContents"/>
              <w:bidi w:val="0"/>
              <w:spacing w:before="0" w:after="0"/>
              <w:ind w:left="0" w:right="0" w:hanging="0"/>
              <w:jc w:val="left"/>
              <w:rPr/>
            </w:pPr>
            <w:r>
              <w:rPr/>
              <w:t>​</w:t>
            </w:r>
          </w:p>
        </w:tc>
      </w:tr>
      <w:tr>
        <w:trPr/>
        <w:tc>
          <w:tcPr>
            <w:tcW w:w="17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6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Carrying Value    </w:t>
            </w:r>
          </w:p>
        </w:tc>
        <w:tc>
          <w:tcPr>
            <w:tcW w:w="326" w:type="dxa"/>
            <w:tcBorders/>
            <w:vAlign w:val="center"/>
          </w:tcPr>
          <w:p>
            <w:pPr>
              <w:pStyle w:val="TableContents"/>
              <w:bidi w:val="0"/>
              <w:spacing w:before="0" w:after="0"/>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Total         </w:t>
            </w:r>
          </w:p>
        </w:tc>
        <w:tc>
          <w:tcPr>
            <w:tcW w:w="326" w:type="dxa"/>
            <w:tcBorders/>
            <w:vAlign w:val="center"/>
          </w:tcPr>
          <w:p>
            <w:pPr>
              <w:pStyle w:val="TableContents"/>
              <w:bidi w:val="0"/>
              <w:spacing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11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(Level 2)</w:t>
            </w:r>
          </w:p>
        </w:tc>
        <w:tc>
          <w:tcPr>
            <w:tcW w:w="326" w:type="dxa"/>
            <w:tcBorders/>
            <w:vAlign w:val="center"/>
          </w:tcPr>
          <w:p>
            <w:pPr>
              <w:pStyle w:val="TableContents"/>
              <w:bidi w:val="0"/>
              <w:spacing w:before="0" w:after="0"/>
              <w:ind w:left="0" w:right="0" w:hanging="0"/>
              <w:jc w:val="left"/>
              <w:rPr/>
            </w:pPr>
            <w:r>
              <w:rPr/>
              <w:t>    </w:t>
            </w:r>
          </w:p>
        </w:tc>
        <w:tc>
          <w:tcPr>
            <w:tcW w:w="11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(Level 3)</w:t>
            </w:r>
          </w:p>
        </w:tc>
        <w:tc>
          <w:tcPr>
            <w:tcW w:w="156" w:type="dxa"/>
            <w:tcBorders/>
            <w:vAlign w:val="center"/>
          </w:tcPr>
          <w:p>
            <w:pPr>
              <w:pStyle w:val="TableContents"/>
              <w:bidi w:val="0"/>
              <w:spacing w:before="0" w:after="0"/>
              <w:ind w:left="0" w:right="0" w:hanging="0"/>
              <w:jc w:val="left"/>
              <w:rPr/>
            </w:pPr>
            <w:r>
              <w:rPr/>
              <w:t>​</w:t>
            </w:r>
          </w:p>
        </w:tc>
      </w:tr>
      <w:tr>
        <w:trPr/>
        <w:tc>
          <w:tcPr>
            <w:tcW w:w="10205" w:type="dxa"/>
            <w:gridSpan w:val="17"/>
            <w:tcBorders/>
            <w:vAlign w:val="center"/>
          </w:tcPr>
          <w:p>
            <w:pPr>
              <w:pStyle w:val="TableContents"/>
              <w:bidi w:val="0"/>
              <w:spacing w:before="0" w:after="283"/>
              <w:ind w:left="0" w:right="0" w:hanging="0"/>
              <w:jc w:val="left"/>
              <w:rPr>
                <w:sz w:val="4"/>
                <w:szCs w:val="4"/>
              </w:rPr>
            </w:pPr>
            <w:r>
              <w:rPr>
                <w:sz w:val="4"/>
                <w:szCs w:val="4"/>
              </w:rPr>
            </w:r>
          </w:p>
        </w:tc>
      </w:tr>
      <w:tr>
        <w:trPr/>
        <w:tc>
          <w:tcPr>
            <w:tcW w:w="175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w:t>
            </w:r>
          </w:p>
        </w:tc>
        <w:tc>
          <w:tcPr>
            <w:tcW w:w="16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left"/>
              <w:rPr/>
            </w:pPr>
            <w:r>
              <w:rPr/>
              <w:t>​</w:t>
            </w:r>
          </w:p>
        </w:tc>
        <w:tc>
          <w:tcPr>
            <w:tcW w:w="5973"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at September 30, 2023</w:t>
            </w:r>
          </w:p>
        </w:tc>
        <w:tc>
          <w:tcPr>
            <w:tcW w:w="156" w:type="dxa"/>
            <w:tcBorders/>
            <w:vAlign w:val="center"/>
          </w:tcPr>
          <w:p>
            <w:pPr>
              <w:pStyle w:val="TableContents"/>
              <w:bidi w:val="0"/>
              <w:spacing w:before="0" w:after="0"/>
              <w:ind w:left="0" w:right="0" w:hanging="0"/>
              <w:jc w:val="left"/>
              <w:rPr/>
            </w:pPr>
            <w:r>
              <w:rPr/>
              <w:t>​</w:t>
            </w:r>
          </w:p>
        </w:tc>
      </w:tr>
      <w:tr>
        <w:trPr/>
        <w:tc>
          <w:tcPr>
            <w:tcW w:w="17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w:t>
            </w:r>
          </w:p>
        </w:tc>
        <w:tc>
          <w:tcPr>
            <w:tcW w:w="32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w:t>
            </w:r>
          </w:p>
        </w:tc>
        <w:tc>
          <w:tcPr>
            <w:tcW w:w="32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1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vAlign w:val="center"/>
          </w:tcPr>
          <w:p>
            <w:pPr>
              <w:pStyle w:val="TableContents"/>
              <w:bidi w:val="0"/>
              <w:spacing w:before="0" w:after="0"/>
              <w:ind w:left="0" w:right="0" w:hanging="0"/>
              <w:jc w:val="righ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17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Construction Fund</w:t>
            </w:r>
          </w:p>
        </w:tc>
        <w:tc>
          <w:tcPr>
            <w:tcW w:w="32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591.6</w:t>
            </w:r>
          </w:p>
        </w:tc>
        <w:tc>
          <w:tcPr>
            <w:tcW w:w="32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591.6</w:t>
            </w:r>
          </w:p>
        </w:tc>
        <w:tc>
          <w:tcPr>
            <w:tcW w:w="32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591.6</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1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rate debt</w:t>
            </w:r>
          </w:p>
        </w:tc>
        <w:tc>
          <w:tcPr>
            <w:tcW w:w="326"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450.3</w:t>
            </w:r>
          </w:p>
        </w:tc>
        <w:tc>
          <w:tcPr>
            <w:tcW w:w="32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351.7</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351.7</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vAlign w:val="center"/>
          </w:tcPr>
          <w:p>
            <w:pPr>
              <w:pStyle w:val="TableContents"/>
              <w:bidi w:val="0"/>
              <w:spacing w:before="0" w:after="0"/>
              <w:ind w:left="0" w:right="0" w:hanging="0"/>
              <w:jc w:val="righ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17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pPr>
            <w:r>
              <w:rPr/>
              <w:t>​</w:t>
            </w:r>
          </w:p>
        </w:tc>
        <w:tc>
          <w:tcPr>
            <w:tcW w:w="121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175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16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326" w:type="dxa"/>
            <w:tcBorders/>
            <w:vAlign w:val="center"/>
          </w:tcPr>
          <w:p>
            <w:pPr>
              <w:pStyle w:val="TableContents"/>
              <w:bidi w:val="0"/>
              <w:spacing w:before="0" w:after="0"/>
              <w:ind w:left="0" w:right="0" w:hanging="0"/>
              <w:jc w:val="left"/>
              <w:rPr/>
            </w:pPr>
            <w:r>
              <w:rPr/>
              <w:t>​</w:t>
            </w:r>
          </w:p>
        </w:tc>
        <w:tc>
          <w:tcPr>
            <w:tcW w:w="5973" w:type="dxa"/>
            <w:gridSpan w:val="11"/>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Fair Value Measurements at December 31, 2022           </w:t>
            </w:r>
          </w:p>
        </w:tc>
        <w:tc>
          <w:tcPr>
            <w:tcW w:w="156" w:type="dxa"/>
            <w:tcBorders/>
            <w:vAlign w:val="center"/>
          </w:tcPr>
          <w:p>
            <w:pPr>
              <w:pStyle w:val="TableContents"/>
              <w:bidi w:val="0"/>
              <w:spacing w:before="0" w:after="0"/>
              <w:ind w:left="0" w:right="0" w:hanging="0"/>
              <w:jc w:val="left"/>
              <w:rPr/>
            </w:pPr>
            <w:r>
              <w:rPr/>
              <w:t>​</w:t>
            </w:r>
          </w:p>
        </w:tc>
      </w:tr>
      <w:tr>
        <w:trPr/>
        <w:tc>
          <w:tcPr>
            <w:tcW w:w="17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249.8</w:t>
            </w:r>
          </w:p>
        </w:tc>
        <w:tc>
          <w:tcPr>
            <w:tcW w:w="32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249.8</w:t>
            </w:r>
          </w:p>
        </w:tc>
        <w:tc>
          <w:tcPr>
            <w:tcW w:w="326" w:type="dxa"/>
            <w:tcBorders/>
            <w:shd w:fill="CCEEFF" w:val="clear"/>
            <w:vAlign w:val="center"/>
          </w:tcPr>
          <w:p>
            <w:pPr>
              <w:pStyle w:val="TableContents"/>
              <w:bidi w:val="0"/>
              <w:spacing w:before="0" w:after="0"/>
              <w:ind w:left="0" w:right="0" w:hanging="0"/>
              <w:jc w:val="left"/>
              <w:rPr/>
            </w:pPr>
            <w:r>
              <w:rPr/>
              <w:t>  </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249.8</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1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vAlign w:val="center"/>
          </w:tcPr>
          <w:p>
            <w:pPr>
              <w:pStyle w:val="TableContents"/>
              <w:bidi w:val="0"/>
              <w:spacing w:before="0" w:after="0"/>
              <w:ind w:left="0" w:right="0" w:hanging="0"/>
              <w:jc w:val="righ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17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Construction Fund</w:t>
            </w:r>
          </w:p>
        </w:tc>
        <w:tc>
          <w:tcPr>
            <w:tcW w:w="32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518.2</w:t>
            </w:r>
          </w:p>
        </w:tc>
        <w:tc>
          <w:tcPr>
            <w:tcW w:w="32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518.2</w:t>
            </w:r>
          </w:p>
        </w:tc>
        <w:tc>
          <w:tcPr>
            <w:tcW w:w="32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518.2</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1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rate debt</w:t>
            </w:r>
          </w:p>
        </w:tc>
        <w:tc>
          <w:tcPr>
            <w:tcW w:w="326"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517.5</w:t>
            </w:r>
          </w:p>
        </w:tc>
        <w:tc>
          <w:tcPr>
            <w:tcW w:w="32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427.3</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427.3</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vAlign w:val="center"/>
          </w:tcPr>
          <w:p>
            <w:pPr>
              <w:pStyle w:val="TableContents"/>
              <w:bidi w:val="0"/>
              <w:spacing w:before="0" w:after="0"/>
              <w:ind w:left="0" w:right="0" w:hanging="0"/>
              <w:jc w:val="right"/>
              <w:rPr/>
            </w:pPr>
            <w:r>
              <w:rPr/>
              <w:t>—</w:t>
            </w:r>
          </w:p>
        </w:tc>
        <w:tc>
          <w:tcPr>
            <w:tcW w:w="15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331" w:name="Tc_T6KBNhi8XkmU7bbP-LiA5g_8_15"/>
      <w:bookmarkStart w:id="1332" w:name="Tc_SGM1BEzoZ0mrHlH27eU8XQ_8_10"/>
      <w:bookmarkStart w:id="1333" w:name="Tc_CzjJQ9VTkEyVomiVkRvpgw_8_7"/>
      <w:bookmarkStart w:id="1334" w:name="Tc_RqnT_VJOV0KVo1u-HvWl5g_8_2"/>
      <w:bookmarkStart w:id="1335" w:name="Tc_edjXxj3rqUmIo4I1HdCzfQ_8_0"/>
      <w:bookmarkStart w:id="1336" w:name="Tc_2kjQEJ95a0GCjaiaqG8TAg_7_0"/>
      <w:bookmarkStart w:id="1337" w:name="Tc_j6HGYa7AfUeNL3q2zESyqg_6_15"/>
      <w:bookmarkStart w:id="1338" w:name="Tc_zfrE1m8aK0GVzDqkBqVTCQ_6_10"/>
      <w:bookmarkStart w:id="1339" w:name="Tc_Gw2DQ9j6HUmKfxy9FGS-XA_6_7"/>
      <w:bookmarkStart w:id="1340" w:name="Tc_kxI_pDYi9UOeKwGgU-XIQQ_6_2"/>
      <w:bookmarkStart w:id="1341" w:name="Tc_irsE2YObOEOAUEhCeXuS2Q_6_0"/>
      <w:bookmarkStart w:id="1342" w:name="Tc_NNhLI4IGrEm3T8R8blYZtA_5_15"/>
      <w:bookmarkStart w:id="1343" w:name="Tc_qiX4EpKDVEKFpABLksXjzA_5_13"/>
      <w:bookmarkStart w:id="1344" w:name="Tc_99pq8lFwpkqGO22HnctsBg_5_10"/>
      <w:bookmarkStart w:id="1345" w:name="Tc_L-A6nAXhbEyprl0f8Fh4Kg_5_7"/>
      <w:bookmarkStart w:id="1346" w:name="Tc_S-veKIwq2EuMwfzk3-tp8g_5_5"/>
      <w:bookmarkStart w:id="1347" w:name="Tc_kPPEsOy4WEujYR0YYe10CA_5_2"/>
      <w:bookmarkStart w:id="1348" w:name="Tc_cfd5L5ttaUaCkYWSNulZxQ_5_0"/>
      <w:bookmarkStart w:id="1349" w:name="Tc_VZ49KNy01UqmsMeC_GPOxQ_4_15"/>
      <w:bookmarkStart w:id="1350" w:name="Tc_gSyfAau-SEWT7QExi73Q6g_4_13"/>
      <w:bookmarkStart w:id="1351" w:name="Tc_f7WJKG4a4EGnDSsQUI64AQ_4_10"/>
      <w:bookmarkStart w:id="1352" w:name="Tc_B2-JBrk-Jkm528sbrMXqXw_4_7"/>
      <w:bookmarkStart w:id="1353" w:name="Tc_DH_sII-Q8U-hyKvcsWaabQ_4_5"/>
      <w:bookmarkStart w:id="1354" w:name="Tc_VnBOIspKjkCyA8_vY-FCng_4_2"/>
      <w:bookmarkStart w:id="1355" w:name="Tc_sY4zBEDAW0OlOm8zHozDwQ_3_15"/>
      <w:bookmarkStart w:id="1356" w:name="Tc_-UJk6Ba9QkGHWSMW1avS6g_3_13"/>
      <w:bookmarkStart w:id="1357" w:name="Tc_szjk7NBZNkaMNeBoMQ0pJw_3_7"/>
      <w:bookmarkStart w:id="1358" w:name="Tc_apm_rAA4AkKf9eZ_N_yglQ_3_5"/>
      <w:bookmarkStart w:id="1359" w:name="Tc_p2qRTkPzbE-pf5vGs-20aQ_2_15"/>
      <w:bookmarkStart w:id="1360" w:name="Tc_TqM8_BVXTUyOogr8KC68oQ_2_13"/>
      <w:bookmarkStart w:id="1361" w:name="Tc_KuwmvIugLEmXhyrIWDTPug_2_7"/>
      <w:bookmarkStart w:id="1362" w:name="Tc_XPOhUuHCcUC9cXUy9cQ3ZA_2_5"/>
      <w:bookmarkStart w:id="1363" w:name="Tc_ge6qaGyixkGusTjgG59Axw_1_10"/>
      <w:bookmarkStart w:id="1364" w:name="Tc_dePM9c-4eUKB6aDyshX_Bg_1_2"/>
      <w:bookmarkStart w:id="1365" w:name="_61ee3bf7_d4a2_40e8_998c_f24f624c6125"/>
      <w:bookmarkStart w:id="1366" w:name="Tc_gT57i4TOp0CLgzDhiJOLqg_8_15"/>
      <w:bookmarkStart w:id="1367" w:name="Tc_dXwQUffB9UKlUIxscSVpPA_8_10"/>
      <w:bookmarkStart w:id="1368" w:name="Tc_Q3Qe6fcCaEeW58Nglxi39w_8_7"/>
      <w:bookmarkStart w:id="1369" w:name="Tc_q3C6pj_wqEWGRgZSmfoP_A_8_2"/>
      <w:bookmarkStart w:id="1370" w:name="Tc_1aDbDEnfs0Sy6aFWGQjQtg_8_0"/>
      <w:bookmarkStart w:id="1371" w:name="Tc_J4PBAktBL0SRtZKXd4i2yw_7_0"/>
      <w:bookmarkStart w:id="1372" w:name="Tc_gr6IUMwA7kimGB2is5hm0g_6_15"/>
      <w:bookmarkStart w:id="1373" w:name="Tc_BGt-_vUYC0CNsCliPV-7_g_6_10"/>
      <w:bookmarkStart w:id="1374" w:name="Tc_1qYWU3HhYkmxJFRMf85VEA_6_7"/>
      <w:bookmarkStart w:id="1375" w:name="Tc_W-aiV2ZzCUebFYtp1KHrsg_6_2"/>
      <w:bookmarkStart w:id="1376" w:name="Tc_UzcEdXN7Y0yUZgOKdi_Agg_6_0"/>
      <w:bookmarkStart w:id="1377" w:name="Tc_KSJpwAHpnECHCDWksC7dTA_5_15"/>
      <w:bookmarkStart w:id="1378" w:name="Tc_tXq4lehhvkKf_GQKxGq7vQ_5_13"/>
      <w:bookmarkStart w:id="1379" w:name="Tc_jOPXczah-kG-H4AvcLdHJQ_5_10"/>
      <w:bookmarkStart w:id="1380" w:name="Tc_qDay_8inwE69Qdya3OwIyg_5_7"/>
      <w:bookmarkStart w:id="1381" w:name="Tc_t6etj0S9e0CT1ijjkOuoOQ_5_5"/>
      <w:bookmarkStart w:id="1382" w:name="Tc_fCv_RL5vuUqHNRjnCnKP8g_5_2"/>
      <w:bookmarkStart w:id="1383" w:name="Tc_1Jlmg72AhkSxj4JCX7EWxg_5_0"/>
      <w:bookmarkStart w:id="1384" w:name="Tc_aSe1sGxyYkC7rJZ6qZsOvg_4_15"/>
      <w:bookmarkStart w:id="1385" w:name="Tc_PLtdiYtH5ke_clhLKnfrQA_4_13"/>
      <w:bookmarkStart w:id="1386" w:name="Tc_YCIgHPPBqE6mE0W8H-rWPQ_4_10"/>
      <w:bookmarkStart w:id="1387" w:name="Tc_SbrUab7ZVEeasgv-OfRkfg_4_7"/>
      <w:bookmarkStart w:id="1388" w:name="Tc_jzq9tRk970-f1TYqds4qrQ_4_5"/>
      <w:bookmarkStart w:id="1389" w:name="Tc_W6sJ0zooFkWIp9N6IFFTBA_4_2"/>
      <w:bookmarkStart w:id="1390" w:name="Tc_4Nx2AzYg4EuSu6r3IU1UCg_3_15"/>
      <w:bookmarkStart w:id="1391" w:name="Tc_qGfqF-I99ES3m2JZe0JGpw_3_13"/>
      <w:bookmarkStart w:id="1392" w:name="Tc_-hEWM5ztn02Q5chSbNRIdw_3_7"/>
      <w:bookmarkStart w:id="1393" w:name="Tc_6f7_M4tkrEStyagYl47Tqw_3_5"/>
      <w:bookmarkStart w:id="1394" w:name="Tc_v3jlTIX79ka01tldj6zU3A_2_15"/>
      <w:bookmarkStart w:id="1395" w:name="Tc_3zMfywsMjUyW7zDNIukTaw_2_13"/>
      <w:bookmarkStart w:id="1396" w:name="Tc_fpAZsOMXQUapt2XgREWhJw_2_7"/>
      <w:bookmarkStart w:id="1397" w:name="Tc_giudMa1EfkKUiQ7Tb1I74w_2_5"/>
      <w:bookmarkStart w:id="1398" w:name="Tc_9-uV4diUpE237RyiuQnCeQ_1_10"/>
      <w:bookmarkStart w:id="1399" w:name="Tc_Oxlsvjc6AE6YDUMkTrVaZw_1_2"/>
      <w:bookmarkStart w:id="1400" w:name="_54fd95e7_76ac_4fa7_9cf0_c23378702d03"/>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r>
        <w:rPr>
          <w:rFonts w:ascii="Times New Roman;Times;serif" w:hAnsi="Times New Roman;Times;serif"/>
          <w:b/>
          <w:sz w:val="20"/>
        </w:rPr>
        <w:t>10.</w:t>
      </w:r>
      <w:r>
        <w:rPr>
          <w:rFonts w:ascii="Times New Roman;Times;serif" w:hAnsi="Times New Roman;Times;serif"/>
          <w:sz w:val="20"/>
        </w:rPr>
        <w:t>          </w:t>
      </w:r>
      <w:r>
        <w:rPr>
          <w:rFonts w:ascii="Times New Roman;Times;serif" w:hAnsi="Times New Roman;Times;serif"/>
          <w:b/>
          <w:sz w:val="20"/>
        </w:rPr>
        <w:t>EARNINGS PER SHARE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 is determined by dividing net income by the weighted average common shares outstanding during the period. The calculation of diluted earnings per share includes the dilutive effect of unexercised non-qualified stock options and non-vested restricted stock units. The computation of weighted average common shares outstanding excluded a nominal amount of anti-dilutive non-qualified stock options for each period ended September 30, 2023 and 2022.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computations for basic and diluted earnings per share for the three and nine months ended September 30, 2023 and 2022 are as follows:</w:t>
      </w:r>
    </w:p>
    <w:p>
      <w:pPr>
        <w:pStyle w:val="TextBody"/>
        <w:bidi w:val="0"/>
        <w:spacing w:before="0" w:after="0"/>
        <w:ind w:left="0" w:right="0" w:hanging="0"/>
        <w:jc w:val="left"/>
        <w:rPr/>
      </w:pPr>
      <w:r>
        <w:rPr/>
        <w:t>​</w:t>
      </w:r>
    </w:p>
    <w:tbl>
      <w:tblPr>
        <w:tblW w:w="8987" w:type="dxa"/>
        <w:jc w:val="left"/>
        <w:tblInd w:w="0" w:type="dxa"/>
        <w:tblLayout w:type="fixed"/>
        <w:tblCellMar>
          <w:top w:w="0" w:type="dxa"/>
          <w:left w:w="0" w:type="dxa"/>
          <w:bottom w:w="0" w:type="dxa"/>
          <w:right w:w="0" w:type="dxa"/>
        </w:tblCellMar>
      </w:tblPr>
      <w:tblGrid>
        <w:gridCol w:w="2656"/>
        <w:gridCol w:w="326"/>
        <w:gridCol w:w="196"/>
        <w:gridCol w:w="511"/>
        <w:gridCol w:w="326"/>
        <w:gridCol w:w="721"/>
        <w:gridCol w:w="326"/>
        <w:gridCol w:w="196"/>
        <w:gridCol w:w="541"/>
        <w:gridCol w:w="326"/>
        <w:gridCol w:w="196"/>
        <w:gridCol w:w="511"/>
        <w:gridCol w:w="326"/>
        <w:gridCol w:w="721"/>
        <w:gridCol w:w="326"/>
        <w:gridCol w:w="196"/>
        <w:gridCol w:w="58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686560" cy="175260"/>
                      <wp:effectExtent l="0" t="0" r="0" b="0"/>
                      <wp:wrapNone/>
                      <wp:docPr id="240" name="Frame240"/>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41" name="Frame2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24460" cy="175260"/>
                      <wp:effectExtent l="0" t="0" r="0" b="0"/>
                      <wp:wrapNone/>
                      <wp:docPr id="242" name="Frame2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324485" cy="175260"/>
                      <wp:effectExtent l="0" t="0" r="0" b="0"/>
                      <wp:wrapNone/>
                      <wp:docPr id="243" name="Frame24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44" name="Frame2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57835" cy="175260"/>
                      <wp:effectExtent l="0" t="0" r="0" b="0"/>
                      <wp:wrapNone/>
                      <wp:docPr id="245" name="Frame24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24460" cy="175260"/>
                      <wp:effectExtent l="0" t="0" r="0" b="0"/>
                      <wp:wrapNone/>
                      <wp:docPr id="247" name="Frame2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343535" cy="175260"/>
                      <wp:effectExtent l="0" t="0" r="0" b="0"/>
                      <wp:wrapNone/>
                      <wp:docPr id="248" name="Frame248"/>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49" name="Frame2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24460" cy="175260"/>
                      <wp:effectExtent l="0" t="0" r="0" b="0"/>
                      <wp:wrapNone/>
                      <wp:docPr id="250" name="Frame2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324485" cy="175260"/>
                      <wp:effectExtent l="0" t="0" r="0" b="0"/>
                      <wp:wrapNone/>
                      <wp:docPr id="251" name="Frame25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457835" cy="175260"/>
                      <wp:effectExtent l="0" t="0" r="0" b="0"/>
                      <wp:wrapNone/>
                      <wp:docPr id="253" name="Frame25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54" name="Frame2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24460" cy="175260"/>
                      <wp:effectExtent l="0" t="0" r="0" b="0"/>
                      <wp:wrapNone/>
                      <wp:docPr id="255" name="Frame25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372110" cy="175260"/>
                      <wp:effectExtent l="0" t="0" r="0" b="0"/>
                      <wp:wrapNone/>
                      <wp:docPr id="256" name="Frame25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1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Three Months Ended September 30, 2023</w:t>
            </w:r>
          </w:p>
        </w:tc>
        <w:tc>
          <w:tcPr>
            <w:tcW w:w="326" w:type="dxa"/>
            <w:tcBorders/>
            <w:vAlign w:val="center"/>
          </w:tcPr>
          <w:p>
            <w:pPr>
              <w:pStyle w:val="TableContents"/>
              <w:bidi w:val="0"/>
              <w:spacing w:before="0" w:after="0"/>
              <w:ind w:left="0" w:right="0" w:hanging="0"/>
              <w:jc w:val="left"/>
              <w:rPr/>
            </w:pPr>
            <w:r>
              <w:rPr/>
              <w:t>​</w:t>
            </w:r>
          </w:p>
        </w:tc>
        <w:tc>
          <w:tcPr>
            <w:tcW w:w="286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Nine Months Ended September 30, 2023</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Weighted</w:t>
            </w:r>
          </w:p>
        </w:tc>
        <w:tc>
          <w:tcPr>
            <w:tcW w:w="32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Per</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Weighted</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Per</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Average</w:t>
            </w:r>
          </w:p>
        </w:tc>
        <w:tc>
          <w:tcPr>
            <w:tcW w:w="326" w:type="dxa"/>
            <w:tcBorders/>
            <w:vAlign w:val="center"/>
          </w:tcPr>
          <w:p>
            <w:pPr>
              <w:pStyle w:val="TableContents"/>
              <w:bidi w:val="0"/>
              <w:spacing w:before="0" w:after="0"/>
              <w:ind w:left="0" w:right="0" w:hanging="0"/>
              <w:jc w:val="left"/>
              <w:rPr/>
            </w:pPr>
            <w:r>
              <w:rPr/>
              <w:t>​</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Average</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Net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26" w:type="dxa"/>
            <w:tcBorders/>
            <w:vAlign w:val="center"/>
          </w:tcPr>
          <w:p>
            <w:pPr>
              <w:pStyle w:val="TableContents"/>
              <w:bidi w:val="0"/>
              <w:spacing w:before="0" w:after="0"/>
              <w:ind w:left="0" w:right="0" w:hanging="0"/>
              <w:jc w:val="left"/>
              <w:rPr/>
            </w:pPr>
            <w:r>
              <w:rPr/>
              <w:t>​</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w:t>
            </w:r>
          </w:p>
        </w:tc>
        <w:tc>
          <w:tcPr>
            <w:tcW w:w="326" w:type="dxa"/>
            <w:tcBorders/>
            <w:vAlign w:val="center"/>
          </w:tcPr>
          <w:p>
            <w:pPr>
              <w:pStyle w:val="TableContents"/>
              <w:bidi w:val="0"/>
              <w:spacing w:before="0" w:after="0"/>
              <w:ind w:left="0" w:right="0" w:hanging="0"/>
              <w:jc w:val="left"/>
              <w:rPr/>
            </w:pPr>
            <w:r>
              <w:rPr/>
              <w:t>​</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Net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w:t>
            </w:r>
          </w:p>
        </w:tc>
      </w:tr>
      <w:tr>
        <w:trPr/>
        <w:tc>
          <w:tcPr>
            <w:tcW w:w="26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(In millions, except per share amounts)</w:t>
            </w:r>
          </w:p>
        </w:tc>
        <w:tc>
          <w:tcPr>
            <w:tcW w:w="326"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Income</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0"/>
              <w:ind w:left="0" w:right="0" w:hanging="0"/>
              <w:jc w:val="left"/>
              <w:rPr/>
            </w:pPr>
            <w:r>
              <w:rPr/>
              <w:t>​</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26"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Income</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119.9</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234.7</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6.59</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 of Dilutive Securities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(0.03)</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119.9</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234.7</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6.56</w:t>
            </w:r>
          </w:p>
        </w:tc>
      </w:tr>
    </w:tbl>
    <w:p>
      <w:pPr>
        <w:pStyle w:val="TextBody"/>
        <w:bidi w:val="0"/>
        <w:spacing w:before="0" w:after="0"/>
        <w:ind w:left="0" w:right="0" w:hanging="0"/>
        <w:jc w:val="left"/>
        <w:rPr/>
      </w:pPr>
      <w:r>
        <w:rPr/>
        <w:t>​</w:t>
      </w:r>
    </w:p>
    <w:tbl>
      <w:tblPr>
        <w:tblW w:w="8957" w:type="dxa"/>
        <w:jc w:val="left"/>
        <w:tblInd w:w="0" w:type="dxa"/>
        <w:tblLayout w:type="fixed"/>
        <w:tblCellMar>
          <w:top w:w="0" w:type="dxa"/>
          <w:left w:w="0" w:type="dxa"/>
          <w:bottom w:w="0" w:type="dxa"/>
          <w:right w:w="0" w:type="dxa"/>
        </w:tblCellMar>
      </w:tblPr>
      <w:tblGrid>
        <w:gridCol w:w="2656"/>
        <w:gridCol w:w="266"/>
        <w:gridCol w:w="196"/>
        <w:gridCol w:w="511"/>
        <w:gridCol w:w="326"/>
        <w:gridCol w:w="721"/>
        <w:gridCol w:w="326"/>
        <w:gridCol w:w="196"/>
        <w:gridCol w:w="541"/>
        <w:gridCol w:w="326"/>
        <w:gridCol w:w="196"/>
        <w:gridCol w:w="511"/>
        <w:gridCol w:w="326"/>
        <w:gridCol w:w="721"/>
        <w:gridCol w:w="326"/>
        <w:gridCol w:w="196"/>
        <w:gridCol w:w="61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686560" cy="175260"/>
                      <wp:effectExtent l="0" t="0" r="0" b="0"/>
                      <wp:wrapNone/>
                      <wp:docPr id="257" name="Frame257"/>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68910" cy="175260"/>
                      <wp:effectExtent l="0" t="0" r="0" b="0"/>
                      <wp:wrapNone/>
                      <wp:docPr id="258" name="Frame25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24460" cy="175260"/>
                      <wp:effectExtent l="0" t="0" r="0" b="0"/>
                      <wp:wrapNone/>
                      <wp:docPr id="259" name="Frame25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324485" cy="175260"/>
                      <wp:effectExtent l="0" t="0" r="0" b="0"/>
                      <wp:wrapNone/>
                      <wp:docPr id="260" name="Frame26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61" name="Frame2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457835" cy="175260"/>
                      <wp:effectExtent l="0" t="0" r="0" b="0"/>
                      <wp:wrapNone/>
                      <wp:docPr id="262" name="Frame26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24460" cy="175260"/>
                      <wp:effectExtent l="0" t="0" r="0" b="0"/>
                      <wp:wrapNone/>
                      <wp:docPr id="264" name="Frame2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343535" cy="175260"/>
                      <wp:effectExtent l="0" t="0" r="0" b="0"/>
                      <wp:wrapNone/>
                      <wp:docPr id="265" name="Frame26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7010" cy="175260"/>
                      <wp:effectExtent l="0" t="0" r="0" b="0"/>
                      <wp:wrapNone/>
                      <wp:docPr id="266" name="Frame2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24460" cy="175260"/>
                      <wp:effectExtent l="0" t="0" r="0" b="0"/>
                      <wp:wrapNone/>
                      <wp:docPr id="267" name="Frame2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324485" cy="175260"/>
                      <wp:effectExtent l="0" t="0" r="0" b="0"/>
                      <wp:wrapNone/>
                      <wp:docPr id="268" name="Frame26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7010" cy="175260"/>
                      <wp:effectExtent l="0" t="0" r="0" b="0"/>
                      <wp:wrapNone/>
                      <wp:docPr id="269" name="Frame2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457835" cy="175260"/>
                      <wp:effectExtent l="0" t="0" r="0" b="0"/>
                      <wp:wrapNone/>
                      <wp:docPr id="270" name="Frame27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71" name="Frame2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24460" cy="175260"/>
                      <wp:effectExtent l="0" t="0" r="0" b="0"/>
                      <wp:wrapNone/>
                      <wp:docPr id="272" name="Frame2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391160" cy="175260"/>
                      <wp:effectExtent l="0" t="0" r="0" b="0"/>
                      <wp:wrapNone/>
                      <wp:docPr id="273" name="Frame273"/>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281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Three Months Ended September 30, 2022</w:t>
            </w:r>
          </w:p>
        </w:tc>
        <w:tc>
          <w:tcPr>
            <w:tcW w:w="326" w:type="dxa"/>
            <w:tcBorders/>
            <w:vAlign w:val="center"/>
          </w:tcPr>
          <w:p>
            <w:pPr>
              <w:pStyle w:val="TableContents"/>
              <w:bidi w:val="0"/>
              <w:spacing w:before="0" w:after="0"/>
              <w:ind w:left="0" w:right="0" w:hanging="0"/>
              <w:jc w:val="left"/>
              <w:rPr/>
            </w:pPr>
            <w:r>
              <w:rPr/>
              <w:t>​</w:t>
            </w:r>
          </w:p>
        </w:tc>
        <w:tc>
          <w:tcPr>
            <w:tcW w:w="289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Nine Months Ended September 30, 2022</w:t>
            </w:r>
          </w:p>
        </w:tc>
      </w:tr>
      <w:tr>
        <w:trPr/>
        <w:tc>
          <w:tcPr>
            <w:tcW w:w="265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Weighted</w:t>
            </w:r>
          </w:p>
        </w:tc>
        <w:tc>
          <w:tcPr>
            <w:tcW w:w="32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Per</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Weighted</w:t>
            </w:r>
          </w:p>
        </w:tc>
        <w:tc>
          <w:tcPr>
            <w:tcW w:w="32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Per</w:t>
            </w:r>
          </w:p>
        </w:tc>
      </w:tr>
      <w:tr>
        <w:trPr/>
        <w:tc>
          <w:tcPr>
            <w:tcW w:w="265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Average</w:t>
            </w:r>
          </w:p>
        </w:tc>
        <w:tc>
          <w:tcPr>
            <w:tcW w:w="326" w:type="dxa"/>
            <w:tcBorders/>
            <w:vAlign w:val="center"/>
          </w:tcPr>
          <w:p>
            <w:pPr>
              <w:pStyle w:val="TableContents"/>
              <w:bidi w:val="0"/>
              <w:spacing w:before="0" w:after="0"/>
              <w:ind w:left="0" w:right="0" w:hanging="0"/>
              <w:jc w:val="left"/>
              <w:rPr/>
            </w:pPr>
            <w:r>
              <w:rPr/>
              <w:t>​</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Average</w:t>
            </w:r>
          </w:p>
        </w:tc>
        <w:tc>
          <w:tcPr>
            <w:tcW w:w="326" w:type="dxa"/>
            <w:tcBorders/>
            <w:vAlign w:val="center"/>
          </w:tcPr>
          <w:p>
            <w:pPr>
              <w:pStyle w:val="TableContents"/>
              <w:bidi w:val="0"/>
              <w:spacing w:before="0" w:after="0"/>
              <w:ind w:left="0" w:right="0" w:hanging="0"/>
              <w:jc w:val="left"/>
              <w:rPr/>
            </w:pPr>
            <w:r>
              <w:rPr/>
              <w:t>​</w:t>
            </w:r>
          </w:p>
        </w:tc>
        <w:tc>
          <w:tcPr>
            <w:tcW w:w="81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r>
      <w:tr>
        <w:trPr/>
        <w:tc>
          <w:tcPr>
            <w:tcW w:w="265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Net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26" w:type="dxa"/>
            <w:tcBorders/>
            <w:vAlign w:val="center"/>
          </w:tcPr>
          <w:p>
            <w:pPr>
              <w:pStyle w:val="TableContents"/>
              <w:bidi w:val="0"/>
              <w:spacing w:before="0" w:after="0"/>
              <w:ind w:left="0" w:right="0" w:hanging="0"/>
              <w:jc w:val="left"/>
              <w:rPr/>
            </w:pPr>
            <w:r>
              <w:rPr/>
              <w:t>​</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w:t>
            </w:r>
          </w:p>
        </w:tc>
        <w:tc>
          <w:tcPr>
            <w:tcW w:w="326" w:type="dxa"/>
            <w:tcBorders/>
            <w:vAlign w:val="center"/>
          </w:tcPr>
          <w:p>
            <w:pPr>
              <w:pStyle w:val="TableContents"/>
              <w:bidi w:val="0"/>
              <w:spacing w:before="0" w:after="0"/>
              <w:ind w:left="0" w:right="0" w:hanging="0"/>
              <w:jc w:val="left"/>
              <w:rPr/>
            </w:pPr>
            <w:r>
              <w:rPr/>
              <w:t>​</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Net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26" w:type="dxa"/>
            <w:tcBorders/>
            <w:vAlign w:val="center"/>
          </w:tcPr>
          <w:p>
            <w:pPr>
              <w:pStyle w:val="TableContents"/>
              <w:bidi w:val="0"/>
              <w:spacing w:before="0" w:after="0"/>
              <w:ind w:left="0" w:right="0" w:hanging="0"/>
              <w:jc w:val="left"/>
              <w:rPr/>
            </w:pPr>
            <w:r>
              <w:rPr/>
              <w:t>​</w:t>
            </w:r>
          </w:p>
        </w:tc>
        <w:tc>
          <w:tcPr>
            <w:tcW w:w="81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w:t>
            </w:r>
          </w:p>
        </w:tc>
      </w:tr>
      <w:tr>
        <w:trPr/>
        <w:tc>
          <w:tcPr>
            <w:tcW w:w="26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(In millions, except per share amounts)</w:t>
            </w:r>
          </w:p>
        </w:tc>
        <w:tc>
          <w:tcPr>
            <w:tcW w:w="266"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Income</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0"/>
              <w:ind w:left="0" w:right="0" w:hanging="0"/>
              <w:jc w:val="left"/>
              <w:rPr/>
            </w:pPr>
            <w:r>
              <w:rPr/>
              <w:t>​</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26"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Income</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0"/>
              <w:ind w:left="0" w:right="0" w:hanging="0"/>
              <w:jc w:val="left"/>
              <w:rPr/>
            </w:pPr>
            <w:r>
              <w:rPr/>
              <w:t>​</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266.0</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985.9</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24.83</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 of Dilutive Securities</w:t>
            </w:r>
          </w:p>
        </w:tc>
        <w:tc>
          <w:tcPr>
            <w:tcW w:w="26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(0.18)</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266.0</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985.9</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24.65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11.</w:t>
      </w:r>
      <w:r>
        <w:rPr>
          <w:rFonts w:ascii="Times New Roman;Times;serif" w:hAnsi="Times New Roman;Times;serif"/>
          <w:sz w:val="20"/>
        </w:rPr>
        <w:t>          </w:t>
      </w:r>
      <w:r>
        <w:rPr>
          <w:rFonts w:ascii="Times New Roman;Times;serif" w:hAnsi="Times New Roman;Times;serif"/>
          <w:b/>
          <w:sz w:val="20"/>
        </w:rPr>
        <w:t>SHARE-BASED COMPENSATION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granted time-based restricted stock units and performance-based shares to certain of its employees totaling approximately 1,100 and 267,100 shares with a weighted average grant date fair value of $76.50 and $65.89 per share during the three and nine months ended September 30, 2023, respectively.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share-based compensation cost recognized in the Condensed Consolidated Statements of Income and Comprehensive Income as a component of selling, general and administrative expenses was $7.8 million and $5.0 million for the three months ended September 30, 2023 and 2022, and $17.6 million and $15.5 million for the nine months ended September 30, 2023 and 2022, respectively. Total unrecognized compensation cost related to unvested share-based compensation arrangements was $30.2 million at September 30, 2023, and is expected to be recognized over a weighted average period of approximately 1.8 years. Total unrecognized compensation cost may be adjusted for any unearned performance shares or forfeited shares.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401" w:name="Tc_ksCKzfVINkGIUA-IU7hINg_10_11"/>
      <w:bookmarkStart w:id="1402" w:name="Tc_CTK2_X5RwEKZlFRE1v7RTg_10_8"/>
      <w:bookmarkStart w:id="1403" w:name="Tc_5fVwjN_Kg0K_33F9qHvR6g_10_5"/>
      <w:bookmarkStart w:id="1404" w:name="Tc_3w-ygppozkev0ANX0YF7Ag_10_2"/>
      <w:bookmarkStart w:id="1405" w:name="Tc_DjCI3KqyOE6UXh6hHTfEew_10_0"/>
      <w:bookmarkStart w:id="1406" w:name="Tc_bjwq6fXT2kOOVK4uO2CK9w_9_3"/>
      <w:bookmarkStart w:id="1407" w:name="Tc_0gZ3BnKV1ku4dTyoa-jzqg_9_0"/>
      <w:bookmarkStart w:id="1408" w:name="Tc_OebGUtvRfUCZ8QeOqkvGmg_8_0"/>
      <w:bookmarkStart w:id="1409" w:name="Tc_C-4VWq2J0UGkCD097JSmfg_7_12"/>
      <w:bookmarkStart w:id="1410" w:name="Tc_CTpId8wOC0utjxuRXO0zAw_7_9"/>
      <w:bookmarkStart w:id="1411" w:name="Tc_UuW9DmXzRE6fGCOfF2RpUQ_7_0"/>
      <w:bookmarkStart w:id="1412" w:name="Tc_-FCXcJOMbkShlzOSQvO70g_6_0"/>
      <w:bookmarkStart w:id="1413" w:name="Tc_7hMvt769l0ai41Dhvo8JWA_5_11"/>
      <w:bookmarkStart w:id="1414" w:name="Tc_oDwQuKCD0E-C_SYXOu1Cgw_5_8"/>
      <w:bookmarkStart w:id="1415" w:name="Tc_wFzuyMAvPUCH19Z2_9Z0oQ_5_5"/>
      <w:bookmarkStart w:id="1416" w:name="Tc_VALDh5sYbUOglcfxC3W8bQ_5_2"/>
      <w:bookmarkStart w:id="1417" w:name="Tc_xhqVAYbT8UWKzAnX_to_Bw_5_0"/>
      <w:bookmarkStart w:id="1418" w:name="Tc_KAOnueO6-Um1WgZs48qk8A_4_0"/>
      <w:bookmarkStart w:id="1419" w:name="Tc_THNQ9JHMZkm2nArA1v9pnA_3_11"/>
      <w:bookmarkStart w:id="1420" w:name="Tc_-C78DjX4VkGttFl90hnuWQ_3_8"/>
      <w:bookmarkStart w:id="1421" w:name="Tc_2soSLPCEn0eGdbJmxsSS-A_3_5"/>
      <w:bookmarkStart w:id="1422" w:name="Tc_qia2-Snc0k-JdkQb-pLTVA_3_2"/>
      <w:bookmarkStart w:id="1423" w:name="Tc_C5Yl4RmmSEGd-MOckDtR-Q_3_0"/>
      <w:bookmarkStart w:id="1424" w:name="Tc_g2B6A3sKyEixMUkEGhF6OQ_2_8"/>
      <w:bookmarkStart w:id="1425" w:name="Tc_CoMdtf0BikC7WtCGI1oU-Q_2_2"/>
      <w:bookmarkStart w:id="1426" w:name="Tc_G5MoI6J8S0KxT2AS6ZujGw_1_8"/>
      <w:bookmarkStart w:id="1427" w:name="Tc_57qZD16gNUKFMdtg-wyjWQ_1_2"/>
      <w:bookmarkStart w:id="1428" w:name="Tc_EsGCVGsWkUWUlRKE8L-BCQ_10_11"/>
      <w:bookmarkStart w:id="1429" w:name="Tc_RnGGgZ9RV0anVHDVCZzggg_10_8"/>
      <w:bookmarkStart w:id="1430" w:name="Tc_o4EcFzXPR0uMjj3QbzltaA_10_5"/>
      <w:bookmarkStart w:id="1431" w:name="Tc_eE8Qr1nWXkmLvricJoGjTg_10_2"/>
      <w:bookmarkStart w:id="1432" w:name="Tc_yi_R7ngNZESK5vsnzTC8qw_10_0"/>
      <w:bookmarkStart w:id="1433" w:name="Tc_5XdbsjdFIUiTGvk9_3CA7Q_9_3"/>
      <w:bookmarkStart w:id="1434" w:name="Tc_ZVW3KXIMCEKYJ2tY1W-xEw_9_0"/>
      <w:bookmarkStart w:id="1435" w:name="Tc_nUU85tii9k2kQgoCf0_SDw_8_0"/>
      <w:bookmarkStart w:id="1436" w:name="Tc_8dkpGW8-vk-TSqKZiqiIMw_7_12"/>
      <w:bookmarkStart w:id="1437" w:name="Tc_DReNbt15sES9N6pxsITMmA_7_9"/>
      <w:bookmarkStart w:id="1438" w:name="Tc_4mUb_C77H0S1DDfwraC0SQ_7_0"/>
      <w:bookmarkStart w:id="1439" w:name="Tc_x1OGzNBqiUeo0bSgPC9saw_6_0"/>
      <w:bookmarkStart w:id="1440" w:name="Tc_rpDCYJFTEUeGb7LGTWS5Pg_5_11"/>
      <w:bookmarkStart w:id="1441" w:name="Tc_njWw7LRZ10ui9oF8OvGxCA_5_8"/>
      <w:bookmarkStart w:id="1442" w:name="Tc_C-T6EiKAkEOLq3g8QLTrAw_5_5"/>
      <w:bookmarkStart w:id="1443" w:name="Tc_zBOIk_RpWk6NC3gWETvegA_5_2"/>
      <w:bookmarkStart w:id="1444" w:name="Tc_kB8g8a7k30SSG2w16eAGTw_5_0"/>
      <w:bookmarkStart w:id="1445" w:name="Tc_SR85hThOikas5UE7PVqrzg_4_0"/>
      <w:bookmarkStart w:id="1446" w:name="Tc_zpugoYb010eVR9RI7YJ3xQ_3_11"/>
      <w:bookmarkStart w:id="1447" w:name="Tc_2w7ngXIVcU-v8ZLfKmcnMg_3_8"/>
      <w:bookmarkStart w:id="1448" w:name="Tc_fj3GpcNkxkq6ACYXv-nCQg_3_5"/>
      <w:bookmarkStart w:id="1449" w:name="Tc_-x252LqUkkW5wzceAuUVnQ_3_2"/>
      <w:bookmarkStart w:id="1450" w:name="Tc_XtEYQxEJfUCwoQXVg3fm9Q_3_0"/>
      <w:bookmarkStart w:id="1451" w:name="Tc_52eKdGu0WU-UgvrdcK-y_Q_2_8"/>
      <w:bookmarkStart w:id="1452" w:name="Tc_0kzzHLlxZkebtT5X_hZ5rQ_2_2"/>
      <w:bookmarkStart w:id="1453" w:name="Tc_lCEaV_JSlEOjG-g-0taDdw_1_8"/>
      <w:bookmarkStart w:id="1454" w:name="Tc_ZVbF07WrfE2nrfn51-eI_w_1_2"/>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r>
        <w:rPr>
          <w:rFonts w:ascii="Times New Roman;Times;serif" w:hAnsi="Times New Roman;Times;serif"/>
          <w:b/>
          <w:sz w:val="20"/>
        </w:rPr>
        <w:t>12.</w:t>
      </w:r>
      <w:r>
        <w:rPr>
          <w:rFonts w:ascii="Times New Roman;Times;serif" w:hAnsi="Times New Roman;Times;serif"/>
          <w:sz w:val="20"/>
        </w:rPr>
        <w:t>          </w:t>
      </w:r>
      <w:r>
        <w:rPr>
          <w:rFonts w:ascii="Times New Roman;Times;serif" w:hAnsi="Times New Roman;Times;serif"/>
          <w:b/>
          <w:sz w:val="20"/>
        </w:rPr>
        <w:t>PENSION AND POST-RETIREMENT PLANS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pension and post-retirement plans are described in Note 11 to the Consolidated Financial Statements included in Part II, Item 8 of the Company’s Annual Report on Form 10-K for the year ended December 31, 2022. Components of net periodic benefit cost and other amounts recognized in Other Comprehensive Income (Loss) for the qualified pension plans and the post-retirement benefit plans for the three and nine months ended September 30, 2023 and 2022 consisted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057"/>
        <w:gridCol w:w="326"/>
        <w:gridCol w:w="335"/>
        <w:gridCol w:w="767"/>
        <w:gridCol w:w="519"/>
        <w:gridCol w:w="335"/>
        <w:gridCol w:w="767"/>
        <w:gridCol w:w="326"/>
        <w:gridCol w:w="355"/>
        <w:gridCol w:w="712"/>
        <w:gridCol w:w="552"/>
        <w:gridCol w:w="355"/>
        <w:gridCol w:w="799"/>
      </w:tblGrid>
      <w:tr>
        <w:trPr/>
        <w:tc>
          <w:tcPr>
            <w:tcW w:w="40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576195" cy="175260"/>
                      <wp:effectExtent l="0" t="0" r="0" b="0"/>
                      <wp:wrapNone/>
                      <wp:docPr id="274" name="Frame274"/>
                      <a:graphic xmlns:a="http://schemas.openxmlformats.org/drawingml/2006/main">
                        <a:graphicData uri="http://schemas.microsoft.com/office/word/2010/wordprocessingShape">
                          <wps:wsp>
                            <wps:cNvSpPr txBox="1"/>
                            <wps:spPr>
                              <a:xfrm>
                                <a:off x="0" y="0"/>
                                <a:ext cx="2576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2725" cy="175260"/>
                      <wp:effectExtent l="0" t="0" r="0" b="0"/>
                      <wp:wrapNone/>
                      <wp:docPr id="276" name="Frame276"/>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487045" cy="175260"/>
                      <wp:effectExtent l="0" t="0" r="0" b="0"/>
                      <wp:wrapNone/>
                      <wp:docPr id="277" name="Frame277"/>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329565" cy="175260"/>
                      <wp:effectExtent l="0" t="0" r="0" b="0"/>
                      <wp:wrapNone/>
                      <wp:docPr id="278" name="Frame278"/>
                      <a:graphic xmlns:a="http://schemas.openxmlformats.org/drawingml/2006/main">
                        <a:graphicData uri="http://schemas.microsoft.com/office/word/2010/wordprocessingShape">
                          <wps:wsp>
                            <wps:cNvSpPr txBox="1"/>
                            <wps:spPr>
                              <a:xfrm>
                                <a:off x="0" y="0"/>
                                <a:ext cx="329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2725" cy="175260"/>
                      <wp:effectExtent l="0" t="0" r="0" b="0"/>
                      <wp:wrapNone/>
                      <wp:docPr id="279" name="Frame279"/>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487045" cy="175260"/>
                      <wp:effectExtent l="0" t="0" r="0" b="0"/>
                      <wp:wrapNone/>
                      <wp:docPr id="280" name="Frame280"/>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1" name="Frame2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25425" cy="175260"/>
                      <wp:effectExtent l="0" t="0" r="0" b="0"/>
                      <wp:wrapNone/>
                      <wp:docPr id="282" name="Frame282"/>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452120" cy="175260"/>
                      <wp:effectExtent l="0" t="0" r="0" b="0"/>
                      <wp:wrapNone/>
                      <wp:docPr id="283" name="Frame283"/>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350520" cy="175260"/>
                      <wp:effectExtent l="0" t="0" r="0" b="0"/>
                      <wp:wrapNone/>
                      <wp:docPr id="284" name="Frame284"/>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25425" cy="175260"/>
                      <wp:effectExtent l="0" t="0" r="0" b="0"/>
                      <wp:wrapNone/>
                      <wp:docPr id="285" name="Frame285"/>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507365" cy="175260"/>
                      <wp:effectExtent l="0" t="0" r="0" b="0"/>
                      <wp:wrapNone/>
                      <wp:docPr id="286" name="Frame286"/>
                      <a:graphic xmlns:a="http://schemas.openxmlformats.org/drawingml/2006/main">
                        <a:graphicData uri="http://schemas.microsoft.com/office/word/2010/wordprocessingShape">
                          <wps:wsp>
                            <wps:cNvSpPr txBox="1"/>
                            <wps:spPr>
                              <a:xfrm>
                                <a:off x="0" y="0"/>
                                <a:ext cx="507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2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326" w:type="dxa"/>
            <w:tcBorders/>
            <w:vAlign w:val="center"/>
          </w:tcPr>
          <w:p>
            <w:pPr>
              <w:pStyle w:val="TableContents"/>
              <w:bidi w:val="0"/>
              <w:spacing w:before="0" w:after="0"/>
              <w:ind w:left="0" w:right="0" w:hanging="0"/>
              <w:jc w:val="left"/>
              <w:rPr/>
            </w:pPr>
            <w:r>
              <w:rPr/>
              <w:t>​</w:t>
            </w:r>
          </w:p>
        </w:tc>
        <w:tc>
          <w:tcPr>
            <w:tcW w:w="277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r>
      <w:tr>
        <w:trPr/>
        <w:tc>
          <w:tcPr>
            <w:tcW w:w="40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left"/>
              <w:rPr/>
            </w:pPr>
            <w:r>
              <w:rPr/>
              <w:t>​</w:t>
            </w:r>
          </w:p>
        </w:tc>
        <w:tc>
          <w:tcPr>
            <w:tcW w:w="277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r>
      <w:tr>
        <w:trPr/>
        <w:tc>
          <w:tcPr>
            <w:tcW w:w="405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11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19" w:type="dxa"/>
            <w:tcBorders/>
            <w:vAlign w:val="center"/>
          </w:tcPr>
          <w:p>
            <w:pPr>
              <w:pStyle w:val="TableContents"/>
              <w:bidi w:val="0"/>
              <w:spacing w:before="0" w:after="0"/>
              <w:ind w:left="0" w:right="0" w:hanging="0"/>
              <w:jc w:val="left"/>
              <w:rPr/>
            </w:pPr>
            <w:r>
              <w:rPr/>
              <w:t>    </w:t>
            </w:r>
          </w:p>
        </w:tc>
        <w:tc>
          <w:tcPr>
            <w:tcW w:w="11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52" w:type="dxa"/>
            <w:tcBorders/>
            <w:vAlign w:val="center"/>
          </w:tcPr>
          <w:p>
            <w:pPr>
              <w:pStyle w:val="TableContents"/>
              <w:bidi w:val="0"/>
              <w:spacing w:before="0" w:after="0"/>
              <w:ind w:left="0" w:right="0" w:hanging="0"/>
              <w:jc w:val="left"/>
              <w:rPr/>
            </w:pPr>
            <w:r>
              <w:rPr/>
              <w:t>    </w:t>
            </w:r>
          </w:p>
        </w:tc>
        <w:tc>
          <w:tcPr>
            <w:tcW w:w="11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0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Components of net periodic benefit cost (credit):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center"/>
              <w:rPr/>
            </w:pPr>
            <w:r>
              <w:rPr/>
              <w:t>​</w:t>
            </w:r>
          </w:p>
        </w:tc>
        <w:tc>
          <w:tcPr>
            <w:tcW w:w="767" w:type="dxa"/>
            <w:tcBorders/>
            <w:shd w:fill="CCEEFF" w:val="clear"/>
            <w:vAlign w:val="center"/>
          </w:tcPr>
          <w:p>
            <w:pPr>
              <w:pStyle w:val="TableContents"/>
              <w:bidi w:val="0"/>
              <w:spacing w:before="0" w:after="0"/>
              <w:ind w:left="0" w:right="0" w:hanging="0"/>
              <w:jc w:val="center"/>
              <w:rPr/>
            </w:pPr>
            <w:r>
              <w:rPr/>
              <w:t>​</w:t>
            </w:r>
          </w:p>
        </w:tc>
        <w:tc>
          <w:tcPr>
            <w:tcW w:w="519"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center"/>
              <w:rPr/>
            </w:pPr>
            <w:r>
              <w:rPr/>
              <w:t>​</w:t>
            </w:r>
          </w:p>
        </w:tc>
        <w:tc>
          <w:tcPr>
            <w:tcW w:w="767"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center"/>
              <w:rPr/>
            </w:pPr>
            <w:r>
              <w:rPr/>
              <w:t>​</w:t>
            </w:r>
          </w:p>
        </w:tc>
        <w:tc>
          <w:tcPr>
            <w:tcW w:w="712" w:type="dxa"/>
            <w:tcBorders/>
            <w:shd w:fill="CCEEFF" w:val="clear"/>
            <w:vAlign w:val="center"/>
          </w:tcPr>
          <w:p>
            <w:pPr>
              <w:pStyle w:val="TableContents"/>
              <w:bidi w:val="0"/>
              <w:spacing w:before="0" w:after="0"/>
              <w:ind w:left="0" w:right="0" w:hanging="0"/>
              <w:jc w:val="center"/>
              <w:rPr/>
            </w:pPr>
            <w:r>
              <w:rPr/>
              <w:t>​</w:t>
            </w:r>
          </w:p>
        </w:tc>
        <w:tc>
          <w:tcPr>
            <w:tcW w:w="552"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center"/>
              <w:rPr/>
            </w:pPr>
            <w:r>
              <w:rPr/>
              <w:t>​</w:t>
            </w:r>
          </w:p>
        </w:tc>
        <w:tc>
          <w:tcPr>
            <w:tcW w:w="799" w:type="dxa"/>
            <w:tcBorders/>
            <w:shd w:fill="CCEEFF" w:val="clear"/>
            <w:vAlign w:val="center"/>
          </w:tcPr>
          <w:p>
            <w:pPr>
              <w:pStyle w:val="TableContents"/>
              <w:bidi w:val="0"/>
              <w:spacing w:before="0" w:after="0"/>
              <w:ind w:left="0" w:right="0" w:hanging="0"/>
              <w:jc w:val="center"/>
              <w:rPr/>
            </w:pPr>
            <w:r>
              <w:rPr/>
              <w:t>​</w:t>
            </w:r>
          </w:p>
        </w:tc>
      </w:tr>
      <w:tr>
        <w:trPr/>
        <w:tc>
          <w:tcPr>
            <w:tcW w:w="40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519"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552"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40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cost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519"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pPr>
            <w:r>
              <w:rPr/>
              <w:t> </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552"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pPr>
            <w:r>
              <w:rPr/>
              <w:t> </w:t>
            </w:r>
          </w:p>
        </w:tc>
        <w:tc>
          <w:tcPr>
            <w:tcW w:w="7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40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return on plan assets</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519"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pPr>
            <w:r>
              <w:rPr/>
              <w:t>—</w:t>
            </w:r>
          </w:p>
        </w:tc>
        <w:tc>
          <w:tcPr>
            <w:tcW w:w="552"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 </w:t>
            </w:r>
          </w:p>
        </w:tc>
        <w:tc>
          <w:tcPr>
            <w:tcW w:w="799" w:type="dxa"/>
            <w:tcBorders/>
            <w:vAlign w:val="center"/>
          </w:tcPr>
          <w:p>
            <w:pPr>
              <w:pStyle w:val="TableContents"/>
              <w:bidi w:val="0"/>
              <w:spacing w:before="0" w:after="0"/>
              <w:ind w:left="0" w:right="0" w:hanging="0"/>
              <w:jc w:val="right"/>
              <w:rPr/>
            </w:pPr>
            <w:r>
              <w:rPr/>
              <w:t>—</w:t>
            </w:r>
          </w:p>
        </w:tc>
      </w:tr>
      <w:tr>
        <w:trPr/>
        <w:tc>
          <w:tcPr>
            <w:tcW w:w="40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loss (gain)</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519"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pPr>
            <w:r>
              <w:rPr/>
              <w:t> </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552"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pPr>
            <w:r>
              <w:rPr/>
              <w:t> </w:t>
            </w:r>
          </w:p>
        </w:tc>
        <w:tc>
          <w:tcPr>
            <w:tcW w:w="7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40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prior service credit</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19"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vAlign w:val="center"/>
          </w:tcPr>
          <w:p>
            <w:pPr>
              <w:pStyle w:val="TableContents"/>
              <w:bidi w:val="0"/>
              <w:spacing w:before="0" w:after="0"/>
              <w:ind w:left="0" w:right="0" w:hanging="0"/>
              <w:jc w:val="left"/>
              <w:rPr/>
            </w:pPr>
            <w:r>
              <w:rPr/>
              <w:t>​</w:t>
            </w:r>
          </w:p>
        </w:tc>
        <w:tc>
          <w:tcPr>
            <w:tcW w:w="3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552" w:type="dxa"/>
            <w:tcBorders/>
            <w:vAlign w:val="center"/>
          </w:tcPr>
          <w:p>
            <w:pPr>
              <w:pStyle w:val="TableContents"/>
              <w:bidi w:val="0"/>
              <w:spacing w:before="0" w:after="0"/>
              <w:ind w:left="0" w:right="0" w:hanging="0"/>
              <w:jc w:val="left"/>
              <w:rPr/>
            </w:pPr>
            <w:r>
              <w:rPr/>
              <w:t>​</w:t>
            </w:r>
          </w:p>
        </w:tc>
        <w:tc>
          <w:tcPr>
            <w:tcW w:w="3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0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periodic benefit cost (credit)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519"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0"/>
              <w:ind w:left="0" w:right="0" w:hanging="0"/>
              <w:jc w:val="left"/>
              <w:rPr/>
            </w:pPr>
            <w:r>
              <w:rPr/>
              <w:t>​</w:t>
            </w:r>
          </w:p>
        </w:tc>
        <w:tc>
          <w:tcPr>
            <w:tcW w:w="3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552" w:type="dxa"/>
            <w:tcBorders/>
            <w:shd w:fill="CCEEFF" w:val="clear"/>
            <w:vAlign w:val="center"/>
          </w:tcPr>
          <w:p>
            <w:pPr>
              <w:pStyle w:val="TableContents"/>
              <w:bidi w:val="0"/>
              <w:spacing w:before="0" w:after="0"/>
              <w:ind w:left="0" w:right="0" w:hanging="0"/>
              <w:jc w:val="left"/>
              <w:rPr/>
            </w:pPr>
            <w:r>
              <w:rPr/>
              <w:t>​</w:t>
            </w:r>
          </w:p>
        </w:tc>
        <w:tc>
          <w:tcPr>
            <w:tcW w:w="3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bl>
    <w:p>
      <w:pPr>
        <w:pStyle w:val="TextBody"/>
        <w:bidi w:val="0"/>
        <w:spacing w:before="0" w:after="0"/>
        <w:ind w:left="0" w:right="0" w:hanging="0"/>
        <w:jc w:val="left"/>
        <w:rPr/>
      </w:pPr>
      <w:r>
        <w:rPr/>
        <w:t>​</w:t>
      </w:r>
    </w:p>
    <w:tbl>
      <w:tblPr>
        <w:tblW w:w="10042" w:type="dxa"/>
        <w:jc w:val="left"/>
        <w:tblInd w:w="0" w:type="dxa"/>
        <w:tblLayout w:type="fixed"/>
        <w:tblCellMar>
          <w:top w:w="0" w:type="dxa"/>
          <w:left w:w="0" w:type="dxa"/>
          <w:bottom w:w="0" w:type="dxa"/>
          <w:right w:w="0" w:type="dxa"/>
        </w:tblCellMar>
      </w:tblPr>
      <w:tblGrid>
        <w:gridCol w:w="4066"/>
        <w:gridCol w:w="326"/>
        <w:gridCol w:w="290"/>
        <w:gridCol w:w="806"/>
        <w:gridCol w:w="448"/>
        <w:gridCol w:w="290"/>
        <w:gridCol w:w="806"/>
        <w:gridCol w:w="326"/>
        <w:gridCol w:w="345"/>
        <w:gridCol w:w="690"/>
        <w:gridCol w:w="535"/>
        <w:gridCol w:w="345"/>
        <w:gridCol w:w="769"/>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581910" cy="175260"/>
                      <wp:effectExtent l="0" t="0" r="0" b="0"/>
                      <wp:wrapNone/>
                      <wp:docPr id="287" name="Frame287"/>
                      <a:graphic xmlns:a="http://schemas.openxmlformats.org/drawingml/2006/main">
                        <a:graphicData uri="http://schemas.microsoft.com/office/word/2010/wordprocessingShape">
                          <wps:wsp>
                            <wps:cNvSpPr txBox="1"/>
                            <wps:spPr>
                              <a:xfrm>
                                <a:off x="0" y="0"/>
                                <a:ext cx="2581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7010" cy="175260"/>
                      <wp:effectExtent l="0" t="0" r="0" b="0"/>
                      <wp:wrapNone/>
                      <wp:docPr id="288" name="Frame2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84150" cy="175260"/>
                      <wp:effectExtent l="0" t="0" r="0" b="0"/>
                      <wp:wrapNone/>
                      <wp:docPr id="289" name="Frame289"/>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511810" cy="175260"/>
                      <wp:effectExtent l="0" t="0" r="0" b="0"/>
                      <wp:wrapNone/>
                      <wp:docPr id="290" name="Frame290"/>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84480" cy="175260"/>
                      <wp:effectExtent l="0" t="0" r="0" b="0"/>
                      <wp:wrapNone/>
                      <wp:docPr id="291" name="Frame291"/>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84150" cy="175260"/>
                      <wp:effectExtent l="0" t="0" r="0" b="0"/>
                      <wp:wrapNone/>
                      <wp:docPr id="292" name="Frame292"/>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511810" cy="175260"/>
                      <wp:effectExtent l="0" t="0" r="0" b="0"/>
                      <wp:wrapNone/>
                      <wp:docPr id="293" name="Frame293"/>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94" name="Frame2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075" cy="175260"/>
                      <wp:effectExtent l="0" t="0" r="0" b="0"/>
                      <wp:wrapNone/>
                      <wp:docPr id="295" name="Frame295"/>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438150" cy="175260"/>
                      <wp:effectExtent l="0" t="0" r="0" b="0"/>
                      <wp:wrapNone/>
                      <wp:docPr id="296" name="Frame296"/>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39725" cy="175260"/>
                      <wp:effectExtent l="0" t="0" r="0" b="0"/>
                      <wp:wrapNone/>
                      <wp:docPr id="297" name="Frame297"/>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9075" cy="175260"/>
                      <wp:effectExtent l="0" t="0" r="0" b="0"/>
                      <wp:wrapNone/>
                      <wp:docPr id="298" name="Frame298"/>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88315" cy="175260"/>
                      <wp:effectExtent l="0" t="0" r="0" b="0"/>
                      <wp:wrapNone/>
                      <wp:docPr id="299" name="Frame299"/>
                      <a:graphic xmlns:a="http://schemas.openxmlformats.org/drawingml/2006/main">
                        <a:graphicData uri="http://schemas.microsoft.com/office/word/2010/wordprocessingShape">
                          <wps:wsp>
                            <wps:cNvSpPr txBox="1"/>
                            <wps:spPr>
                              <a:xfrm>
                                <a:off x="0" y="0"/>
                                <a:ext cx="488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326" w:type="dxa"/>
            <w:tcBorders/>
            <w:vAlign w:val="center"/>
          </w:tcPr>
          <w:p>
            <w:pPr>
              <w:pStyle w:val="TableContents"/>
              <w:bidi w:val="0"/>
              <w:spacing w:before="0" w:after="0"/>
              <w:ind w:left="0" w:right="0" w:hanging="0"/>
              <w:jc w:val="left"/>
              <w:rPr/>
            </w:pPr>
            <w:r>
              <w:rPr/>
              <w:t>​</w:t>
            </w:r>
          </w:p>
        </w:tc>
        <w:tc>
          <w:tcPr>
            <w:tcW w:w="268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r>
      <w:tr>
        <w:trPr/>
        <w:tc>
          <w:tcPr>
            <w:tcW w:w="4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26" w:type="dxa"/>
            <w:tcBorders/>
            <w:vAlign w:val="center"/>
          </w:tcPr>
          <w:p>
            <w:pPr>
              <w:pStyle w:val="TableContents"/>
              <w:bidi w:val="0"/>
              <w:spacing w:before="0" w:after="0"/>
              <w:ind w:left="0" w:right="0" w:hanging="0"/>
              <w:jc w:val="left"/>
              <w:rPr/>
            </w:pPr>
            <w:r>
              <w:rPr/>
              <w:t>​</w:t>
            </w:r>
          </w:p>
        </w:tc>
        <w:tc>
          <w:tcPr>
            <w:tcW w:w="26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40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48" w:type="dxa"/>
            <w:tcBorders/>
            <w:vAlign w:val="center"/>
          </w:tcPr>
          <w:p>
            <w:pPr>
              <w:pStyle w:val="TableContents"/>
              <w:bidi w:val="0"/>
              <w:spacing w:before="0" w:after="0"/>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35" w:type="dxa"/>
            <w:tcBorders/>
            <w:vAlign w:val="center"/>
          </w:tcPr>
          <w:p>
            <w:pPr>
              <w:pStyle w:val="TableContents"/>
              <w:bidi w:val="0"/>
              <w:spacing w:before="0" w:after="0"/>
              <w:ind w:left="0" w:right="0" w:hanging="0"/>
              <w:jc w:val="left"/>
              <w:rPr/>
            </w:pPr>
            <w:r>
              <w:rPr/>
              <w:t>    </w:t>
            </w:r>
          </w:p>
        </w:tc>
        <w:tc>
          <w:tcPr>
            <w:tcW w:w="11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Components of net periodic benefit cost (credit):</w:t>
            </w:r>
          </w:p>
        </w:tc>
        <w:tc>
          <w:tcPr>
            <w:tcW w:w="32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center"/>
              <w:rPr/>
            </w:pPr>
            <w:r>
              <w:rPr/>
              <w:t>​</w:t>
            </w:r>
          </w:p>
        </w:tc>
        <w:tc>
          <w:tcPr>
            <w:tcW w:w="806" w:type="dxa"/>
            <w:tcBorders/>
            <w:shd w:fill="CCEEFF" w:val="clear"/>
            <w:vAlign w:val="center"/>
          </w:tcPr>
          <w:p>
            <w:pPr>
              <w:pStyle w:val="TableContents"/>
              <w:bidi w:val="0"/>
              <w:spacing w:before="0" w:after="0"/>
              <w:ind w:left="0" w:right="0" w:hanging="0"/>
              <w:jc w:val="center"/>
              <w:rPr/>
            </w:pPr>
            <w:r>
              <w:rPr/>
              <w:t>​</w:t>
            </w:r>
          </w:p>
        </w:tc>
        <w:tc>
          <w:tcPr>
            <w:tcW w:w="448"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center"/>
              <w:rPr/>
            </w:pPr>
            <w:r>
              <w:rPr/>
              <w:t>​</w:t>
            </w:r>
          </w:p>
        </w:tc>
        <w:tc>
          <w:tcPr>
            <w:tcW w:w="80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center"/>
              <w:rPr/>
            </w:pPr>
            <w:r>
              <w:rPr/>
              <w:t>​</w:t>
            </w:r>
          </w:p>
        </w:tc>
        <w:tc>
          <w:tcPr>
            <w:tcW w:w="690" w:type="dxa"/>
            <w:tcBorders/>
            <w:shd w:fill="CCEEFF" w:val="clear"/>
            <w:vAlign w:val="center"/>
          </w:tcPr>
          <w:p>
            <w:pPr>
              <w:pStyle w:val="TableContents"/>
              <w:bidi w:val="0"/>
              <w:spacing w:before="0" w:after="0"/>
              <w:ind w:left="0" w:right="0" w:hanging="0"/>
              <w:jc w:val="center"/>
              <w:rPr/>
            </w:pPr>
            <w:r>
              <w:rPr/>
              <w:t>​</w:t>
            </w:r>
          </w:p>
        </w:tc>
        <w:tc>
          <w:tcPr>
            <w:tcW w:w="535"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center"/>
              <w:rPr/>
            </w:pPr>
            <w:r>
              <w:rPr/>
              <w:t>​</w:t>
            </w:r>
          </w:p>
        </w:tc>
        <w:tc>
          <w:tcPr>
            <w:tcW w:w="769" w:type="dxa"/>
            <w:tcBorders/>
            <w:shd w:fill="CCEEFF" w:val="clear"/>
            <w:vAlign w:val="center"/>
          </w:tcPr>
          <w:p>
            <w:pPr>
              <w:pStyle w:val="TableContents"/>
              <w:bidi w:val="0"/>
              <w:spacing w:before="0" w:after="0"/>
              <w:ind w:left="0" w:right="0" w:hanging="0"/>
              <w:jc w:val="center"/>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32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448"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535"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cost</w:t>
            </w:r>
          </w:p>
        </w:tc>
        <w:tc>
          <w:tcPr>
            <w:tcW w:w="32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448"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535"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return on plan assets</w:t>
            </w:r>
          </w:p>
        </w:tc>
        <w:tc>
          <w:tcPr>
            <w:tcW w:w="32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448"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loss (gain)</w:t>
            </w:r>
          </w:p>
        </w:tc>
        <w:tc>
          <w:tcPr>
            <w:tcW w:w="32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448"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535"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prior service credit</w:t>
            </w:r>
          </w:p>
        </w:tc>
        <w:tc>
          <w:tcPr>
            <w:tcW w:w="326" w:type="dxa"/>
            <w:tcBorders/>
            <w:vAlign w:val="center"/>
          </w:tcPr>
          <w:p>
            <w:pPr>
              <w:pStyle w:val="TableContents"/>
              <w:bidi w:val="0"/>
              <w:spacing w:before="0" w:after="0"/>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48" w:type="dxa"/>
            <w:tcBorders/>
            <w:vAlign w:val="center"/>
          </w:tcPr>
          <w:p>
            <w:pPr>
              <w:pStyle w:val="TableContents"/>
              <w:bidi w:val="0"/>
              <w:spacing w:before="0" w:after="0"/>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2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535"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periodic benefit cost (credit)</w:t>
            </w:r>
          </w:p>
        </w:tc>
        <w:tc>
          <w:tcPr>
            <w:tcW w:w="326" w:type="dxa"/>
            <w:tcBorders/>
            <w:shd w:fill="CCEEFF" w:val="clear"/>
            <w:vAlign w:val="center"/>
          </w:tcPr>
          <w:p>
            <w:pPr>
              <w:pStyle w:val="TableContents"/>
              <w:bidi w:val="0"/>
              <w:spacing w:before="0" w:after="0"/>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448" w:type="dxa"/>
            <w:tcBorders/>
            <w:shd w:fill="CCEEFF" w:val="clear"/>
            <w:vAlign w:val="center"/>
          </w:tcPr>
          <w:p>
            <w:pPr>
              <w:pStyle w:val="TableContents"/>
              <w:bidi w:val="0"/>
              <w:spacing w:before="0" w:after="0"/>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535"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13.</w:t>
      </w:r>
      <w:r>
        <w:rPr>
          <w:rFonts w:ascii="Times New Roman;Times;serif" w:hAnsi="Times New Roman;Times;serif"/>
          <w:sz w:val="20"/>
        </w:rPr>
        <w:t>          </w:t>
      </w:r>
      <w:r>
        <w:rPr>
          <w:rFonts w:ascii="Times New Roman;Times;serif" w:hAnsi="Times New Roman;Times;serif"/>
          <w:b/>
          <w:sz w:val="20"/>
        </w:rPr>
        <w:t>COMMITMENTS AND CONTINGENCIES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Environmental Matters:</w:t>
      </w:r>
      <w:r>
        <w:rPr>
          <w:rFonts w:ascii="Times New Roman;Times;serif" w:hAnsi="Times New Roman;Times;serif"/>
          <w:sz w:val="20"/>
        </w:rPr>
        <w:t xml:space="preserve"> The Company’s Ocean Transportation business has certain risks that could result in expenditures for environmental remediation. The Company believes that based on all information available to it, the Company is currently in compliance, in all material respects, with applicable environmental laws and regulations.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Other Matters:</w:t>
      </w:r>
      <w:r>
        <w:rPr>
          <w:rFonts w:ascii="Times New Roman;Times;serif" w:hAnsi="Times New Roman;Times;serif"/>
          <w:sz w:val="20"/>
        </w:rPr>
        <w:t xml:space="preserve"> 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455" w:name="ITEM_2_MDA"/>
      <w:bookmarkStart w:id="1456" w:name="_4e3e3fdc_442a_4aae_8e27_90ebffa6d7d8"/>
      <w:bookmarkEnd w:id="1455"/>
      <w:bookmarkEnd w:id="1456"/>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discussion and analysis should be read in conjunction with the Condensed Consolidated Financial Statements and related notes, and other financial information appearing elsewhere in this Quarterly Report on Form 10-Q.</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Except for historical information, the statements made in this Quarterly Report on Form 10-Q are forward-looking statements made pursuant to the safe-harbor provisions of the Private Security Litigation Reform Act of 1995. Such forward-looking statements may be contained in, among other things, SEC filings, such as reports on Forms 10-K, 10-Q and 8-K, the Annual Report to Shareholders, press releases made by the Company, the Company’s Internet Websites (including Websites of its subsidiaries), and oral statements made by officers of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report, and other statements that the Company may make, may contain forward-looking statements with respect to the Company’s future financial, business or environmental, social and governance performance, strategies or expectations. Forward-looking statements are typically identified by words or phrases such as “trend,” “potential,” “opportunity,” “pipeline,” “believe,” “comfortable,” “expect,” “anticipate,” “current,” “intention,” “estimate,” “position,” “assume,” “outlook,” “continue,” “remain,” “maintain,” “sustain,” “seek,” “achieve,” “design,” “goal,” “plan,” or similar expressions, or future or conditional verbs such as “will,” “would,” “should,” “could,” “may” or similar expressions.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cautions that forward-looking statements are subject to numerous assumptions, risks and uncertainties, which change over time, including, but not limited to, the risk factors that are described in Part I, Item 1A, “Risk Factors” of Matson’s Annual Report on Form 10-K for the year ended December 31, 2022. Forward-looking statements speak only as of the date they are made, and the Company assumes no duty to and does not undertake any obligation to update forward-looking statements. Actual results could differ materially from those anticipated in forward-looking statements and future results could differ materially from historical performance.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0"/>
        </w:rPr>
        <w:t xml:space="preserve">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Condensed Consolidated Financial Statements from period to period, the primary factors that accounted for those changes, and how certain accounting principles, policies and estimates affect the Company’s Condensed Consolidated Financial Statements. MD&amp;A is provided as a supplement to the Condensed Consolidated Financial Statements and notes herein, and should be read in conjunction with the Company’s </w:t>
      </w:r>
      <w:hyperlink r:id="rId2">
        <w:r>
          <w:rPr>
            <w:rStyle w:val="InternetLink"/>
            <w:rFonts w:ascii="Times New Roman;Times;serif" w:hAnsi="Times New Roman;Times;serif"/>
            <w:b w:val="false"/>
            <w:i w:val="false"/>
            <w:caps w:val="false"/>
            <w:smallCaps w:val="false"/>
            <w:sz w:val="20"/>
          </w:rPr>
          <w:t>Annual Report on Form 10-K for the year ended December 31, 2022</w:t>
        </w:r>
      </w:hyperlink>
      <w:r>
        <w:rPr>
          <w:rFonts w:ascii="Times New Roman;Times;serif" w:hAnsi="Times New Roman;Times;serif"/>
          <w:sz w:val="20"/>
        </w:rPr>
        <w:t>, the Company’s reports on Forms 10-Q and 8-K, and other publicly available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THIRD QUARTER 2023 DISCUSSION AND UPDATE ON BUSINESS CONDITIONS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Ocean Transportation:</w:t>
      </w:r>
      <w:r>
        <w:rPr>
          <w:rFonts w:ascii="Times New Roman;Times;serif" w:hAnsi="Times New Roman;Times;serif"/>
          <w:sz w:val="20"/>
        </w:rPr>
        <w:t xml:space="preserve"> The Company’s container volume in the Hawaii service in the third quarter 2023 was 1.9 percent lower year-over-year. The decrease was primarily due to lower general demand. In August, Maui experienced a significant economic disruption from devastating wildfires. According to UHERO’s most recent economic report, tourism to the island may not fully recover in the next several years, and the rebuilding of homes and businesses may take many years. In the near-term, Matson expects economic growth in Hawaii to moderate as tourism and visitor arrivals slowly rebound from the effects of the Maui wildfires.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China, the Company’s container volume in the third quarter 2023 decreased 1.3 percent year-over-year. The decrease was primarily due to CCX volume in the third quarter 2022 (the CCX service was discontinued in the third quarter 2022) partially offset by higher volume in the CLX+ service. Matson continued to realize a significant rate premium over the Shanghai Containerized Freight Index (“SCFI”) in the third quarter 2023 but achieved average freight rates that were lower than in the year ago period. Currently in the Transpacific marketplace, the Company continues to see a reduction of deployed capacity in light of lower volumes as a result of lower consumer demand for retail goods. Absent 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economic ‘hard landing’ in the U.S., the Company expects trade dynamics in 2024 to be comparable to 2023 as consumer-related spending activity is expected to remain stable. Regardless of the economic backdrop, Matson expects to continue to earn a significant rate premium to the SCFI reflecting its fast and reliable ocean services and unmatched destination services.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Guam, the Company’s container volume in the third quarter 2023 decreased 1.9 percent year-over-year primarily due to lower general demand. In the near-term, the Company expects continued improvement in the Guam economy with a low unemployment rate and a modest increase in tourism from low levels.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Alaska, the Company’s container volume for the third quarter 2023 decreased 9.1 percent year-over-year due to (i) lower export seafood volume from the Alaska-Asia Express service (“AAX”), (ii) lower northbound volume due to lower retail-related demand and (iii) lower southbound volume due to lower domestic seafood volume. In the near-term, the Company expects the Alaska economy to continue to benefit from low unemployment and increased energy-related exploration and production activity as a result of elevated oil prices.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contribution in the third quarter 2023 from the Company’s SSAT joint venture investment was $1.3 million, or $22.1 million lower than the third quarter 2022. The decrease was primarily driven by lower demurrage revenue and lower lift volume.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Logistics:</w:t>
      </w:r>
      <w:r>
        <w:rPr>
          <w:rFonts w:ascii="Times New Roman;Times;serif" w:hAnsi="Times New Roman;Times;serif"/>
          <w:sz w:val="20"/>
        </w:rPr>
        <w:t xml:space="preserve"> In the third quarter 2023, operating income for the Company’s Logistics segment was $13.9 million, or $6.2 million lower compared to the level achieved in the third quarter 2022. The decrease was primarily due to a lower contribution from transportation brokerage.</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Consolidated Results – Three months ended September 30, 2023 compared with 2022:</w:t>
      </w:r>
    </w:p>
    <w:p>
      <w:pPr>
        <w:pStyle w:val="TextBody"/>
        <w:bidi w:val="0"/>
        <w:spacing w:before="0" w:after="0"/>
        <w:ind w:left="0" w:right="0" w:hanging="0"/>
        <w:jc w:val="left"/>
        <w:rPr/>
      </w:pPr>
      <w:r>
        <w:rPr/>
        <w:t>​</w:t>
      </w:r>
    </w:p>
    <w:tbl>
      <w:tblPr>
        <w:tblW w:w="8453" w:type="dxa"/>
        <w:jc w:val="left"/>
        <w:tblInd w:w="0" w:type="dxa"/>
        <w:tblLayout w:type="fixed"/>
        <w:tblCellMar>
          <w:top w:w="0" w:type="dxa"/>
          <w:left w:w="0" w:type="dxa"/>
          <w:bottom w:w="0" w:type="dxa"/>
          <w:right w:w="0" w:type="dxa"/>
        </w:tblCellMar>
      </w:tblPr>
      <w:tblGrid>
        <w:gridCol w:w="3481"/>
        <w:gridCol w:w="326"/>
        <w:gridCol w:w="211"/>
        <w:gridCol w:w="691"/>
        <w:gridCol w:w="326"/>
        <w:gridCol w:w="211"/>
        <w:gridCol w:w="721"/>
        <w:gridCol w:w="326"/>
        <w:gridCol w:w="211"/>
        <w:gridCol w:w="691"/>
        <w:gridCol w:w="326"/>
        <w:gridCol w:w="616"/>
        <w:gridCol w:w="316"/>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210435" cy="175260"/>
                      <wp:effectExtent l="0" t="0" r="0" b="0"/>
                      <wp:wrapNone/>
                      <wp:docPr id="300" name="Frame300"/>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7010" cy="175260"/>
                      <wp:effectExtent l="0" t="0" r="0" b="0"/>
                      <wp:wrapNone/>
                      <wp:docPr id="301" name="Frame3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33985" cy="175260"/>
                      <wp:effectExtent l="0" t="0" r="0" b="0"/>
                      <wp:wrapNone/>
                      <wp:docPr id="302" name="Frame3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438785" cy="175260"/>
                      <wp:effectExtent l="0" t="0" r="0" b="0"/>
                      <wp:wrapNone/>
                      <wp:docPr id="303" name="Frame30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3985" cy="175260"/>
                      <wp:effectExtent l="0" t="0" r="0" b="0"/>
                      <wp:wrapNone/>
                      <wp:docPr id="305" name="Frame3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457835" cy="175260"/>
                      <wp:effectExtent l="0" t="0" r="0" b="0"/>
                      <wp:wrapNone/>
                      <wp:docPr id="306" name="Frame30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7010" cy="175260"/>
                      <wp:effectExtent l="0" t="0" r="0" b="0"/>
                      <wp:wrapNone/>
                      <wp:docPr id="307" name="Frame3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3985" cy="175260"/>
                      <wp:effectExtent l="0" t="0" r="0" b="0"/>
                      <wp:wrapNone/>
                      <wp:docPr id="308"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38785" cy="175260"/>
                      <wp:effectExtent l="0" t="0" r="0" b="0"/>
                      <wp:wrapNone/>
                      <wp:docPr id="309" name="Frame30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10" name="Frame3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391160" cy="175260"/>
                      <wp:effectExtent l="0" t="0" r="0" b="0"/>
                      <wp:wrapNone/>
                      <wp:docPr id="311" name="Frame311"/>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00660" cy="175260"/>
                      <wp:effectExtent l="0" t="0" r="0" b="0"/>
                      <wp:wrapNone/>
                      <wp:docPr id="312" name="Frame31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33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16" w:type="dxa"/>
            <w:tcBorders/>
            <w:vAlign w:val="center"/>
          </w:tcPr>
          <w:p>
            <w:pPr>
              <w:pStyle w:val="TableContents"/>
              <w:bidi w:val="0"/>
              <w:spacing w:before="0" w:after="0"/>
              <w:ind w:left="0" w:right="0" w:hanging="0"/>
              <w:jc w:val="left"/>
              <w:rPr/>
            </w:pPr>
            <w:r>
              <w:rPr/>
              <w:t> </w:t>
            </w:r>
          </w:p>
        </w:tc>
      </w:tr>
      <w:tr>
        <w:trPr/>
        <w:tc>
          <w:tcPr>
            <w:tcW w:w="3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 except per share amounts)</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18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(287.3)</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(779.5)</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w:t>
            </w:r>
          </w:p>
        </w:tc>
        <w:tc>
          <w:tcPr>
            <w:tcW w:w="326" w:type="dxa"/>
            <w:tcBorders/>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615.4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(193.9)</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w:t>
            </w:r>
          </w:p>
        </w:tc>
        <w:tc>
          <w:tcPr>
            <w:tcW w:w="326" w:type="dxa"/>
            <w:tcBorders/>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(146.1)</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revenue, and operating costs and expenses are further described below in the Analysis of Operating Revenue and Income by Segment.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increase in interest income for the three months ended September 30, 2023, compared to the three months ended September 30, 2022, was due to increased amounts of cash and CCF funds that are invested in interest bearing accounts, and higher interest rates during the period.</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decrease in interest expense for the three months ended September 30, 2023, compared to the three months ended September 30, 2022, was due to lower outstanding debt during the period, and a higher offset of capitalized interest associated with new vessels construction.</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relates to the amortization of certain components of net periodic benefit costs or gains related to the Company’s pension and post-retirement plans.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 expense was $20.3 million or 14.5 percent of income before taxes for the three months ended September 30, 2023, compared to $68.1 million or 20.4 percent of income before taxes for the three months ended September 30, 2022.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effective tax rate for the three months ended September 30, 2023 benefited from a 7.8 percent deduction related to return-to-provision true-ups recorded during the three months ended September 30, 2023, primarily due to foreign-derived intangible income (“FDII”) under Section 250 of the Internal Revenue Code that lowered the effective tax rate for the current period, compared to a 0.2 percent deduction related to return-to-provision true-ups recorded during the three months ended September 30, 2022.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Consolidated Results – Nine months ended September 30, 2023 compared with 2022:</w:t>
      </w:r>
    </w:p>
    <w:p>
      <w:pPr>
        <w:pStyle w:val="TextBody"/>
        <w:bidi w:val="0"/>
        <w:spacing w:before="0" w:after="0"/>
        <w:ind w:left="0" w:right="0" w:hanging="0"/>
        <w:jc w:val="left"/>
        <w:rPr/>
      </w:pPr>
      <w:r>
        <w:rPr/>
        <w:t>​</w:t>
      </w:r>
    </w:p>
    <w:tbl>
      <w:tblPr>
        <w:tblW w:w="8978" w:type="dxa"/>
        <w:jc w:val="left"/>
        <w:tblInd w:w="0" w:type="dxa"/>
        <w:tblLayout w:type="fixed"/>
        <w:tblCellMar>
          <w:top w:w="0" w:type="dxa"/>
          <w:left w:w="0" w:type="dxa"/>
          <w:bottom w:w="0" w:type="dxa"/>
          <w:right w:w="0" w:type="dxa"/>
        </w:tblCellMar>
      </w:tblPr>
      <w:tblGrid>
        <w:gridCol w:w="3481"/>
        <w:gridCol w:w="326"/>
        <w:gridCol w:w="211"/>
        <w:gridCol w:w="841"/>
        <w:gridCol w:w="326"/>
        <w:gridCol w:w="211"/>
        <w:gridCol w:w="841"/>
        <w:gridCol w:w="326"/>
        <w:gridCol w:w="211"/>
        <w:gridCol w:w="841"/>
        <w:gridCol w:w="326"/>
        <w:gridCol w:w="721"/>
        <w:gridCol w:w="316"/>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210435" cy="175260"/>
                      <wp:effectExtent l="0" t="0" r="0" b="0"/>
                      <wp:wrapNone/>
                      <wp:docPr id="313" name="Frame313"/>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7010" cy="175260"/>
                      <wp:effectExtent l="0" t="0" r="0" b="0"/>
                      <wp:wrapNone/>
                      <wp:docPr id="314" name="Frame3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33985" cy="175260"/>
                      <wp:effectExtent l="0" t="0" r="0" b="0"/>
                      <wp:wrapNone/>
                      <wp:docPr id="315" name="Frame3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534035" cy="175260"/>
                      <wp:effectExtent l="0" t="0" r="0" b="0"/>
                      <wp:wrapNone/>
                      <wp:docPr id="316" name="Frame31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17" name="Frame3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33985" cy="175260"/>
                      <wp:effectExtent l="0" t="0" r="0" b="0"/>
                      <wp:wrapNone/>
                      <wp:docPr id="318" name="Frame3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534035" cy="175260"/>
                      <wp:effectExtent l="0" t="0" r="0" b="0"/>
                      <wp:wrapNone/>
                      <wp:docPr id="319" name="Frame31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07010" cy="175260"/>
                      <wp:effectExtent l="0" t="0" r="0" b="0"/>
                      <wp:wrapNone/>
                      <wp:docPr id="320" name="Frame3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3985" cy="175260"/>
                      <wp:effectExtent l="0" t="0" r="0" b="0"/>
                      <wp:wrapNone/>
                      <wp:docPr id="321" name="Frame3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534035" cy="175260"/>
                      <wp:effectExtent l="0" t="0" r="0" b="0"/>
                      <wp:wrapNone/>
                      <wp:docPr id="322" name="Frame32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07010" cy="175260"/>
                      <wp:effectExtent l="0" t="0" r="0" b="0"/>
                      <wp:wrapNone/>
                      <wp:docPr id="323" name="Frame3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457835" cy="175260"/>
                      <wp:effectExtent l="0" t="0" r="0" b="0"/>
                      <wp:wrapNone/>
                      <wp:docPr id="324" name="Frame32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0660" cy="175260"/>
                      <wp:effectExtent l="0" t="0" r="0" b="0"/>
                      <wp:wrapNone/>
                      <wp:docPr id="325" name="Frame32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5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16" w:type="dxa"/>
            <w:tcBorders/>
            <w:vAlign w:val="center"/>
          </w:tcPr>
          <w:p>
            <w:pPr>
              <w:pStyle w:val="TableContents"/>
              <w:bidi w:val="0"/>
              <w:spacing w:before="0" w:after="0"/>
              <w:ind w:left="0" w:right="0" w:hanging="0"/>
              <w:jc w:val="left"/>
              <w:rPr/>
            </w:pPr>
            <w:r>
              <w:rPr/>
              <w:t> </w:t>
            </w:r>
          </w:p>
        </w:tc>
      </w:tr>
      <w:tr>
        <w:trPr/>
        <w:tc>
          <w:tcPr>
            <w:tcW w:w="3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 except per share amounts)</w:t>
            </w:r>
          </w:p>
        </w:tc>
        <w:tc>
          <w:tcPr>
            <w:tcW w:w="326"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209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2,305.7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3,541.4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(1,235.7)</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(2,038.2)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(2,280.4)</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242.2</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(993.5)</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1915.4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(965.6)</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(268.4)</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214.4</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(751.2)</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24.83</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(18.24)</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24.65</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(18.09)</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revenue, and operating costs and expenses are further described below in the Analysis of Operating Revenue and Income by Segment.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increase in interest income for the nine months ended September 30, 2023, compared to the nine months ended September 30, 2022, was due to increased amounts of cash and CCF funds that are invested in interest bearing accounts, and higher interest rates during the period.</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decrease in interest expense for the nine months ended September 30, 2023, compared to the nine months ended September 30, 2022, was due to lower outstanding debt during the period, and a higher offset of capitalized interest associated with new vessels construction.</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relates to the amortization of certain components of net periodic benefit costs or gains related to the Company’s pension and post-retirement plans.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was $54.0 million or 18.7 percent of income before taxes for the nine months ended September 30, 2023, compared to $268.4 million or 21.4 percent of income before taxes for the nine months ended September 30, 2022. The effective tax rate for the nine months ended September 30, 2023 benefited from a 3.8 percent deduction related to return-to-provision true-ups recorded during the nine-months ended September 30, 2023, primarily due to FDII that lowered the effective tax rate for the current period.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ANALYSIS OF OPERATING REVENUE AND INCOME BY SEGMENT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Ocean Transportation Operating Results – Three months ended September 30, 2023 compared with 2022:</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521"/>
        <w:gridCol w:w="326"/>
        <w:gridCol w:w="211"/>
        <w:gridCol w:w="689"/>
        <w:gridCol w:w="326"/>
        <w:gridCol w:w="211"/>
        <w:gridCol w:w="689"/>
        <w:gridCol w:w="326"/>
        <w:gridCol w:w="211"/>
        <w:gridCol w:w="686"/>
        <w:gridCol w:w="109"/>
        <w:gridCol w:w="581"/>
        <w:gridCol w:w="319"/>
      </w:tblGrid>
      <w:tr>
        <w:trPr/>
        <w:tc>
          <w:tcPr>
            <w:tcW w:w="5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3505835" cy="175260"/>
                      <wp:effectExtent l="0" t="0" r="0" b="0"/>
                      <wp:wrapNone/>
                      <wp:docPr id="326" name="Frame326"/>
                      <a:graphic xmlns:a="http://schemas.openxmlformats.org/drawingml/2006/main">
                        <a:graphicData uri="http://schemas.microsoft.com/office/word/2010/wordprocessingShape">
                          <wps:wsp>
                            <wps:cNvSpPr txBox="1"/>
                            <wps:spPr>
                              <a:xfrm>
                                <a:off x="0" y="0"/>
                                <a:ext cx="3505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07010" cy="175260"/>
                      <wp:effectExtent l="0" t="0" r="0" b="0"/>
                      <wp:wrapNone/>
                      <wp:docPr id="327" name="Frame3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33985" cy="175260"/>
                      <wp:effectExtent l="0" t="0" r="0" b="0"/>
                      <wp:wrapNone/>
                      <wp:docPr id="328" name="Frame3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437515" cy="175260"/>
                      <wp:effectExtent l="0" t="0" r="0" b="0"/>
                      <wp:wrapNone/>
                      <wp:docPr id="329" name="Frame329"/>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330" name="Frame3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33985" cy="175260"/>
                      <wp:effectExtent l="0" t="0" r="0" b="0"/>
                      <wp:wrapNone/>
                      <wp:docPr id="331" name="Frame3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437515" cy="175260"/>
                      <wp:effectExtent l="0" t="0" r="0" b="0"/>
                      <wp:wrapNone/>
                      <wp:docPr id="332" name="Frame332"/>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07010" cy="175260"/>
                      <wp:effectExtent l="0" t="0" r="0" b="0"/>
                      <wp:wrapNone/>
                      <wp:docPr id="333" name="Frame3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33985" cy="175260"/>
                      <wp:effectExtent l="0" t="0" r="0" b="0"/>
                      <wp:wrapNone/>
                      <wp:docPr id="334" name="Frame3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435610" cy="175260"/>
                      <wp:effectExtent l="0" t="0" r="0" b="0"/>
                      <wp:wrapNone/>
                      <wp:docPr id="335" name="Frame335"/>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9215" cy="175260"/>
                      <wp:effectExtent l="0" t="0" r="0" b="0"/>
                      <wp:wrapNone/>
                      <wp:docPr id="336" name="Frame3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368935" cy="175260"/>
                      <wp:effectExtent l="0" t="0" r="0" b="0"/>
                      <wp:wrapNone/>
                      <wp:docPr id="337" name="Frame337"/>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2565" cy="175260"/>
                      <wp:effectExtent l="0" t="0" r="0" b="0"/>
                      <wp:wrapNone/>
                      <wp:docPr id="338" name="Frame338"/>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3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19" w:type="dxa"/>
            <w:tcBorders/>
            <w:vAlign w:val="center"/>
          </w:tcPr>
          <w:p>
            <w:pPr>
              <w:pStyle w:val="TableContents"/>
              <w:bidi w:val="0"/>
              <w:spacing w:before="0" w:after="0"/>
              <w:ind w:left="0" w:right="0" w:hanging="0"/>
              <w:jc w:val="left"/>
              <w:rPr/>
            </w:pPr>
            <w:r>
              <w:rPr/>
              <w:t> </w:t>
            </w:r>
          </w:p>
        </w:tc>
      </w:tr>
      <w:tr>
        <w:trPr/>
        <w:tc>
          <w:tcPr>
            <w:tcW w:w="5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58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9" w:type="dxa"/>
            <w:tcBorders/>
            <w:vAlign w:val="center"/>
          </w:tcPr>
          <w:p>
            <w:pPr>
              <w:pStyle w:val="TableContents"/>
              <w:bidi w:val="0"/>
              <w:spacing w:before="0" w:after="0"/>
              <w:ind w:left="0" w:right="0" w:hanging="0"/>
              <w:jc w:val="left"/>
              <w:rPr/>
            </w:pPr>
            <w:r>
              <w:rPr/>
              <w:t> </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(249.1)</w:t>
            </w:r>
          </w:p>
        </w:tc>
        <w:tc>
          <w:tcPr>
            <w:tcW w:w="109"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w:t>
            </w:r>
          </w:p>
        </w:tc>
        <w:tc>
          <w:tcPr>
            <w:tcW w:w="109" w:type="dxa"/>
            <w:tcBorders/>
            <w:vAlign w:val="center"/>
          </w:tcPr>
          <w:p>
            <w:pPr>
              <w:pStyle w:val="TableContents"/>
              <w:bidi w:val="0"/>
              <w:spacing w:before="0" w:after="0"/>
              <w:ind w:left="0" w:right="0" w:hanging="0"/>
              <w:jc w:val="left"/>
              <w:rPr/>
            </w:pPr>
            <w:r>
              <w:rPr/>
              <w:t>​</w:t>
            </w:r>
          </w:p>
        </w:tc>
        <w:tc>
          <w:tcPr>
            <w:tcW w:w="5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(197.0)</w:t>
            </w:r>
          </w:p>
        </w:tc>
        <w:tc>
          <w:tcPr>
            <w:tcW w:w="109"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right"/>
              <w:rPr/>
            </w:pPr>
            <w:r>
              <w:rPr/>
              <w:t>​</w:t>
            </w:r>
          </w:p>
        </w:tc>
        <w:tc>
          <w:tcPr>
            <w:tcW w:w="319"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right"/>
              <w:rPr/>
            </w:pPr>
            <w:r>
              <w:rPr/>
              <w:t>​</w:t>
            </w:r>
          </w:p>
        </w:tc>
        <w:tc>
          <w:tcPr>
            <w:tcW w:w="319"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Volume (Forty-foot equivalent units (FEU), except for automobiles) (1)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right"/>
              <w:rPr/>
            </w:pPr>
            <w:r>
              <w:rPr/>
              <w:t>​</w:t>
            </w:r>
          </w:p>
        </w:tc>
        <w:tc>
          <w:tcPr>
            <w:tcW w:w="319"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Hawaii containers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37,700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c>
          <w:tcPr>
            <w:tcW w:w="109" w:type="dxa"/>
            <w:tcBorders/>
            <w:shd w:fill="CCEEFF" w:val="clear"/>
            <w:vAlign w:val="center"/>
          </w:tcPr>
          <w:p>
            <w:pPr>
              <w:pStyle w:val="TableContents"/>
              <w:bidi w:val="0"/>
              <w:spacing w:before="0" w:after="0"/>
              <w:ind w:left="0" w:right="0" w:hanging="0"/>
              <w:jc w:val="right"/>
              <w:rPr/>
            </w:pPr>
            <w:r>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Hawaii automobiles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w:t>
            </w:r>
          </w:p>
        </w:tc>
        <w:tc>
          <w:tcPr>
            <w:tcW w:w="109" w:type="dxa"/>
            <w:tcBorders/>
            <w:vAlign w:val="center"/>
          </w:tcPr>
          <w:p>
            <w:pPr>
              <w:pStyle w:val="TableContents"/>
              <w:bidi w:val="0"/>
              <w:spacing w:before="0" w:after="0"/>
              <w:ind w:left="0" w:right="0" w:hanging="0"/>
              <w:jc w:val="right"/>
              <w:rPr/>
            </w:pPr>
            <w:r>
              <w:rPr/>
              <w:t>​</w:t>
            </w:r>
          </w:p>
        </w:tc>
        <w:tc>
          <w:tcPr>
            <w:tcW w:w="5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containers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24,100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w:t>
            </w:r>
          </w:p>
        </w:tc>
        <w:tc>
          <w:tcPr>
            <w:tcW w:w="109" w:type="dxa"/>
            <w:tcBorders/>
            <w:shd w:fill="CCEEFF" w:val="clear"/>
            <w:vAlign w:val="center"/>
          </w:tcPr>
          <w:p>
            <w:pPr>
              <w:pStyle w:val="TableContents"/>
              <w:bidi w:val="0"/>
              <w:spacing w:before="0" w:after="0"/>
              <w:ind w:left="0" w:right="0" w:hanging="0"/>
              <w:jc w:val="right"/>
              <w:rPr/>
            </w:pPr>
            <w:r>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 containers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39,500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109" w:type="dxa"/>
            <w:tcBorders/>
            <w:vAlign w:val="center"/>
          </w:tcPr>
          <w:p>
            <w:pPr>
              <w:pStyle w:val="TableContents"/>
              <w:bidi w:val="0"/>
              <w:spacing w:before="0" w:after="0"/>
              <w:ind w:left="0" w:right="0" w:hanging="0"/>
              <w:jc w:val="right"/>
              <w:rPr/>
            </w:pPr>
            <w:r>
              <w:rPr/>
              <w:t>​</w:t>
            </w:r>
          </w:p>
        </w:tc>
        <w:tc>
          <w:tcPr>
            <w:tcW w:w="5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Guam containers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109" w:type="dxa"/>
            <w:tcBorders/>
            <w:shd w:fill="CCEEFF" w:val="clear"/>
            <w:vAlign w:val="center"/>
          </w:tcPr>
          <w:p>
            <w:pPr>
              <w:pStyle w:val="TableContents"/>
              <w:bidi w:val="0"/>
              <w:spacing w:before="0" w:after="0"/>
              <w:ind w:left="0" w:right="0" w:hanging="0"/>
              <w:jc w:val="right"/>
              <w:rPr/>
            </w:pPr>
            <w:r>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containers (2)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w:t>
            </w:r>
          </w:p>
        </w:tc>
        <w:tc>
          <w:tcPr>
            <w:tcW w:w="109" w:type="dxa"/>
            <w:tcBorders/>
            <w:vAlign w:val="center"/>
          </w:tcPr>
          <w:p>
            <w:pPr>
              <w:pStyle w:val="TableContents"/>
              <w:bidi w:val="0"/>
              <w:spacing w:before="0" w:after="0"/>
              <w:ind w:left="0" w:right="0" w:hanging="0"/>
              <w:jc w:val="right"/>
              <w:rPr/>
            </w:pPr>
            <w:r>
              <w:rPr/>
              <w:t>​</w:t>
            </w:r>
          </w:p>
        </w:tc>
        <w:tc>
          <w:tcPr>
            <w:tcW w:w="5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tc>
      </w:tr>
    </w:tbl>
    <w:tbl>
      <w:tblPr>
        <w:tblW w:w="8072" w:type="dxa"/>
        <w:jc w:val="left"/>
        <w:tblInd w:w="0" w:type="dxa"/>
        <w:tblLayout w:type="fixed"/>
        <w:tblCellMar>
          <w:top w:w="0" w:type="dxa"/>
          <w:left w:w="0" w:type="dxa"/>
          <w:bottom w:w="0" w:type="dxa"/>
          <w:right w:w="0" w:type="dxa"/>
        </w:tblCellMar>
      </w:tblPr>
      <w:tblGrid>
        <w:gridCol w:w="331"/>
        <w:gridCol w:w="774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77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containers from services in various islands in Micronesia and the South Pacific, and Okinawa, Japan.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revenue decreased $249.1 million, or 27.1 percent, during the three months ended September 30, 2023, compared with the three months ended September 30, 2022. The decrease was primarily due to lower average freight rates in China.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 year-over-year FEU basis, Hawaii container volume decreased 1.9 percent primarily due to lower general demand; Alaska volume decreased 9.1 percent due to (i) lower export seafood volume from the AAX, (ii) lower northbound volume due to lower retail-related demand and (iii) lower southbound volume due to lower domestic seafood volume; China volume was 1.3 percent lower primarily due to CCX volume in 3Q22 (the CCX service was discontinued in 3Q22) partially offset by higher volume in the CLX+ service; Guam volume was 1.9 percent lower primarily due to lower general demand; and Other containers volume decreased 28.3 percent.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operating income decreased $197.0 million during the three months ended September 30, 2023, compared with the three months ended September 30, 2022. The decrease was primarily due to lower freight rates in China and a lower contribution from SSAT, partially offset by (i) higher volume in the CLX+ service and (ii) lower operating costs and expenses (including fuel-related expenses) primarily related to the discontinuation of the CCX service.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SSAT terminal joint venture investment contributed $1.3 million during the three months ended September 30, 2023, compared to a contribution of $23.4 million during the three months ended September 30, 2022. The decrease was primarily driven by lower demurrage revenue and lower lift volume.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Ocean Transportation Operating Results – Nine months ended September 30, 2023 compared with 2022:</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953"/>
        <w:gridCol w:w="326"/>
        <w:gridCol w:w="211"/>
        <w:gridCol w:w="828"/>
        <w:gridCol w:w="326"/>
        <w:gridCol w:w="211"/>
        <w:gridCol w:w="828"/>
        <w:gridCol w:w="326"/>
        <w:gridCol w:w="211"/>
        <w:gridCol w:w="828"/>
        <w:gridCol w:w="266"/>
        <w:gridCol w:w="573"/>
        <w:gridCol w:w="318"/>
      </w:tblGrid>
      <w:tr>
        <w:trPr/>
        <w:tc>
          <w:tcPr>
            <w:tcW w:w="4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3145155" cy="175260"/>
                      <wp:effectExtent l="0" t="0" r="0" b="0"/>
                      <wp:wrapNone/>
                      <wp:docPr id="339" name="Frame339"/>
                      <a:graphic xmlns:a="http://schemas.openxmlformats.org/drawingml/2006/main">
                        <a:graphicData uri="http://schemas.microsoft.com/office/word/2010/wordprocessingShape">
                          <wps:wsp>
                            <wps:cNvSpPr txBox="1"/>
                            <wps:spPr>
                              <a:xfrm>
                                <a:off x="0" y="0"/>
                                <a:ext cx="3145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40" name="Frame3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33985" cy="175260"/>
                      <wp:effectExtent l="0" t="0" r="0" b="0"/>
                      <wp:wrapNone/>
                      <wp:docPr id="341" name="Frame3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525780" cy="175260"/>
                      <wp:effectExtent l="0" t="0" r="0" b="0"/>
                      <wp:wrapNone/>
                      <wp:docPr id="342" name="Frame342"/>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07010" cy="175260"/>
                      <wp:effectExtent l="0" t="0" r="0" b="0"/>
                      <wp:wrapNone/>
                      <wp:docPr id="343" name="Frame3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33985" cy="175260"/>
                      <wp:effectExtent l="0" t="0" r="0" b="0"/>
                      <wp:wrapNone/>
                      <wp:docPr id="344" name="Frame3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525780" cy="175260"/>
                      <wp:effectExtent l="0" t="0" r="0" b="0"/>
                      <wp:wrapNone/>
                      <wp:docPr id="345" name="Frame345"/>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7010" cy="175260"/>
                      <wp:effectExtent l="0" t="0" r="0" b="0"/>
                      <wp:wrapNone/>
                      <wp:docPr id="346" name="Frame3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33985" cy="175260"/>
                      <wp:effectExtent l="0" t="0" r="0" b="0"/>
                      <wp:wrapNone/>
                      <wp:docPr id="347" name="Frame3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525780" cy="175260"/>
                      <wp:effectExtent l="0" t="0" r="0" b="0"/>
                      <wp:wrapNone/>
                      <wp:docPr id="348" name="Frame348"/>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68910" cy="175260"/>
                      <wp:effectExtent l="0" t="0" r="0" b="0"/>
                      <wp:wrapNone/>
                      <wp:docPr id="349" name="Frame34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363855" cy="175260"/>
                      <wp:effectExtent l="0" t="0" r="0" b="0"/>
                      <wp:wrapNone/>
                      <wp:docPr id="350" name="Frame350"/>
                      <a:graphic xmlns:a="http://schemas.openxmlformats.org/drawingml/2006/main">
                        <a:graphicData uri="http://schemas.microsoft.com/office/word/2010/wordprocessingShape">
                          <wps:wsp>
                            <wps:cNvSpPr txBox="1"/>
                            <wps:spPr>
                              <a:xfrm>
                                <a:off x="0" y="0"/>
                                <a:ext cx="363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1930" cy="175260"/>
                      <wp:effectExtent l="0" t="0" r="0" b="0"/>
                      <wp:wrapNone/>
                      <wp:docPr id="351" name="Frame351"/>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08"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18" w:type="dxa"/>
            <w:tcBorders/>
            <w:vAlign w:val="center"/>
          </w:tcPr>
          <w:p>
            <w:pPr>
              <w:pStyle w:val="TableContents"/>
              <w:bidi w:val="0"/>
              <w:spacing w:before="0" w:after="0"/>
              <w:ind w:left="0" w:right="0" w:hanging="0"/>
              <w:jc w:val="left"/>
              <w:rPr/>
            </w:pPr>
            <w:r>
              <w:rPr/>
              <w:t> </w:t>
            </w:r>
          </w:p>
        </w:tc>
      </w:tr>
      <w:tr>
        <w:trPr/>
        <w:tc>
          <w:tcPr>
            <w:tcW w:w="495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87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8" w:type="dxa"/>
            <w:tcBorders/>
            <w:vAlign w:val="center"/>
          </w:tcPr>
          <w:p>
            <w:pPr>
              <w:pStyle w:val="TableContents"/>
              <w:bidi w:val="0"/>
              <w:spacing w:before="0" w:after="0"/>
              <w:ind w:left="0" w:right="0" w:hanging="0"/>
              <w:jc w:val="left"/>
              <w:rPr/>
            </w:pPr>
            <w:r>
              <w:rPr/>
              <w:t> </w:t>
            </w:r>
          </w:p>
        </w:tc>
      </w:tr>
      <w:tr>
        <w:trPr/>
        <w:tc>
          <w:tcPr>
            <w:tcW w:w="49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(1,074.3)</w:t>
            </w:r>
          </w:p>
        </w:tc>
        <w:tc>
          <w:tcPr>
            <w:tcW w:w="266" w:type="dxa"/>
            <w:tcBorders/>
            <w:shd w:fill="CCEEFF" w:val="clear"/>
            <w:vAlign w:val="center"/>
          </w:tcPr>
          <w:p>
            <w:pPr>
              <w:pStyle w:val="TableContents"/>
              <w:bidi w:val="0"/>
              <w:spacing w:before="0" w:after="0"/>
              <w:ind w:left="0" w:right="0" w:hanging="0"/>
              <w:jc w:val="left"/>
              <w:rPr/>
            </w:pPr>
            <w:r>
              <w:rPr/>
              <w:t>   </w:t>
            </w:r>
          </w:p>
        </w:tc>
        <w:tc>
          <w:tcPr>
            <w:tcW w:w="5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(1,608.9)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w:t>
            </w:r>
          </w:p>
        </w:tc>
        <w:tc>
          <w:tcPr>
            <w:tcW w:w="266" w:type="dxa"/>
            <w:tcBorders/>
            <w:vAlign w:val="center"/>
          </w:tcPr>
          <w:p>
            <w:pPr>
              <w:pStyle w:val="TableContents"/>
              <w:bidi w:val="0"/>
              <w:spacing w:before="0" w:after="0"/>
              <w:ind w:left="0" w:right="0" w:hanging="0"/>
              <w:jc w:val="left"/>
              <w:rPr/>
            </w:pPr>
            <w:r>
              <w:rPr/>
              <w:t>​</w:t>
            </w:r>
          </w:p>
        </w:tc>
        <w:tc>
          <w:tcPr>
            <w:tcW w:w="5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(973.0)</w:t>
            </w:r>
          </w:p>
        </w:tc>
        <w:tc>
          <w:tcPr>
            <w:tcW w:w="266"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right"/>
              <w:rPr/>
            </w:pPr>
            <w:r>
              <w:rPr/>
              <w:t>​</w:t>
            </w:r>
          </w:p>
        </w:tc>
        <w:tc>
          <w:tcPr>
            <w:tcW w:w="318" w:type="dxa"/>
            <w:tcBorders/>
            <w:vAlign w:val="center"/>
          </w:tcPr>
          <w:p>
            <w:pPr>
              <w:pStyle w:val="TableContents"/>
              <w:bidi w:val="0"/>
              <w:spacing w:before="0" w:after="0"/>
              <w:ind w:left="0" w:right="0" w:hanging="0"/>
              <w:jc w:val="left"/>
              <w:rPr/>
            </w:pPr>
            <w:r>
              <w:rPr/>
              <w:t>​</w:t>
            </w:r>
          </w:p>
        </w:tc>
      </w:tr>
      <w:tr>
        <w:trPr/>
        <w:tc>
          <w:tcPr>
            <w:tcW w:w="495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right"/>
              <w:rPr/>
            </w:pPr>
            <w:r>
              <w:rPr/>
              <w:t>​</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49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Volume (Forty-foot equivalent units (FEU), except for automobiles) (1)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right"/>
              <w:rPr/>
            </w:pPr>
            <w:r>
              <w:rPr/>
              <w:t>​</w:t>
            </w:r>
          </w:p>
        </w:tc>
        <w:tc>
          <w:tcPr>
            <w:tcW w:w="318" w:type="dxa"/>
            <w:tcBorders/>
            <w:vAlign w:val="center"/>
          </w:tcPr>
          <w:p>
            <w:pPr>
              <w:pStyle w:val="TableContents"/>
              <w:bidi w:val="0"/>
              <w:spacing w:before="0" w:after="0"/>
              <w:ind w:left="0" w:right="0" w:hanging="0"/>
              <w:jc w:val="left"/>
              <w:rPr/>
            </w:pPr>
            <w:r>
              <w:rPr/>
              <w:t>​</w:t>
            </w:r>
          </w:p>
        </w:tc>
      </w:tr>
      <w:tr>
        <w:trPr/>
        <w:tc>
          <w:tcPr>
            <w:tcW w:w="49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Hawaii containers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112,400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(3,800)</w:t>
            </w:r>
          </w:p>
        </w:tc>
        <w:tc>
          <w:tcPr>
            <w:tcW w:w="266" w:type="dxa"/>
            <w:tcBorders/>
            <w:shd w:fill="CCEEFF" w:val="clear"/>
            <w:vAlign w:val="center"/>
          </w:tcPr>
          <w:p>
            <w:pPr>
              <w:pStyle w:val="TableContents"/>
              <w:bidi w:val="0"/>
              <w:spacing w:before="0" w:after="0"/>
              <w:ind w:left="0" w:right="0" w:hanging="0"/>
              <w:jc w:val="right"/>
              <w:rPr/>
            </w:pPr>
            <w:r>
              <w:rPr/>
              <w:t>​</w:t>
            </w:r>
          </w:p>
        </w:tc>
        <w:tc>
          <w:tcPr>
            <w:tcW w:w="5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Hawaii automobiles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30,500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w:t>
            </w:r>
          </w:p>
        </w:tc>
        <w:tc>
          <w:tcPr>
            <w:tcW w:w="266" w:type="dxa"/>
            <w:tcBorders/>
            <w:vAlign w:val="center"/>
          </w:tcPr>
          <w:p>
            <w:pPr>
              <w:pStyle w:val="TableContents"/>
              <w:bidi w:val="0"/>
              <w:spacing w:before="0" w:after="0"/>
              <w:ind w:left="0" w:right="0" w:hanging="0"/>
              <w:jc w:val="right"/>
              <w:rPr/>
            </w:pPr>
            <w:r>
              <w:rPr/>
              <w:t>​</w:t>
            </w:r>
          </w:p>
        </w:tc>
        <w:tc>
          <w:tcPr>
            <w:tcW w:w="5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containers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67,000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(4,800)</w:t>
            </w:r>
          </w:p>
        </w:tc>
        <w:tc>
          <w:tcPr>
            <w:tcW w:w="266" w:type="dxa"/>
            <w:tcBorders/>
            <w:shd w:fill="CCEEFF" w:val="clear"/>
            <w:vAlign w:val="center"/>
          </w:tcPr>
          <w:p>
            <w:pPr>
              <w:pStyle w:val="TableContents"/>
              <w:bidi w:val="0"/>
              <w:spacing w:before="0" w:after="0"/>
              <w:ind w:left="0" w:right="0" w:hanging="0"/>
              <w:jc w:val="right"/>
              <w:rPr/>
            </w:pPr>
            <w:r>
              <w:rPr/>
              <w:t>​</w:t>
            </w:r>
          </w:p>
        </w:tc>
        <w:tc>
          <w:tcPr>
            <w:tcW w:w="5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 containers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105,800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134,800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(29,000)</w:t>
            </w:r>
          </w:p>
        </w:tc>
        <w:tc>
          <w:tcPr>
            <w:tcW w:w="266" w:type="dxa"/>
            <w:tcBorders/>
            <w:vAlign w:val="center"/>
          </w:tcPr>
          <w:p>
            <w:pPr>
              <w:pStyle w:val="TableContents"/>
              <w:bidi w:val="0"/>
              <w:spacing w:before="0" w:after="0"/>
              <w:ind w:left="0" w:right="0" w:hanging="0"/>
              <w:jc w:val="right"/>
              <w:rPr/>
            </w:pPr>
            <w:r>
              <w:rPr/>
              <w:t>​</w:t>
            </w:r>
          </w:p>
        </w:tc>
        <w:tc>
          <w:tcPr>
            <w:tcW w:w="5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Guam containers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w:t>
            </w:r>
          </w:p>
        </w:tc>
        <w:tc>
          <w:tcPr>
            <w:tcW w:w="266" w:type="dxa"/>
            <w:tcBorders/>
            <w:shd w:fill="CCEEFF" w:val="clear"/>
            <w:vAlign w:val="center"/>
          </w:tcPr>
          <w:p>
            <w:pPr>
              <w:pStyle w:val="TableContents"/>
              <w:bidi w:val="0"/>
              <w:spacing w:before="0" w:after="0"/>
              <w:ind w:left="0" w:right="0" w:hanging="0"/>
              <w:jc w:val="right"/>
              <w:rPr/>
            </w:pPr>
            <w:r>
              <w:rPr/>
              <w:t>​</w:t>
            </w:r>
          </w:p>
        </w:tc>
        <w:tc>
          <w:tcPr>
            <w:tcW w:w="5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containers (2)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17,500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(4,700)</w:t>
            </w:r>
          </w:p>
        </w:tc>
        <w:tc>
          <w:tcPr>
            <w:tcW w:w="266" w:type="dxa"/>
            <w:tcBorders/>
            <w:vAlign w:val="center"/>
          </w:tcPr>
          <w:p>
            <w:pPr>
              <w:pStyle w:val="TableContents"/>
              <w:bidi w:val="0"/>
              <w:spacing w:before="0" w:after="0"/>
              <w:ind w:left="0" w:right="0" w:hanging="0"/>
              <w:jc w:val="right"/>
              <w:rPr/>
            </w:pPr>
            <w:r>
              <w:rPr/>
              <w:t>​</w:t>
            </w:r>
          </w:p>
        </w:tc>
        <w:tc>
          <w:tcPr>
            <w:tcW w:w="5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tc>
      </w:tr>
    </w:tbl>
    <w:tbl>
      <w:tblPr>
        <w:tblW w:w="8072" w:type="dxa"/>
        <w:jc w:val="left"/>
        <w:tblInd w:w="0" w:type="dxa"/>
        <w:tblLayout w:type="fixed"/>
        <w:tblCellMar>
          <w:top w:w="0" w:type="dxa"/>
          <w:left w:w="0" w:type="dxa"/>
          <w:bottom w:w="0" w:type="dxa"/>
          <w:right w:w="0" w:type="dxa"/>
        </w:tblCellMar>
      </w:tblPr>
      <w:tblGrid>
        <w:gridCol w:w="331"/>
        <w:gridCol w:w="774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77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containers from services in various islands in Micronesia and the South Pacific, and Okinawa, Japan.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revenue decreased $1,074.3 million, or 36.9 percent, during the nine months ended September 30, 2023, compared with the nine months ended September 30, 2022. The decrease was primarily due to lower average freight rates and volume in China.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 year-over-year FEU basis, Hawaii container volume decreased 3.4 percent primarily due to lower general westbound demand and lower eastbound volume; Alaska volume decreased 7.2 percent due to (i) lower export seafood volume from the AAX and (ii) lower southbound volume primarily due to lower domestic seafood volume; China volume was 21.5 percent lower primarily due to (a) CCX volume in the first nine months of 2022 (the CCX service was discontinued in the third quarter 2022) and (b) lower demand for the CLX and CLX+ services including three less CLX+ sailings; Guam volume was 6.8 percent lower primarily due to lower general demand; and Other containers volume decreased 26.9 percent.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operating income decreased $973.0 million during the nine months ended September 30, 2023, compared with the nine months ended September 30, 2022. The decrease was primarily due to lower freight rates and volume in China and a lower contribution from SSAT, partially offset by (i) lower operating costs and expenses (including fuel-related expenses) primarily related to the discontinuation of the CCX service and (ii) lower fuel costs and the timing of fuel-related surcharge collections.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SSAT terminal joint venture investment contributed $(1.9) million during the nine months ended September 30, 2023, compared to a contribution of $82.1 million during the nine months ended September 30, 2022. The decrease was primarily driven by lower demurrage revenue and lower lift volume.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Logistics Operating Results: Three months ended September 30, 2023 compared with 2022:</w:t>
      </w:r>
    </w:p>
    <w:p>
      <w:pPr>
        <w:pStyle w:val="TextBody"/>
        <w:bidi w:val="0"/>
        <w:spacing w:before="0" w:after="0"/>
        <w:ind w:left="0" w:right="0" w:hanging="0"/>
        <w:jc w:val="left"/>
        <w:rPr/>
      </w:pPr>
      <w:r>
        <w:rPr/>
        <w:t>​</w:t>
      </w:r>
    </w:p>
    <w:tbl>
      <w:tblPr>
        <w:tblW w:w="7096" w:type="dxa"/>
        <w:jc w:val="left"/>
        <w:tblInd w:w="0" w:type="dxa"/>
        <w:tblLayout w:type="fixed"/>
        <w:tblCellMar>
          <w:top w:w="0" w:type="dxa"/>
          <w:left w:w="0" w:type="dxa"/>
          <w:bottom w:w="0" w:type="dxa"/>
          <w:right w:w="0" w:type="dxa"/>
        </w:tblCellMar>
      </w:tblPr>
      <w:tblGrid>
        <w:gridCol w:w="2506"/>
        <w:gridCol w:w="326"/>
        <w:gridCol w:w="211"/>
        <w:gridCol w:w="691"/>
        <w:gridCol w:w="326"/>
        <w:gridCol w:w="211"/>
        <w:gridCol w:w="691"/>
        <w:gridCol w:w="326"/>
        <w:gridCol w:w="211"/>
        <w:gridCol w:w="586"/>
        <w:gridCol w:w="109"/>
        <w:gridCol w:w="586"/>
        <w:gridCol w:w="31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591310" cy="175260"/>
                      <wp:effectExtent l="0" t="0" r="0" b="0"/>
                      <wp:wrapNone/>
                      <wp:docPr id="352" name="Frame352"/>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7010" cy="175260"/>
                      <wp:effectExtent l="0" t="0" r="0" b="0"/>
                      <wp:wrapNone/>
                      <wp:docPr id="353" name="Frame3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33985" cy="175260"/>
                      <wp:effectExtent l="0" t="0" r="0" b="0"/>
                      <wp:wrapNone/>
                      <wp:docPr id="354" name="Frame3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438785" cy="175260"/>
                      <wp:effectExtent l="0" t="0" r="0" b="0"/>
                      <wp:wrapNone/>
                      <wp:docPr id="355" name="Frame35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7010" cy="175260"/>
                      <wp:effectExtent l="0" t="0" r="0" b="0"/>
                      <wp:wrapNone/>
                      <wp:docPr id="356" name="Frame3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33985" cy="175260"/>
                      <wp:effectExtent l="0" t="0" r="0" b="0"/>
                      <wp:wrapNone/>
                      <wp:docPr id="357" name="Frame3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438785" cy="175260"/>
                      <wp:effectExtent l="0" t="0" r="0" b="0"/>
                      <wp:wrapNone/>
                      <wp:docPr id="358" name="Frame35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07010" cy="175260"/>
                      <wp:effectExtent l="0" t="0" r="0" b="0"/>
                      <wp:wrapNone/>
                      <wp:docPr id="359" name="Frame3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33985" cy="175260"/>
                      <wp:effectExtent l="0" t="0" r="0" b="0"/>
                      <wp:wrapNone/>
                      <wp:docPr id="360" name="Frame3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372110" cy="175260"/>
                      <wp:effectExtent l="0" t="0" r="0" b="0"/>
                      <wp:wrapNone/>
                      <wp:docPr id="361" name="Frame36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9215" cy="175260"/>
                      <wp:effectExtent l="0" t="0" r="0" b="0"/>
                      <wp:wrapNone/>
                      <wp:docPr id="362" name="Frame3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372110" cy="175260"/>
                      <wp:effectExtent l="0" t="0" r="0" b="0"/>
                      <wp:wrapNone/>
                      <wp:docPr id="363" name="Frame36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0660" cy="175260"/>
                      <wp:effectExtent l="0" t="0" r="0" b="0"/>
                      <wp:wrapNone/>
                      <wp:docPr id="364" name="Frame36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948"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16" w:type="dxa"/>
            <w:tcBorders/>
            <w:vAlign w:val="center"/>
          </w:tcPr>
          <w:p>
            <w:pPr>
              <w:pStyle w:val="TableContents"/>
              <w:bidi w:val="0"/>
              <w:spacing w:before="0" w:after="0"/>
              <w:ind w:left="0" w:right="0" w:hanging="0"/>
              <w:jc w:val="left"/>
              <w:rPr/>
            </w:pPr>
            <w:r>
              <w:rPr/>
              <w:t> </w:t>
            </w:r>
          </w:p>
        </w:tc>
      </w:tr>
      <w:tr>
        <w:trPr/>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49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(176.2)</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w:t>
            </w:r>
          </w:p>
        </w:tc>
        <w:tc>
          <w:tcPr>
            <w:tcW w:w="109"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revenue decreased $38.2 million, or 19.5 percent, during the three months ended September 30, 2023, compared with the three months ended September 30, 2022. The decrease was primarily due to lower revenue in transportation brokerage.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operating income decreased $6.2 million, or 30.8 percent, during the three months ended September 30, 2023, compared with the three months ended September 30, 2022. The decrease was primarily due to a lower contribution from transportation brokerage.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Logistics Operating Results: Nine months ended September 30, 2023 compared with 2022:</w:t>
      </w:r>
    </w:p>
    <w:p>
      <w:pPr>
        <w:pStyle w:val="TextBody"/>
        <w:bidi w:val="0"/>
        <w:spacing w:before="0" w:after="0"/>
        <w:ind w:left="0" w:right="0" w:hanging="0"/>
        <w:jc w:val="left"/>
        <w:rPr/>
      </w:pPr>
      <w:r>
        <w:rPr/>
        <w:t>​</w:t>
      </w:r>
    </w:p>
    <w:tbl>
      <w:tblPr>
        <w:tblW w:w="7358" w:type="dxa"/>
        <w:jc w:val="left"/>
        <w:tblInd w:w="0" w:type="dxa"/>
        <w:tblLayout w:type="fixed"/>
        <w:tblCellMar>
          <w:top w:w="0" w:type="dxa"/>
          <w:left w:w="0" w:type="dxa"/>
          <w:bottom w:w="0" w:type="dxa"/>
          <w:right w:w="0" w:type="dxa"/>
        </w:tblCellMar>
      </w:tblPr>
      <w:tblGrid>
        <w:gridCol w:w="2506"/>
        <w:gridCol w:w="326"/>
        <w:gridCol w:w="211"/>
        <w:gridCol w:w="691"/>
        <w:gridCol w:w="326"/>
        <w:gridCol w:w="211"/>
        <w:gridCol w:w="691"/>
        <w:gridCol w:w="326"/>
        <w:gridCol w:w="211"/>
        <w:gridCol w:w="691"/>
        <w:gridCol w:w="266"/>
        <w:gridCol w:w="586"/>
        <w:gridCol w:w="31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591310" cy="175260"/>
                      <wp:effectExtent l="0" t="0" r="0" b="0"/>
                      <wp:wrapNone/>
                      <wp:docPr id="365" name="Frame365"/>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07010" cy="175260"/>
                      <wp:effectExtent l="0" t="0" r="0" b="0"/>
                      <wp:wrapNone/>
                      <wp:docPr id="366" name="Frame3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33985" cy="175260"/>
                      <wp:effectExtent l="0" t="0" r="0" b="0"/>
                      <wp:wrapNone/>
                      <wp:docPr id="367" name="Frame3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438785" cy="175260"/>
                      <wp:effectExtent l="0" t="0" r="0" b="0"/>
                      <wp:wrapNone/>
                      <wp:docPr id="368" name="Frame36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07010" cy="175260"/>
                      <wp:effectExtent l="0" t="0" r="0" b="0"/>
                      <wp:wrapNone/>
                      <wp:docPr id="369" name="Frame3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33985" cy="175260"/>
                      <wp:effectExtent l="0" t="0" r="0" b="0"/>
                      <wp:wrapNone/>
                      <wp:docPr id="370" name="Frame3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438785" cy="175260"/>
                      <wp:effectExtent l="0" t="0" r="0" b="0"/>
                      <wp:wrapNone/>
                      <wp:docPr id="371" name="Frame37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07010" cy="175260"/>
                      <wp:effectExtent l="0" t="0" r="0" b="0"/>
                      <wp:wrapNone/>
                      <wp:docPr id="372" name="Frame3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33985" cy="175260"/>
                      <wp:effectExtent l="0" t="0" r="0" b="0"/>
                      <wp:wrapNone/>
                      <wp:docPr id="373" name="Frame3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438785" cy="175260"/>
                      <wp:effectExtent l="0" t="0" r="0" b="0"/>
                      <wp:wrapNone/>
                      <wp:docPr id="374" name="Frame37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68910" cy="175260"/>
                      <wp:effectExtent l="0" t="0" r="0" b="0"/>
                      <wp:wrapNone/>
                      <wp:docPr id="375" name="Frame37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372110" cy="175260"/>
                      <wp:effectExtent l="0" t="0" r="0" b="0"/>
                      <wp:wrapNone/>
                      <wp:docPr id="376" name="Frame37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0660" cy="175260"/>
                      <wp:effectExtent l="0" t="0" r="0" b="0"/>
                      <wp:wrapNone/>
                      <wp:docPr id="377" name="Frame37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1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16" w:type="dxa"/>
            <w:tcBorders/>
            <w:vAlign w:val="center"/>
          </w:tcPr>
          <w:p>
            <w:pPr>
              <w:pStyle w:val="TableContents"/>
              <w:bidi w:val="0"/>
              <w:spacing w:before="0" w:after="0"/>
              <w:ind w:left="0" w:right="0" w:hanging="0"/>
              <w:jc w:val="left"/>
              <w:rPr/>
            </w:pPr>
            <w:r>
              <w:rPr/>
              <w:t> </w:t>
            </w:r>
          </w:p>
        </w:tc>
      </w:tr>
      <w:tr>
        <w:trPr/>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7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(161.4)</w:t>
            </w:r>
          </w:p>
        </w:tc>
        <w:tc>
          <w:tcPr>
            <w:tcW w:w="26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(570.2)</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w:t>
            </w:r>
          </w:p>
        </w:tc>
        <w:tc>
          <w:tcPr>
            <w:tcW w:w="26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2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revenue decreased $161.4 million, or 25.6 percent, during the nine months ended September 30, 2023, compared with the nine months ended September 30, 2022. The decrease was primarily due to lower revenue in transportation brokerage and supply chain management.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operating income decreased $20.5 million, or 34.4 percent, during the nine months ended September 30, 2023, compared with the nine months ended September 30, 2022. The decrease was primarily due to lower contributions from transportation brokerage and supply chain management.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Sources of liquidity available to the Company as of September 30, 2023, compared to December 31, 2022 were as follows: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Cash, Cash Equivalents, Restricted Cash and Accounts Receivable:</w:t>
      </w:r>
      <w:r>
        <w:rPr>
          <w:rFonts w:ascii="Times New Roman;Times;serif" w:hAnsi="Times New Roman;Times;serif"/>
          <w:sz w:val="20"/>
        </w:rPr>
        <w:t xml:space="preserve"> Cash and cash equivalents, restricted cash and accounts receivable as of September 30, 2023, compared to December 31, 2022 were as follows:</w:t>
      </w:r>
    </w:p>
    <w:p>
      <w:pPr>
        <w:pStyle w:val="TextBody"/>
        <w:bidi w:val="0"/>
        <w:spacing w:before="0" w:after="0"/>
        <w:ind w:left="0" w:right="0" w:hanging="0"/>
        <w:jc w:val="left"/>
        <w:rPr/>
      </w:pPr>
      <w:r>
        <w:rPr/>
        <w:t>​</w:t>
      </w:r>
    </w:p>
    <w:tbl>
      <w:tblPr>
        <w:tblW w:w="6677" w:type="dxa"/>
        <w:jc w:val="left"/>
        <w:tblInd w:w="0" w:type="dxa"/>
        <w:tblLayout w:type="fixed"/>
        <w:tblCellMar>
          <w:top w:w="0" w:type="dxa"/>
          <w:left w:w="0" w:type="dxa"/>
          <w:bottom w:w="0" w:type="dxa"/>
          <w:right w:w="0" w:type="dxa"/>
        </w:tblCellMar>
      </w:tblPr>
      <w:tblGrid>
        <w:gridCol w:w="2386"/>
        <w:gridCol w:w="326"/>
        <w:gridCol w:w="319"/>
        <w:gridCol w:w="866"/>
        <w:gridCol w:w="326"/>
        <w:gridCol w:w="307"/>
        <w:gridCol w:w="833"/>
        <w:gridCol w:w="326"/>
        <w:gridCol w:w="211"/>
        <w:gridCol w:w="586"/>
        <w:gridCol w:w="191"/>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515110" cy="175260"/>
                      <wp:effectExtent l="0" t="0" r="0" b="0"/>
                      <wp:wrapNone/>
                      <wp:docPr id="378" name="Frame378"/>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7010" cy="175260"/>
                      <wp:effectExtent l="0" t="0" r="0" b="0"/>
                      <wp:wrapNone/>
                      <wp:docPr id="379" name="Frame3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02565" cy="175260"/>
                      <wp:effectExtent l="0" t="0" r="0" b="0"/>
                      <wp:wrapNone/>
                      <wp:docPr id="380" name="Frame380"/>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549910" cy="175260"/>
                      <wp:effectExtent l="0" t="0" r="0" b="0"/>
                      <wp:wrapNone/>
                      <wp:docPr id="381" name="Frame381"/>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7010" cy="175260"/>
                      <wp:effectExtent l="0" t="0" r="0" b="0"/>
                      <wp:wrapNone/>
                      <wp:docPr id="382" name="Frame3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94945" cy="175260"/>
                      <wp:effectExtent l="0" t="0" r="0" b="0"/>
                      <wp:wrapNone/>
                      <wp:docPr id="383" name="Frame383"/>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528955" cy="175260"/>
                      <wp:effectExtent l="0" t="0" r="0" b="0"/>
                      <wp:wrapNone/>
                      <wp:docPr id="384" name="Frame384"/>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85" name="Frame3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33985" cy="175260"/>
                      <wp:effectExtent l="0" t="0" r="0" b="0"/>
                      <wp:wrapNone/>
                      <wp:docPr id="386" name="Frame3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372110" cy="175260"/>
                      <wp:effectExtent l="0" t="0" r="0" b="0"/>
                      <wp:wrapNone/>
                      <wp:docPr id="387" name="Frame38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21285" cy="175260"/>
                      <wp:effectExtent l="0" t="0" r="0" b="0"/>
                      <wp:wrapNone/>
                      <wp:docPr id="388" name="Frame38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23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91" w:type="dxa"/>
            <w:tcBorders/>
            <w:vAlign w:val="center"/>
          </w:tcPr>
          <w:p>
            <w:pPr>
              <w:pStyle w:val="TableContents"/>
              <w:bidi w:val="0"/>
              <w:spacing w:before="0" w:after="0"/>
              <w:ind w:left="0" w:right="0" w:hanging="0"/>
              <w:jc w:val="left"/>
              <w:rPr/>
            </w:pPr>
            <w:r>
              <w:rPr/>
              <w:t> </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 (1)</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305.2</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w:t>
            </w:r>
          </w:p>
        </w:tc>
        <w:tc>
          <w:tcPr>
            <w:tcW w:w="191"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As of September 30, 2023 and December 31, 2022, $213.2 million and $9.9 million of eligible accounts receivable were assigned to the CCF, respectively.</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the Company’s cash, cash equivalents and restricted cash for the nine months ended September 30, 2023, compared to the nine months ended September 30, 2022 were as follows:</w:t>
      </w:r>
    </w:p>
    <w:p>
      <w:pPr>
        <w:pStyle w:val="TextBody"/>
        <w:bidi w:val="0"/>
        <w:spacing w:before="0" w:after="0"/>
        <w:ind w:left="0" w:right="0" w:hanging="0"/>
        <w:jc w:val="left"/>
        <w:rPr/>
      </w:pPr>
      <w:r>
        <w:rPr/>
        <w:t>​</w:t>
      </w:r>
    </w:p>
    <w:tbl>
      <w:tblPr>
        <w:tblW w:w="9280" w:type="dxa"/>
        <w:jc w:val="left"/>
        <w:tblInd w:w="0" w:type="dxa"/>
        <w:tblLayout w:type="fixed"/>
        <w:tblCellMar>
          <w:top w:w="0" w:type="dxa"/>
          <w:left w:w="0" w:type="dxa"/>
          <w:bottom w:w="0" w:type="dxa"/>
          <w:right w:w="0" w:type="dxa"/>
        </w:tblCellMar>
      </w:tblPr>
      <w:tblGrid>
        <w:gridCol w:w="5521"/>
        <w:gridCol w:w="326"/>
        <w:gridCol w:w="211"/>
        <w:gridCol w:w="691"/>
        <w:gridCol w:w="326"/>
        <w:gridCol w:w="211"/>
        <w:gridCol w:w="721"/>
        <w:gridCol w:w="326"/>
        <w:gridCol w:w="211"/>
        <w:gridCol w:w="736"/>
      </w:tblGrid>
      <w:tr>
        <w:trPr/>
        <w:tc>
          <w:tcPr>
            <w:tcW w:w="5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3505835" cy="175260"/>
                      <wp:effectExtent l="0" t="0" r="0" b="0"/>
                      <wp:wrapNone/>
                      <wp:docPr id="389" name="Frame389"/>
                      <a:graphic xmlns:a="http://schemas.openxmlformats.org/drawingml/2006/main">
                        <a:graphicData uri="http://schemas.microsoft.com/office/word/2010/wordprocessingShape">
                          <wps:wsp>
                            <wps:cNvSpPr txBox="1"/>
                            <wps:spPr>
                              <a:xfrm>
                                <a:off x="0" y="0"/>
                                <a:ext cx="3505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7010" cy="175260"/>
                      <wp:effectExtent l="0" t="0" r="0" b="0"/>
                      <wp:wrapNone/>
                      <wp:docPr id="390" name="Frame3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33985" cy="175260"/>
                      <wp:effectExtent l="0" t="0" r="0" b="0"/>
                      <wp:wrapNone/>
                      <wp:docPr id="391" name="Frame3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438785" cy="175260"/>
                      <wp:effectExtent l="0" t="0" r="0" b="0"/>
                      <wp:wrapNone/>
                      <wp:docPr id="392" name="Frame39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07010" cy="175260"/>
                      <wp:effectExtent l="0" t="0" r="0" b="0"/>
                      <wp:wrapNone/>
                      <wp:docPr id="393" name="Frame3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33985" cy="175260"/>
                      <wp:effectExtent l="0" t="0" r="0" b="0"/>
                      <wp:wrapNone/>
                      <wp:docPr id="394" name="Frame3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457835" cy="175260"/>
                      <wp:effectExtent l="0" t="0" r="0" b="0"/>
                      <wp:wrapNone/>
                      <wp:docPr id="395" name="Frame39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96" name="Frame3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33985" cy="175260"/>
                      <wp:effectExtent l="0" t="0" r="0" b="0"/>
                      <wp:wrapNone/>
                      <wp:docPr id="397" name="Frame3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467360" cy="175260"/>
                      <wp:effectExtent l="0" t="0" r="0" b="0"/>
                      <wp:wrapNone/>
                      <wp:docPr id="398" name="Frame39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3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5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provided by operating activities (1)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(703.4)</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used in investing activities (2)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422.2</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used in financing activities (3)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228.9</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decrease in cash,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(52.3)</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cash equivalents and restricted cash, beginning of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(34.0)</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cash equivalents and restricted cash, end of the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160.4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246.7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(86.3)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(1) Changes in net cash provided by operating activities: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net cash provided by operating activities for the nine months ended September 30, 2023, compared to the nine months ended September 30, 2022, were due to the following:</w:t>
      </w:r>
    </w:p>
    <w:p>
      <w:pPr>
        <w:pStyle w:val="TextBody"/>
        <w:bidi w:val="0"/>
        <w:spacing w:before="0" w:after="0"/>
        <w:ind w:left="0" w:right="0" w:hanging="0"/>
        <w:jc w:val="left"/>
        <w:rPr/>
      </w:pPr>
      <w:r>
        <w:rPr/>
        <w:t>​</w:t>
      </w:r>
    </w:p>
    <w:tbl>
      <w:tblPr>
        <w:tblW w:w="6194" w:type="dxa"/>
        <w:jc w:val="left"/>
        <w:tblInd w:w="0" w:type="dxa"/>
        <w:tblLayout w:type="fixed"/>
        <w:tblCellMar>
          <w:top w:w="0" w:type="dxa"/>
          <w:left w:w="0" w:type="dxa"/>
          <w:bottom w:w="0" w:type="dxa"/>
          <w:right w:w="0" w:type="dxa"/>
        </w:tblCellMar>
      </w:tblPr>
      <w:tblGrid>
        <w:gridCol w:w="4921"/>
        <w:gridCol w:w="326"/>
        <w:gridCol w:w="211"/>
        <w:gridCol w:w="736"/>
      </w:tblGrid>
      <w:tr>
        <w:trPr/>
        <w:tc>
          <w:tcPr>
            <w:tcW w:w="4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3124835" cy="175260"/>
                      <wp:effectExtent l="0" t="0" r="0" b="0"/>
                      <wp:wrapNone/>
                      <wp:docPr id="399" name="Frame399"/>
                      <a:graphic xmlns:a="http://schemas.openxmlformats.org/drawingml/2006/main">
                        <a:graphicData uri="http://schemas.microsoft.com/office/word/2010/wordprocessingShape">
                          <wps:wsp>
                            <wps:cNvSpPr txBox="1"/>
                            <wps:spPr>
                              <a:xfrm>
                                <a:off x="0" y="0"/>
                                <a:ext cx="312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07010" cy="175260"/>
                      <wp:effectExtent l="0" t="0" r="0" b="0"/>
                      <wp:wrapNone/>
                      <wp:docPr id="400" name="Frame4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33985" cy="175260"/>
                      <wp:effectExtent l="0" t="0" r="0" b="0"/>
                      <wp:wrapNone/>
                      <wp:docPr id="401" name="Frame4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467360" cy="175260"/>
                      <wp:effectExtent l="0" t="0" r="0" b="0"/>
                      <wp:wrapNone/>
                      <wp:docPr id="402" name="Frame40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(751.2)</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non-cash related changes,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SSAT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from SSAT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176.0</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accruals and 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amortization of operating lease right of 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dry-docking payments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(703.4)</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was $234.7 million for the nine months ended September 30, 2023, compared to $985.9 million for the nine months ended September 30, 2022. Loss from SSAT was $1.9 million for the nine months ended September 30, 2023, compared to income of $82.1 million for the nine months ended September 30, 2022. The decrease in income from SSAT was due to lower operating profits generated by SSAT during the nine months ended September 30, 2023 as compared to the same prior year period. There were no distributions from SSAT during the nine months ended September 30, 2023, compared to $40.3 million of cash distributions received from SSAT during the nine months ended September 30, 2022. Cash distributions from SSAT are dependent on the level of cash available for distribution after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SSAT’s operational and capital needs. Changes in accounts receivable were primarily due to lower accounts receivable outstanding as of September 30, 2023, as compared to the same prior year period, and also due to the timing of collections associated with those receivables. Changes in prepaid expenses and other assets were primarily due to a decrease in prepaid income taxes for the nine months ended September 30, 2023 as compared to the same prior year period. Changes in accounts payable, accruals and other liabilities were due to the timing of payments associated with those liabilities. Changes in operating lease liabilities were primarily due to new operating lease additions and renewals, offset by operating lease payments and terminations during the nine months ended September 30, 2023, compared to the same prior year period. Deferred dry-docking payments for the nine months ended September 30, 2023 were $17.3 million, compared to $16.7 million for the nine months ended September 30, 2022.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(2) Changes in net cash used in investing activities: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net cash used in investing activities for the nine months ended September 30, 2023, compared to the nine months ended September 30, 2022, were due to the following:</w:t>
      </w:r>
    </w:p>
    <w:p>
      <w:pPr>
        <w:pStyle w:val="TextBody"/>
        <w:bidi w:val="0"/>
        <w:spacing w:before="0" w:after="0"/>
        <w:ind w:left="0" w:right="0" w:hanging="0"/>
        <w:jc w:val="left"/>
        <w:rPr/>
      </w:pPr>
      <w:r>
        <w:rPr/>
        <w:t>​</w:t>
      </w:r>
    </w:p>
    <w:tbl>
      <w:tblPr>
        <w:tblW w:w="6599" w:type="dxa"/>
        <w:jc w:val="left"/>
        <w:tblInd w:w="0" w:type="dxa"/>
        <w:tblLayout w:type="fixed"/>
        <w:tblCellMar>
          <w:top w:w="0" w:type="dxa"/>
          <w:left w:w="0" w:type="dxa"/>
          <w:bottom w:w="0" w:type="dxa"/>
          <w:right w:w="0" w:type="dxa"/>
        </w:tblCellMar>
      </w:tblPr>
      <w:tblGrid>
        <w:gridCol w:w="5386"/>
        <w:gridCol w:w="326"/>
        <w:gridCol w:w="211"/>
        <w:gridCol w:w="676"/>
      </w:tblGrid>
      <w:tr>
        <w:trPr/>
        <w:tc>
          <w:tcPr>
            <w:tcW w:w="5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3420110" cy="175260"/>
                      <wp:effectExtent l="0" t="0" r="0" b="0"/>
                      <wp:wrapNone/>
                      <wp:docPr id="403" name="Frame403"/>
                      <a:graphic xmlns:a="http://schemas.openxmlformats.org/drawingml/2006/main">
                        <a:graphicData uri="http://schemas.microsoft.com/office/word/2010/wordprocessingShape">
                          <wps:wsp>
                            <wps:cNvSpPr txBox="1"/>
                            <wps:spPr>
                              <a:xfrm>
                                <a:off x="0" y="0"/>
                                <a:ext cx="3420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07010" cy="175260"/>
                      <wp:effectExtent l="0" t="0" r="0" b="0"/>
                      <wp:wrapNone/>
                      <wp:docPr id="404" name="Frame4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33985" cy="175260"/>
                      <wp:effectExtent l="0" t="0" r="0" b="0"/>
                      <wp:wrapNone/>
                      <wp:docPr id="405" name="Frame4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429260" cy="175260"/>
                      <wp:effectExtent l="0" t="0" r="0" b="0"/>
                      <wp:wrapNone/>
                      <wp:docPr id="406" name="Frame40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deposits and interest into the CCF</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458.9</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Withdrawals from CCF</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for intangible asset acquisition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vessel construction expenditures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capital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disposal of property and equipment, net, and 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422.2</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457" w:name="_Hlk140611037"/>
      <w:bookmarkEnd w:id="1457"/>
      <w:r>
        <w:rPr>
          <w:rFonts w:ascii="Times New Roman;Times;serif" w:hAnsi="Times New Roman;Times;serif"/>
          <w:sz w:val="20"/>
        </w:rPr>
        <w:t xml:space="preserve">The Company deposited $100.0 million of cash and received $20.8 million of interest in the CCF, and made $49.9 million of qualifying withdrawals from the CCF during the nine months ended September 30, 2023, compared to $579.7 million of cash deposited into the CCF and $14.7 million of qualifying withdrawals from the CCF during the nine months ended September 30, 2022. There was no interest deposited into the CCF during the nine months ended September 30, 2022. Cash and interest deposits into the CCF are intended to fund milestone payments for the construction of three new Jones Act vessels. During the nine months ended September 30, 2023, the Company paid $12.4 million related to an intangible asset acquisition, compared to $3.0 million paid for intangible asset acquisition during the nine months ended September 30, 2022. Capitalized vessel construction expenditures (including capitalized interest) were $52.1 million for the nine months ended September 30, 2023, compared to $11.9 million for the nine months ended September 30, 2022. Capitalized vessel construction expenditures relate to milestone payments for the construction of three new Jones Act vessels. Other capital expenditures payments were $135.4 million for the nine months ended September 30, 2023, compared to $113.4 million for the nine months ended September 30, 2022. Other capital expenditures primarily relate to vessel related expenditures, the acquisition of containers, chassis and other equipment, and expenditures on other capital related projects. Vessel related expenditures includes payments for the installation of tanks, piping and cryogenic equipment on </w:t>
      </w:r>
      <w:r>
        <w:rPr>
          <w:rFonts w:ascii="Times New Roman;Times;serif" w:hAnsi="Times New Roman;Times;serif"/>
          <w:i/>
          <w:sz w:val="20"/>
        </w:rPr>
        <w:t>Daniel K. Inouye</w:t>
      </w:r>
      <w:r>
        <w:rPr>
          <w:rFonts w:ascii="Times New Roman;Times;serif" w:hAnsi="Times New Roman;Times;serif"/>
          <w:sz w:val="20"/>
        </w:rPr>
        <w:t xml:space="preserve"> during the nine months ended September 30,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(3) Changes in net cash used in financing activities: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net cash used in financing activities for the nine months ended September 30, 2023, compared to the nine months ended September 30, 2022, were due to the following:</w:t>
      </w:r>
    </w:p>
    <w:p>
      <w:pPr>
        <w:pStyle w:val="TextBody"/>
        <w:bidi w:val="0"/>
        <w:spacing w:before="0" w:after="0"/>
        <w:ind w:left="0" w:right="0" w:hanging="0"/>
        <w:jc w:val="left"/>
        <w:rPr/>
      </w:pPr>
      <w:r>
        <w:rPr/>
        <w:t>​</w:t>
      </w:r>
    </w:p>
    <w:tbl>
      <w:tblPr>
        <w:tblW w:w="7154" w:type="dxa"/>
        <w:jc w:val="left"/>
        <w:tblInd w:w="0" w:type="dxa"/>
        <w:tblLayout w:type="fixed"/>
        <w:tblCellMar>
          <w:top w:w="0" w:type="dxa"/>
          <w:left w:w="0" w:type="dxa"/>
          <w:bottom w:w="0" w:type="dxa"/>
          <w:right w:w="0" w:type="dxa"/>
        </w:tblCellMar>
      </w:tblPr>
      <w:tblGrid>
        <w:gridCol w:w="5941"/>
        <w:gridCol w:w="326"/>
        <w:gridCol w:w="211"/>
        <w:gridCol w:w="676"/>
      </w:tblGrid>
      <w:tr>
        <w:trPr/>
        <w:tc>
          <w:tcPr>
            <w:tcW w:w="5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3772535" cy="175260"/>
                      <wp:effectExtent l="0" t="0" r="0" b="0"/>
                      <wp:wrapNone/>
                      <wp:docPr id="407" name="Frame407"/>
                      <a:graphic xmlns:a="http://schemas.openxmlformats.org/drawingml/2006/main">
                        <a:graphicData uri="http://schemas.microsoft.com/office/word/2010/wordprocessingShape">
                          <wps:wsp>
                            <wps:cNvSpPr txBox="1"/>
                            <wps:spPr>
                              <a:xfrm>
                                <a:off x="0" y="0"/>
                                <a:ext cx="3772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07010" cy="175260"/>
                      <wp:effectExtent l="0" t="0" r="0" b="0"/>
                      <wp:wrapNone/>
                      <wp:docPr id="408" name="Frame4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33985" cy="175260"/>
                      <wp:effectExtent l="0" t="0" r="0" b="0"/>
                      <wp:wrapNone/>
                      <wp:docPr id="409" name="Frame4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429260" cy="175260"/>
                      <wp:effectExtent l="0" t="0" r="0" b="0"/>
                      <wp:wrapNone/>
                      <wp:docPr id="410" name="Frame41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Matson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188.7</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Repayments of fixed interest debt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Withholding tax related to net share settlements of restricted stock units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228.9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nine months ended September 30, 2023, the Company paid $108.2 million to repurchase Matson common stock, compared to $296.9 million during the nine months ended September 30, 2022. During the nine months ended September 30, 2023, the Company prepaid $26.4 million of Title XI debt and paid $40.8 million in scheduled fixed debt payments, compared to $50.4 million of prepaid Private Placement Term Loans and $46.8 million in scheduled fixed debt payments during the nine months ended September 30, 2022. During the nine months ended September 30, 2023, the Company paid $12.5 million in payroll taxes related to vested restricted stock units, compared to $19.6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nine months ended September 30, 2022. The decrease in withholding tax was primarily due to the decrease of the Company’s stock price as of the vesting date of the restricted stock units. During the nine months ended September 30, 2023, the Company paid $33.8 million in dividends, compared to $36.9 million during the nine months ended September 30, 2022. The decrease in dividend payments was due to the reduction in common stock outstanding, offset by an increase in dividends declared per share of common stock by the Company.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Capital Construction Fund: </w:t>
      </w:r>
      <w:r>
        <w:rPr>
          <w:rFonts w:ascii="Times New Roman;Times;serif" w:hAnsi="Times New Roman;Times;serif"/>
          <w:sz w:val="20"/>
        </w:rPr>
        <w:t>Cash on deposit and assigned accounts receivables in the Capital Construction Fund as of September 30, 2023 and December 31, 2022 was as follows:</w:t>
      </w:r>
    </w:p>
    <w:tbl>
      <w:tblPr>
        <w:tblW w:w="5618" w:type="dxa"/>
        <w:jc w:val="left"/>
        <w:tblInd w:w="0" w:type="dxa"/>
        <w:tblLayout w:type="fixed"/>
        <w:tblCellMar>
          <w:top w:w="0" w:type="dxa"/>
          <w:left w:w="0" w:type="dxa"/>
          <w:bottom w:w="0" w:type="dxa"/>
          <w:right w:w="0" w:type="dxa"/>
        </w:tblCellMar>
      </w:tblPr>
      <w:tblGrid>
        <w:gridCol w:w="2596"/>
        <w:gridCol w:w="326"/>
        <w:gridCol w:w="319"/>
        <w:gridCol w:w="866"/>
        <w:gridCol w:w="326"/>
        <w:gridCol w:w="301"/>
        <w:gridCol w:w="884"/>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648460" cy="175260"/>
                      <wp:effectExtent l="0" t="0" r="0" b="0"/>
                      <wp:wrapNone/>
                      <wp:docPr id="411" name="Frame411"/>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07010" cy="175260"/>
                      <wp:effectExtent l="0" t="0" r="0" b="0"/>
                      <wp:wrapNone/>
                      <wp:docPr id="412" name="Frame4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02565" cy="175260"/>
                      <wp:effectExtent l="0" t="0" r="0" b="0"/>
                      <wp:wrapNone/>
                      <wp:docPr id="413" name="Frame413"/>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549910" cy="175260"/>
                      <wp:effectExtent l="0" t="0" r="0" b="0"/>
                      <wp:wrapNone/>
                      <wp:docPr id="414" name="Frame414"/>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415" name="Frame4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91135" cy="175260"/>
                      <wp:effectExtent l="0" t="0" r="0" b="0"/>
                      <wp:wrapNone/>
                      <wp:docPr id="416" name="Frame416"/>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561340" cy="175260"/>
                      <wp:effectExtent l="0" t="0" r="0" b="0"/>
                      <wp:wrapNone/>
                      <wp:docPr id="417" name="Frame417"/>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5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Capital Construction Fund: </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center"/>
              <w:rPr/>
            </w:pPr>
            <w:r>
              <w:rPr/>
              <w:t>​</w:t>
            </w:r>
          </w:p>
        </w:tc>
        <w:tc>
          <w:tcPr>
            <w:tcW w:w="86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center"/>
              <w:rPr/>
            </w:pPr>
            <w:r>
              <w:rPr/>
              <w:t>​</w:t>
            </w:r>
          </w:p>
        </w:tc>
        <w:tc>
          <w:tcPr>
            <w:tcW w:w="884" w:type="dxa"/>
            <w:tcBorders/>
            <w:shd w:fill="CCEEFF" w:val="clear"/>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on deposit</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591.6</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518.2</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Assigned accounts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213.2</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nine months ended September 30, 2023, the Company deposited $100.0 million of cash and accumulated $23.3 million of interest into the CCF. Cash on deposit in the CCF is invested in a U.S. Treasury obligations fund with daily liquidity. At September 30, 2023, securities held within this fund had a weighted average life of 44 days. Cash on deposit in the CCF is classified as a long-term asset on the Company’s Condensed Consolidated Balance Sheets, as the Company intends to use withdrawals to fund qualified milestone progress payments for the construction of three new Jones Act vessels.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nine months ended September 30, 2023, the Company pledged $200.0 million of accounts receivable into the CCF. Assigned accounts receivable in the CCF are classified as part of accounts receivable on the Company’s Condensed Consolidated Balance sheets due to the nature of the assignment.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Debt:</w:t>
      </w:r>
      <w:r>
        <w:rPr>
          <w:rFonts w:ascii="Times New Roman;Times;serif" w:hAnsi="Times New Roman;Times;serif"/>
          <w:sz w:val="20"/>
        </w:rPr>
        <w:t xml:space="preserve"> Total Debt as of September 30, 2023 and December 31, 2022 is as follows:</w:t>
      </w:r>
    </w:p>
    <w:p>
      <w:pPr>
        <w:pStyle w:val="TextBody"/>
        <w:bidi w:val="0"/>
        <w:spacing w:before="0" w:after="0"/>
        <w:ind w:left="0" w:right="0" w:hanging="0"/>
        <w:jc w:val="left"/>
        <w:rPr/>
      </w:pPr>
      <w:r>
        <w:rPr/>
        <w:t>​</w:t>
      </w:r>
    </w:p>
    <w:tbl>
      <w:tblPr>
        <w:tblW w:w="5239" w:type="dxa"/>
        <w:jc w:val="left"/>
        <w:tblInd w:w="0" w:type="dxa"/>
        <w:tblLayout w:type="fixed"/>
        <w:tblCellMar>
          <w:top w:w="0" w:type="dxa"/>
          <w:left w:w="0" w:type="dxa"/>
          <w:bottom w:w="0" w:type="dxa"/>
          <w:right w:w="0" w:type="dxa"/>
        </w:tblCellMar>
      </w:tblPr>
      <w:tblGrid>
        <w:gridCol w:w="1636"/>
        <w:gridCol w:w="109"/>
        <w:gridCol w:w="319"/>
        <w:gridCol w:w="866"/>
        <w:gridCol w:w="109"/>
        <w:gridCol w:w="307"/>
        <w:gridCol w:w="833"/>
        <w:gridCol w:w="109"/>
        <w:gridCol w:w="211"/>
        <w:gridCol w:w="586"/>
        <w:gridCol w:w="154"/>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038860" cy="175260"/>
                      <wp:effectExtent l="0" t="0" r="0" b="0"/>
                      <wp:wrapNone/>
                      <wp:docPr id="418" name="Frame418"/>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9215" cy="175260"/>
                      <wp:effectExtent l="0" t="0" r="0" b="0"/>
                      <wp:wrapNone/>
                      <wp:docPr id="419" name="Frame4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2565" cy="175260"/>
                      <wp:effectExtent l="0" t="0" r="0" b="0"/>
                      <wp:wrapNone/>
                      <wp:docPr id="420" name="Frame420"/>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549910" cy="175260"/>
                      <wp:effectExtent l="0" t="0" r="0" b="0"/>
                      <wp:wrapNone/>
                      <wp:docPr id="421" name="Frame421"/>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9215" cy="175260"/>
                      <wp:effectExtent l="0" t="0" r="0" b="0"/>
                      <wp:wrapNone/>
                      <wp:docPr id="422" name="Frame4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94945" cy="175260"/>
                      <wp:effectExtent l="0" t="0" r="0" b="0"/>
                      <wp:wrapNone/>
                      <wp:docPr id="423" name="Frame423"/>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528955" cy="175260"/>
                      <wp:effectExtent l="0" t="0" r="0" b="0"/>
                      <wp:wrapNone/>
                      <wp:docPr id="424" name="Frame424"/>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9215" cy="175260"/>
                      <wp:effectExtent l="0" t="0" r="0" b="0"/>
                      <wp:wrapNone/>
                      <wp:docPr id="425" name="Frame4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33985" cy="175260"/>
                      <wp:effectExtent l="0" t="0" r="0" b="0"/>
                      <wp:wrapNone/>
                      <wp:docPr id="426" name="Frame4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372110" cy="175260"/>
                      <wp:effectExtent l="0" t="0" r="0" b="0"/>
                      <wp:wrapNone/>
                      <wp:docPr id="427" name="Frame42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97790" cy="175260"/>
                      <wp:effectExtent l="0" t="0" r="0" b="0"/>
                      <wp:wrapNone/>
                      <wp:docPr id="428" name="Frame42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09"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6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54" w:type="dxa"/>
            <w:tcBorders/>
            <w:vAlign w:val="center"/>
          </w:tcPr>
          <w:p>
            <w:pPr>
              <w:pStyle w:val="TableContents"/>
              <w:bidi w:val="0"/>
              <w:spacing w:before="0" w:after="0"/>
              <w:ind w:left="0" w:right="0" w:hanging="0"/>
              <w:jc w:val="left"/>
              <w:rPr/>
            </w:pPr>
            <w:r>
              <w:rPr/>
              <w:t>​</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interest debt</w:t>
            </w:r>
          </w:p>
        </w:tc>
        <w:tc>
          <w:tcPr>
            <w:tcW w:w="109"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450.3</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109"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450.3</w:t>
            </w:r>
          </w:p>
        </w:tc>
        <w:tc>
          <w:tcPr>
            <w:tcW w:w="109" w:type="dxa"/>
            <w:tcBorders/>
            <w:vAlign w:val="center"/>
          </w:tcPr>
          <w:p>
            <w:pPr>
              <w:pStyle w:val="TableContents"/>
              <w:bidi w:val="0"/>
              <w:spacing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Debt decreased by $67.2 million during the nine months ended September 30, 2023. The decrease in fixed interest debt was due to prepayments of $26.4 million of outstanding principal of Title XI debt, and scheduled repayments of private placement term loans and Title XI debt during the nine months ended September 30, 2023.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of September 30, 2023, the Company had $642.6 million of remaining borrowing availability under the revolving credit facility, with a maturity date of March 31, 2026. The Company’s debt is described in Note 6 of Part I, Item 1 above.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bookmarkStart w:id="1458" w:name="_ebd7e7c6_8c50_455f_b2af_63336834b626"/>
      <w:bookmarkEnd w:id="1458"/>
      <w:r>
        <w:rPr>
          <w:rFonts w:ascii="Times New Roman;Times;serif" w:hAnsi="Times New Roman;Times;serif"/>
          <w:b/>
          <w:i/>
          <w:sz w:val="20"/>
        </w:rPr>
        <w:t>Working Capital:</w:t>
      </w:r>
      <w:r>
        <w:rPr>
          <w:rFonts w:ascii="Times New Roman;Times;serif" w:hAnsi="Times New Roman;Times;serif"/>
          <w:sz w:val="20"/>
        </w:rPr>
        <w:t xml:space="preserve"> The Company had a working capital surplus of $65.2 million and $178.0 million at September 30, 2023 and December 31, 2022, respectively. Working capital is primarily impacted by the amount of net cash provided by operating activities, the amount of capital expenditures, the timing of collections associated with accounts receivable, prepaid expenses and other assets, and by the amount and timing of payments associated with accounts payable, accruals, income taxes and other liabilities. The decrease in working capital surplus at September 30, 2023 compared to December 31, 2022 is primarily due to the decrease in cash generated from operating activities, and cash deposited into the CCF during the nine months ended September 30, 2023.</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b/>
          <w:i/>
          <w:sz w:val="20"/>
        </w:rPr>
        <w:t>Capital Expenditures:</w:t>
      </w:r>
      <w:r>
        <w:rPr>
          <w:rFonts w:ascii="Times New Roman;Times;serif" w:hAnsi="Times New Roman;Times;serif"/>
          <w:sz w:val="20"/>
        </w:rPr>
        <w:t xml:space="preserve"> There were no material changes during the quarter ended September 30, 2023 to the Company’s expected capital expenditures for the years ending December 31, 2023 and 2024 that are described in Part II, Item 7 of the Company’s </w:t>
      </w:r>
      <w:hyperlink r:id="rId3">
        <w:r>
          <w:rPr>
            <w:rStyle w:val="InternetLink"/>
            <w:rFonts w:ascii="Times New Roman;Times;serif" w:hAnsi="Times New Roman;Times;serif"/>
            <w:b w:val="false"/>
            <w:i w:val="false"/>
            <w:caps w:val="false"/>
            <w:smallCaps w:val="false"/>
            <w:sz w:val="20"/>
          </w:rPr>
          <w:t>Annual Report on Form 10-K for the year ended December 31, 2022</w:t>
        </w:r>
      </w:hyperlink>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rFonts w:ascii="Times New Roman;Times;serif" w:hAnsi="Times New Roman;Times;serif"/>
          <w:sz w:val="20"/>
        </w:rPr>
        <w:t xml:space="preserve">The following represents the estimated timing of future milestone payments under the vessel construction agreements as of September 30, 2023, as described in Part II, Item 7 of the Company’s </w:t>
      </w:r>
      <w:hyperlink r:id="rId4">
        <w:r>
          <w:rPr>
            <w:rStyle w:val="InternetLink"/>
            <w:rFonts w:ascii="Times New Roman;Times;serif" w:hAnsi="Times New Roman;Times;serif"/>
            <w:b w:val="false"/>
            <w:i w:val="false"/>
            <w:caps w:val="false"/>
            <w:smallCaps w:val="false"/>
            <w:sz w:val="20"/>
          </w:rPr>
          <w:t>Annual Report on Form 10-K for the year ended December 31, 2022</w:t>
        </w:r>
      </w:hyperlink>
      <w:r>
        <w:rPr>
          <w:rFonts w:ascii="Times New Roman;Times;serif" w:hAnsi="Times New Roman;Times;serif"/>
          <w:sz w:val="20"/>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80"/>
        <w:gridCol w:w="326"/>
        <w:gridCol w:w="481"/>
        <w:gridCol w:w="1065"/>
        <w:gridCol w:w="326"/>
        <w:gridCol w:w="449"/>
        <w:gridCol w:w="737"/>
        <w:gridCol w:w="326"/>
        <w:gridCol w:w="224"/>
        <w:gridCol w:w="606"/>
        <w:gridCol w:w="326"/>
        <w:gridCol w:w="224"/>
        <w:gridCol w:w="606"/>
        <w:gridCol w:w="326"/>
        <w:gridCol w:w="276"/>
        <w:gridCol w:w="610"/>
        <w:gridCol w:w="326"/>
        <w:gridCol w:w="211"/>
        <w:gridCol w:w="680"/>
      </w:tblGrid>
      <w:tr>
        <w:trPr/>
        <w:tc>
          <w:tcPr>
            <w:tcW w:w="20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320800" cy="175260"/>
                      <wp:effectExtent l="0" t="0" r="0" b="0"/>
                      <wp:wrapNone/>
                      <wp:docPr id="429" name="Frame429"/>
                      <a:graphic xmlns:a="http://schemas.openxmlformats.org/drawingml/2006/main">
                        <a:graphicData uri="http://schemas.microsoft.com/office/word/2010/wordprocessingShape">
                          <wps:wsp>
                            <wps:cNvSpPr txBox="1"/>
                            <wps:spPr>
                              <a:xfrm>
                                <a:off x="0" y="0"/>
                                <a:ext cx="1320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07010" cy="175260"/>
                      <wp:effectExtent l="0" t="0" r="0" b="0"/>
                      <wp:wrapNone/>
                      <wp:docPr id="430" name="Frame4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305435" cy="175260"/>
                      <wp:effectExtent l="0" t="0" r="0" b="0"/>
                      <wp:wrapNone/>
                      <wp:docPr id="431" name="Frame431"/>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76275" cy="175260"/>
                      <wp:effectExtent l="0" t="0" r="0" b="0"/>
                      <wp:wrapNone/>
                      <wp:docPr id="432" name="Frame432"/>
                      <a:graphic xmlns:a="http://schemas.openxmlformats.org/drawingml/2006/main">
                        <a:graphicData uri="http://schemas.microsoft.com/office/word/2010/wordprocessingShape">
                          <wps:wsp>
                            <wps:cNvSpPr txBox="1"/>
                            <wps:spPr>
                              <a:xfrm>
                                <a:off x="0" y="0"/>
                                <a:ext cx="676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33" name="Frame4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85115" cy="175260"/>
                      <wp:effectExtent l="0" t="0" r="0" b="0"/>
                      <wp:wrapNone/>
                      <wp:docPr id="434" name="Frame434"/>
                      <a:graphic xmlns:a="http://schemas.openxmlformats.org/drawingml/2006/main">
                        <a:graphicData uri="http://schemas.microsoft.com/office/word/2010/wordprocessingShape">
                          <wps:wsp>
                            <wps:cNvSpPr txBox="1"/>
                            <wps:spPr>
                              <a:xfrm>
                                <a:off x="0" y="0"/>
                                <a:ext cx="285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467995" cy="175260"/>
                      <wp:effectExtent l="0" t="0" r="0" b="0"/>
                      <wp:wrapNone/>
                      <wp:docPr id="435" name="Frame435"/>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07010" cy="175260"/>
                      <wp:effectExtent l="0" t="0" r="0" b="0"/>
                      <wp:wrapNone/>
                      <wp:docPr id="436" name="Frame4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42240" cy="175260"/>
                      <wp:effectExtent l="0" t="0" r="0" b="0"/>
                      <wp:wrapNone/>
                      <wp:docPr id="437" name="Frame437"/>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384810" cy="175260"/>
                      <wp:effectExtent l="0" t="0" r="0" b="0"/>
                      <wp:wrapNone/>
                      <wp:docPr id="438" name="Frame438"/>
                      <a:graphic xmlns:a="http://schemas.openxmlformats.org/drawingml/2006/main">
                        <a:graphicData uri="http://schemas.microsoft.com/office/word/2010/wordprocessingShape">
                          <wps:wsp>
                            <wps:cNvSpPr txBox="1"/>
                            <wps:spPr>
                              <a:xfrm>
                                <a:off x="0" y="0"/>
                                <a:ext cx="384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07010" cy="175260"/>
                      <wp:effectExtent l="0" t="0" r="0" b="0"/>
                      <wp:wrapNone/>
                      <wp:docPr id="439" name="Frame4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42240" cy="175260"/>
                      <wp:effectExtent l="0" t="0" r="0" b="0"/>
                      <wp:wrapNone/>
                      <wp:docPr id="440" name="Frame440"/>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384810" cy="175260"/>
                      <wp:effectExtent l="0" t="0" r="0" b="0"/>
                      <wp:wrapNone/>
                      <wp:docPr id="441" name="Frame441"/>
                      <a:graphic xmlns:a="http://schemas.openxmlformats.org/drawingml/2006/main">
                        <a:graphicData uri="http://schemas.microsoft.com/office/word/2010/wordprocessingShape">
                          <wps:wsp>
                            <wps:cNvSpPr txBox="1"/>
                            <wps:spPr>
                              <a:xfrm>
                                <a:off x="0" y="0"/>
                                <a:ext cx="384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07010" cy="175260"/>
                      <wp:effectExtent l="0" t="0" r="0" b="0"/>
                      <wp:wrapNone/>
                      <wp:docPr id="442" name="Frame4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75260" cy="175260"/>
                      <wp:effectExtent l="0" t="0" r="0" b="0"/>
                      <wp:wrapNone/>
                      <wp:docPr id="443" name="Frame443"/>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387350" cy="175260"/>
                      <wp:effectExtent l="0" t="0" r="0" b="0"/>
                      <wp:wrapNone/>
                      <wp:docPr id="444" name="Frame444"/>
                      <a:graphic xmlns:a="http://schemas.openxmlformats.org/drawingml/2006/main">
                        <a:graphicData uri="http://schemas.microsoft.com/office/word/2010/wordprocessingShape">
                          <wps:wsp>
                            <wps:cNvSpPr txBox="1"/>
                            <wps:spPr>
                              <a:xfrm>
                                <a:off x="0" y="0"/>
                                <a:ext cx="387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07010" cy="175260"/>
                      <wp:effectExtent l="0" t="0" r="0" b="0"/>
                      <wp:wrapNone/>
                      <wp:docPr id="445" name="Frame4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33985" cy="175260"/>
                      <wp:effectExtent l="0" t="0" r="0" b="0"/>
                      <wp:wrapNone/>
                      <wp:docPr id="446" name="Frame4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431800" cy="175260"/>
                      <wp:effectExtent l="0" t="0" r="0" b="0"/>
                      <wp:wrapNone/>
                      <wp:docPr id="447" name="Frame447"/>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as of</w:t>
            </w:r>
          </w:p>
        </w:tc>
        <w:tc>
          <w:tcPr>
            <w:tcW w:w="326" w:type="dxa"/>
            <w:tcBorders/>
            <w:vAlign w:val="center"/>
          </w:tcPr>
          <w:p>
            <w:pPr>
              <w:pStyle w:val="TableContents"/>
              <w:bidi w:val="0"/>
              <w:spacing w:before="0" w:after="0"/>
              <w:ind w:left="0" w:right="0" w:hanging="0"/>
              <w:jc w:val="left"/>
              <w:rPr/>
            </w:pPr>
            <w:r>
              <w:rPr/>
              <w:t>​</w:t>
            </w:r>
          </w:p>
        </w:tc>
        <w:tc>
          <w:tcPr>
            <w:tcW w:w="471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Future Milestone Payments By Period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80" w:type="dxa"/>
            <w:tcBorders/>
            <w:vAlign w:val="center"/>
          </w:tcPr>
          <w:p>
            <w:pPr>
              <w:pStyle w:val="TableContents"/>
              <w:bidi w:val="0"/>
              <w:spacing w:before="0" w:after="0"/>
              <w:ind w:left="0" w:right="0" w:hanging="0"/>
              <w:jc w:val="center"/>
              <w:rPr/>
            </w:pPr>
            <w:r>
              <w:rPr/>
              <w:t>​</w:t>
            </w:r>
          </w:p>
        </w:tc>
      </w:tr>
      <w:tr>
        <w:trPr/>
        <w:tc>
          <w:tcPr>
            <w:tcW w:w="2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left"/>
              <w:rPr/>
            </w:pPr>
            <w:r>
              <w:rPr/>
              <w:t>    </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Remainder of 2023</w:t>
            </w:r>
          </w:p>
        </w:tc>
        <w:tc>
          <w:tcPr>
            <w:tcW w:w="326" w:type="dxa"/>
            <w:tcBorders/>
            <w:vAlign w:val="center"/>
          </w:tcPr>
          <w:p>
            <w:pPr>
              <w:pStyle w:val="TableContents"/>
              <w:bidi w:val="0"/>
              <w:spacing w:before="0" w:after="0"/>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2024-2025</w:t>
            </w:r>
          </w:p>
        </w:tc>
        <w:tc>
          <w:tcPr>
            <w:tcW w:w="326" w:type="dxa"/>
            <w:tcBorders/>
            <w:vAlign w:val="center"/>
          </w:tcPr>
          <w:p>
            <w:pPr>
              <w:pStyle w:val="TableContents"/>
              <w:bidi w:val="0"/>
              <w:spacing w:before="0" w:after="0"/>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2026-2027</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Thereafter</w:t>
            </w:r>
          </w:p>
        </w:tc>
        <w:tc>
          <w:tcPr>
            <w:tcW w:w="326" w:type="dxa"/>
            <w:tcBorders/>
            <w:vAlign w:val="center"/>
          </w:tcPr>
          <w:p>
            <w:pPr>
              <w:pStyle w:val="TableContents"/>
              <w:bidi w:val="0"/>
              <w:spacing w:before="0" w:after="0"/>
              <w:ind w:left="0" w:right="0" w:hanging="0"/>
              <w:jc w:val="left"/>
              <w:rPr/>
            </w:pPr>
            <w:r>
              <w:rPr/>
              <w:t>    </w:t>
            </w:r>
          </w:p>
        </w:tc>
        <w:tc>
          <w:tcPr>
            <w:tcW w:w="8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Three Aloha Class Containerships</w:t>
            </w:r>
          </w:p>
        </w:tc>
        <w:tc>
          <w:tcPr>
            <w:tcW w:w="32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w:t>
            </w:r>
          </w:p>
        </w:tc>
        <w:tc>
          <w:tcPr>
            <w:tcW w:w="32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422.0</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464.0</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999.0</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Repurchase of Shares:</w:t>
      </w:r>
      <w:r>
        <w:rPr>
          <w:rFonts w:ascii="Times New Roman;Times;serif" w:hAnsi="Times New Roman;Times;serif"/>
          <w:sz w:val="20"/>
        </w:rPr>
        <w:t xml:space="preserve"> During the three months ended September 30, 2023, the Company repurchased approximately 0.3 million shares for a total cost of $25.8 million. The maximum number of remaining shares that may be purchased under the Company’s share repurchase program was approximately 3.0 million shares at September 30, 2023.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r>
        <w:rPr>
          <w:rFonts w:ascii="Times New Roman;Times;serif" w:hAnsi="Times New Roman;Times;serif"/>
          <w:b/>
          <w:i/>
          <w:sz w:val="20"/>
        </w:rPr>
        <w:t>Other Material Cash Requirements:</w:t>
      </w:r>
      <w:r>
        <w:rPr>
          <w:rFonts w:ascii="Times New Roman;Times;serif" w:hAnsi="Times New Roman;Times;serif"/>
          <w:sz w:val="20"/>
        </w:rPr>
        <w:t xml:space="preserve"> There were no other material changes during the quarter ended September 30, 2023 to the Company’s other cash requirements that are described in Part II, Item 7 of the Company’s </w:t>
      </w:r>
      <w:hyperlink r:id="rId5">
        <w:r>
          <w:rPr>
            <w:rStyle w:val="InternetLink"/>
            <w:rFonts w:ascii="Times New Roman;Times;serif" w:hAnsi="Times New Roman;Times;serif"/>
            <w:b w:val="false"/>
            <w:i w:val="false"/>
            <w:caps w:val="false"/>
            <w:smallCaps w:val="false"/>
            <w:sz w:val="20"/>
          </w:rPr>
          <w:t>Annual Report on Form 10-K for the year ended December 31, 2022</w:t>
        </w:r>
      </w:hyperlink>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0"/>
        </w:rPr>
        <w:t xml:space="preserve">There have been no changes during this quarter to the Company’s critical accounting policies and estimates as discussed in Part II, Item 7 of the Company’s </w:t>
      </w:r>
      <w:hyperlink r:id="rId6">
        <w:r>
          <w:rPr>
            <w:rStyle w:val="InternetLink"/>
            <w:rFonts w:ascii="Times New Roman;Times;serif" w:hAnsi="Times New Roman;Times;serif"/>
            <w:b w:val="false"/>
            <w:i w:val="false"/>
            <w:caps w:val="false"/>
            <w:smallCaps w:val="false"/>
            <w:sz w:val="20"/>
          </w:rPr>
          <w:t>Annual Report on Form 10-K for the year ended December 31, 2022</w:t>
        </w:r>
      </w:hyperlink>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MATTERS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third quarter 2023 cash dividend of $0.32 per share was paid on September 7, 2023. On October 26, 2023, the Company’s Board of Directors declared a cash dividend of $0.32 per share payable on December 7, 2023 to shareholders of record on November 9, 2023.</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459" w:name="ITEM3QUANTITATIVEANDQUALITATIVEDISCLOSUR"/>
      <w:bookmarkStart w:id="1460" w:name="_1939bc94_f877_4b33_87b2_f85d6fa704af"/>
      <w:bookmarkEnd w:id="1459"/>
      <w:bookmarkEnd w:id="1460"/>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0"/>
        </w:rPr>
        <w:t xml:space="preserve">There have been no material changes to the Company’s market risk position from the information provided under Part II, Item 7A, “Quantitative and Qualitative Disclosures About Market Risk,” of its </w:t>
      </w:r>
      <w:hyperlink r:id="rId7">
        <w:r>
          <w:rPr>
            <w:rStyle w:val="InternetLink"/>
            <w:rFonts w:ascii="Times New Roman;Times;serif" w:hAnsi="Times New Roman;Times;serif"/>
            <w:b w:val="false"/>
            <w:i w:val="false"/>
            <w:caps w:val="false"/>
            <w:smallCaps w:val="false"/>
            <w:sz w:val="20"/>
          </w:rPr>
          <w:t>Annual Report on Form 10-K for the year ended December 31, 2022</w:t>
        </w:r>
      </w:hyperlink>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461" w:name="ITEM4CONTROLSANDPROCEDURES_278454"/>
      <w:bookmarkStart w:id="1462" w:name="_701bf92b_bbb7_44a2_9797_63b58c9c4ab2"/>
      <w:bookmarkEnd w:id="1461"/>
      <w:bookmarkEnd w:id="1462"/>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pBdr/>
        <w:bidi w:val="0"/>
        <w:spacing w:before="0" w:after="0"/>
        <w:ind w:left="0" w:right="0" w:hanging="54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management, with the participation of the Company’s 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September 30, 2023, the Company’s disclosure controls and procedures are effective.</w:t>
      </w:r>
    </w:p>
    <w:p>
      <w:pPr>
        <w:pStyle w:val="TextBody"/>
        <w:bidi w:val="0"/>
        <w:spacing w:before="0" w:after="0"/>
        <w:ind w:left="0" w:right="0" w:hanging="0"/>
        <w:jc w:val="left"/>
        <w:rPr/>
      </w:pPr>
      <w:r>
        <w:rPr/>
        <w:t>​</w:t>
      </w:r>
    </w:p>
    <w:p>
      <w:pPr>
        <w:pStyle w:val="TextBody"/>
        <w:pBdr/>
        <w:bidi w:val="0"/>
        <w:spacing w:before="0" w:after="0"/>
        <w:ind w:left="0" w:right="0" w:hanging="54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were no changes in the Company’s internal control over financial reporting (as defined in Rules 13a-15(f) and 15d-15(f) under the Exchange Act) that occurred during the three months ended September 30, 2023, that have materially affected, or are reasonably likely to materially affect, the Company’s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63" w:name="PARTIIOTHERINFORMATION_744928"/>
      <w:bookmarkStart w:id="1464" w:name="_5babe7ef_507b_49a8_89f3_0f0644ac5a4b"/>
      <w:bookmarkEnd w:id="1463"/>
      <w:bookmarkEnd w:id="1464"/>
      <w:r>
        <w:rPr>
          <w:rFonts w:ascii="Times New Roman;Times;serif" w:hAnsi="Times New Roman;Times;serif"/>
          <w:b/>
          <w:sz w:val="20"/>
        </w:rPr>
        <w:t>PART II. OTHER INFORMATION</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b/>
          <w:sz w:val="20"/>
        </w:rPr>
      </w:pPr>
      <w:bookmarkStart w:id="1465" w:name="ITEM1LEGALPROCEEDINGS_436162"/>
      <w:bookmarkEnd w:id="1465"/>
      <w:r>
        <w:rPr>
          <w:rFonts w:ascii="Times New Roman;Times;serif" w:hAnsi="Times New Roman;Times;serif"/>
          <w:b/>
          <w:sz w:val="20"/>
        </w:rPr>
        <w:t>ITEM 1. LEGAL PROCEEDINGS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Environmental Matters:</w:t>
      </w:r>
      <w:r>
        <w:rPr>
          <w:rFonts w:ascii="Times New Roman;Times;serif" w:hAnsi="Times New Roman;Times;serif"/>
          <w:sz w:val="20"/>
        </w:rPr>
        <w:t xml:space="preserve"> The Company’s Ocean Transportation business has certain risks that could result in expenditures for environmental remediation. The Company believes that based on all information available to it, the Company is currently in compliance, in all material respects, with applicable environmental laws and regulations.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accordance with SEC rules, with respect to administrative or judicial proceedings involving the environment, the Company has determined it will disclose any such proceeding if it reasonably believes such proceeding will result in monetary sanctions, exclusive of interest and costs, at or in excess of $1 million. The Company believes that such threshold is reasonably designed to result in disclosure of environmental proceedings that are material to its business or financial condition.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Other Matters:</w:t>
      </w:r>
      <w:r>
        <w:rPr>
          <w:rFonts w:ascii="Times New Roman;Times;serif" w:hAnsi="Times New Roman;Times;serif"/>
          <w:sz w:val="20"/>
        </w:rPr>
        <w:t xml:space="preserve"> 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466" w:name="ITEM1ARISKFACTORS_897747"/>
      <w:bookmarkStart w:id="1467" w:name="_3dce50ee_9181_4bf2_afa0_fd6b82806662"/>
      <w:bookmarkEnd w:id="1466"/>
      <w:bookmarkEnd w:id="1467"/>
      <w:r>
        <w:rPr>
          <w:rFonts w:ascii="Times New Roman;Times;serif" w:hAnsi="Times New Roman;Times;serif"/>
          <w:b/>
          <w:sz w:val="20"/>
        </w:rPr>
        <w:t>ITEM 1A. RISK FACTORS</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1468" w:name="_Hlk117024577"/>
      <w:bookmarkEnd w:id="1468"/>
      <w:r>
        <w:rPr>
          <w:rFonts w:ascii="Times New Roman;Times;serif" w:hAnsi="Times New Roman;Times;serif"/>
          <w:sz w:val="20"/>
        </w:rPr>
        <w:t xml:space="preserve">There were no material changes to the Company’s risk factors previously described in Part I, Item 1A, “Risk Factors” of the Company’s </w:t>
      </w:r>
      <w:hyperlink r:id="rId8">
        <w:r>
          <w:rPr>
            <w:rStyle w:val="InternetLink"/>
            <w:rFonts w:ascii="Times New Roman;Times;serif" w:hAnsi="Times New Roman;Times;serif"/>
            <w:b w:val="false"/>
            <w:i w:val="false"/>
            <w:caps w:val="false"/>
            <w:smallCaps w:val="false"/>
            <w:sz w:val="20"/>
          </w:rPr>
          <w:t>Annual Report on Form 10-K for the year ended December 31, 2022</w:t>
        </w:r>
      </w:hyperlink>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469" w:name="ITEM2UNREGISTEREDSALESOFEQUITYSECURITIES"/>
      <w:bookmarkStart w:id="1470" w:name="_b50476d8_0dd3_4300_92e2_e4d35555b4d5"/>
      <w:bookmarkEnd w:id="1469"/>
      <w:bookmarkEnd w:id="1470"/>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 Purchases of Equity Securities by the Issuer and Affiliated Purchases.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is the summary of Matson shares that were repurchased under the Company’s share repurchase program during the three months ended September 30, 2023:</w:t>
      </w:r>
    </w:p>
    <w:tbl>
      <w:tblPr>
        <w:tblW w:w="8792" w:type="dxa"/>
        <w:jc w:val="left"/>
        <w:tblInd w:w="0" w:type="dxa"/>
        <w:tblLayout w:type="fixed"/>
        <w:tblCellMar>
          <w:top w:w="0" w:type="dxa"/>
          <w:left w:w="0" w:type="dxa"/>
          <w:bottom w:w="0" w:type="dxa"/>
          <w:right w:w="0" w:type="dxa"/>
        </w:tblCellMar>
      </w:tblPr>
      <w:tblGrid>
        <w:gridCol w:w="1323"/>
        <w:gridCol w:w="717"/>
        <w:gridCol w:w="1321"/>
        <w:gridCol w:w="326"/>
        <w:gridCol w:w="323"/>
        <w:gridCol w:w="877"/>
        <w:gridCol w:w="326"/>
        <w:gridCol w:w="1561"/>
        <w:gridCol w:w="326"/>
        <w:gridCol w:w="1501"/>
        <w:gridCol w:w="191"/>
      </w:tblGrid>
      <w:tr>
        <w:trPr/>
        <w:tc>
          <w:tcPr>
            <w:tcW w:w="1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840105" cy="175260"/>
                      <wp:effectExtent l="0" t="0" r="0" b="0"/>
                      <wp:wrapNone/>
                      <wp:docPr id="448" name="Frame448"/>
                      <a:graphic xmlns:a="http://schemas.openxmlformats.org/drawingml/2006/main">
                        <a:graphicData uri="http://schemas.microsoft.com/office/word/2010/wordprocessingShape">
                          <wps:wsp>
                            <wps:cNvSpPr txBox="1"/>
                            <wps:spPr>
                              <a:xfrm>
                                <a:off x="0" y="0"/>
                                <a:ext cx="840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455295" cy="175260"/>
                      <wp:effectExtent l="0" t="0" r="0" b="0"/>
                      <wp:wrapNone/>
                      <wp:docPr id="449" name="Frame449"/>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838835" cy="175260"/>
                      <wp:effectExtent l="0" t="0" r="0" b="0"/>
                      <wp:wrapNone/>
                      <wp:docPr id="450" name="Frame450"/>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07010" cy="175260"/>
                      <wp:effectExtent l="0" t="0" r="0" b="0"/>
                      <wp:wrapNone/>
                      <wp:docPr id="451" name="Frame4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05105" cy="175260"/>
                      <wp:effectExtent l="0" t="0" r="0" b="0"/>
                      <wp:wrapNone/>
                      <wp:docPr id="452" name="Frame452"/>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556895" cy="175260"/>
                      <wp:effectExtent l="0" t="0" r="0" b="0"/>
                      <wp:wrapNone/>
                      <wp:docPr id="453" name="Frame453"/>
                      <a:graphic xmlns:a="http://schemas.openxmlformats.org/drawingml/2006/main">
                        <a:graphicData uri="http://schemas.microsoft.com/office/word/2010/wordprocessingShape">
                          <wps:wsp>
                            <wps:cNvSpPr txBox="1"/>
                            <wps:spPr>
                              <a:xfrm>
                                <a:off x="0" y="0"/>
                                <a:ext cx="556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07010" cy="175260"/>
                      <wp:effectExtent l="0" t="0" r="0" b="0"/>
                      <wp:wrapNone/>
                      <wp:docPr id="454" name="Frame4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991235" cy="175260"/>
                      <wp:effectExtent l="0" t="0" r="0" b="0"/>
                      <wp:wrapNone/>
                      <wp:docPr id="455" name="Frame455"/>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07010" cy="175260"/>
                      <wp:effectExtent l="0" t="0" r="0" b="0"/>
                      <wp:wrapNone/>
                      <wp:docPr id="456" name="Frame4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953135" cy="175260"/>
                      <wp:effectExtent l="0" t="0" r="0" b="0"/>
                      <wp:wrapNone/>
                      <wp:docPr id="457" name="Frame457"/>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21285" cy="175260"/>
                      <wp:effectExtent l="0" t="0" r="0" b="0"/>
                      <wp:wrapNone/>
                      <wp:docPr id="458" name="Frame45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23" w:type="dxa"/>
            <w:tcBorders/>
            <w:vAlign w:val="center"/>
          </w:tcPr>
          <w:p>
            <w:pPr>
              <w:pStyle w:val="TableContents"/>
              <w:bidi w:val="0"/>
              <w:spacing w:before="0" w:after="0"/>
              <w:ind w:left="0" w:right="0" w:hanging="0"/>
              <w:jc w:val="left"/>
              <w:rPr/>
            </w:pPr>
            <w:r>
              <w:rPr/>
              <w:t>​</w:t>
            </w:r>
          </w:p>
        </w:tc>
        <w:tc>
          <w:tcPr>
            <w:tcW w:w="717" w:type="dxa"/>
            <w:tcBorders/>
            <w:vAlign w:val="center"/>
          </w:tcPr>
          <w:p>
            <w:pPr>
              <w:pStyle w:val="TableContents"/>
              <w:bidi w:val="0"/>
              <w:spacing w:before="0" w:after="0"/>
              <w:ind w:left="0" w:right="0" w:hanging="0"/>
              <w:jc w:val="left"/>
              <w:rPr/>
            </w:pPr>
            <w:r>
              <w:rPr/>
              <w:t>    </w:t>
            </w:r>
          </w:p>
        </w:tc>
        <w:tc>
          <w:tcPr>
            <w:tcW w:w="13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23"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2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Number</w:t>
            </w:r>
          </w:p>
        </w:tc>
        <w:tc>
          <w:tcPr>
            <w:tcW w:w="191" w:type="dxa"/>
            <w:tcBorders/>
            <w:vAlign w:val="center"/>
          </w:tcPr>
          <w:p>
            <w:pPr>
              <w:pStyle w:val="TableContents"/>
              <w:bidi w:val="0"/>
              <w:spacing w:before="0" w:after="0"/>
              <w:ind w:left="0" w:right="0" w:hanging="0"/>
              <w:jc w:val="left"/>
              <w:rPr/>
            </w:pPr>
            <w:r>
              <w:rPr/>
              <w:t> </w:t>
            </w:r>
          </w:p>
        </w:tc>
      </w:tr>
      <w:tr>
        <w:trPr/>
        <w:tc>
          <w:tcPr>
            <w:tcW w:w="1323" w:type="dxa"/>
            <w:tcBorders/>
            <w:vAlign w:val="center"/>
          </w:tcPr>
          <w:p>
            <w:pPr>
              <w:pStyle w:val="TableContents"/>
              <w:bidi w:val="0"/>
              <w:spacing w:before="0" w:after="0"/>
              <w:ind w:left="0" w:right="0" w:hanging="0"/>
              <w:jc w:val="left"/>
              <w:rPr/>
            </w:pPr>
            <w:r>
              <w:rPr/>
              <w:t>​</w:t>
            </w:r>
          </w:p>
        </w:tc>
        <w:tc>
          <w:tcPr>
            <w:tcW w:w="717"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 that May</w:t>
            </w:r>
          </w:p>
        </w:tc>
        <w:tc>
          <w:tcPr>
            <w:tcW w:w="191" w:type="dxa"/>
            <w:tcBorders/>
            <w:vAlign w:val="center"/>
          </w:tcPr>
          <w:p>
            <w:pPr>
              <w:pStyle w:val="TableContents"/>
              <w:bidi w:val="0"/>
              <w:spacing w:before="0" w:after="0"/>
              <w:ind w:left="0" w:right="0" w:hanging="0"/>
              <w:jc w:val="left"/>
              <w:rPr/>
            </w:pPr>
            <w:r>
              <w:rPr/>
              <w:t> </w:t>
            </w:r>
          </w:p>
        </w:tc>
      </w:tr>
      <w:tr>
        <w:trPr/>
        <w:tc>
          <w:tcPr>
            <w:tcW w:w="1323" w:type="dxa"/>
            <w:tcBorders/>
            <w:vAlign w:val="center"/>
          </w:tcPr>
          <w:p>
            <w:pPr>
              <w:pStyle w:val="TableContents"/>
              <w:bidi w:val="0"/>
              <w:spacing w:before="0" w:after="0"/>
              <w:ind w:left="0" w:right="0" w:hanging="0"/>
              <w:jc w:val="left"/>
              <w:rPr/>
            </w:pPr>
            <w:r>
              <w:rPr/>
              <w:t>​</w:t>
            </w:r>
          </w:p>
        </w:tc>
        <w:tc>
          <w:tcPr>
            <w:tcW w:w="717"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Part of Publicly</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 Purchased</w:t>
            </w:r>
          </w:p>
        </w:tc>
        <w:tc>
          <w:tcPr>
            <w:tcW w:w="191" w:type="dxa"/>
            <w:tcBorders/>
            <w:vAlign w:val="center"/>
          </w:tcPr>
          <w:p>
            <w:pPr>
              <w:pStyle w:val="TableContents"/>
              <w:bidi w:val="0"/>
              <w:spacing w:before="0" w:after="0"/>
              <w:ind w:left="0" w:right="0" w:hanging="0"/>
              <w:jc w:val="left"/>
              <w:rPr/>
            </w:pPr>
            <w:r>
              <w:rPr/>
              <w:t> </w:t>
            </w:r>
          </w:p>
        </w:tc>
      </w:tr>
      <w:tr>
        <w:trPr/>
        <w:tc>
          <w:tcPr>
            <w:tcW w:w="1323" w:type="dxa"/>
            <w:tcBorders/>
            <w:vAlign w:val="center"/>
          </w:tcPr>
          <w:p>
            <w:pPr>
              <w:pStyle w:val="TableContents"/>
              <w:bidi w:val="0"/>
              <w:spacing w:before="0" w:after="0"/>
              <w:ind w:left="0" w:right="0" w:hanging="0"/>
              <w:jc w:val="left"/>
              <w:rPr/>
            </w:pPr>
            <w:r>
              <w:rPr/>
              <w:t>​</w:t>
            </w:r>
          </w:p>
        </w:tc>
        <w:tc>
          <w:tcPr>
            <w:tcW w:w="717"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Announced Plans or</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 the Plans or</w:t>
            </w:r>
          </w:p>
        </w:tc>
        <w:tc>
          <w:tcPr>
            <w:tcW w:w="191" w:type="dxa"/>
            <w:tcBorders/>
            <w:vAlign w:val="center"/>
          </w:tcPr>
          <w:p>
            <w:pPr>
              <w:pStyle w:val="TableContents"/>
              <w:bidi w:val="0"/>
              <w:spacing w:before="0" w:after="0"/>
              <w:ind w:left="0" w:right="0" w:hanging="0"/>
              <w:jc w:val="left"/>
              <w:rPr/>
            </w:pPr>
            <w:r>
              <w:rPr/>
              <w:t> </w:t>
            </w:r>
          </w:p>
        </w:tc>
      </w:tr>
      <w:tr>
        <w:trPr/>
        <w:tc>
          <w:tcPr>
            <w:tcW w:w="132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717" w:type="dxa"/>
            <w:tcBorders/>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w:t>
            </w:r>
          </w:p>
        </w:tc>
        <w:tc>
          <w:tcPr>
            <w:tcW w:w="326" w:type="dxa"/>
            <w:tcBorders/>
            <w:vAlign w:val="center"/>
          </w:tcPr>
          <w:p>
            <w:pPr>
              <w:pStyle w:val="TableContents"/>
              <w:bidi w:val="0"/>
              <w:spacing w:before="0" w:after="0"/>
              <w:ind w:left="0" w:right="0" w:hanging="0"/>
              <w:jc w:val="left"/>
              <w:rPr/>
            </w:pPr>
            <w:r>
              <w:rPr/>
              <w:t>​</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Per Share</w:t>
            </w:r>
          </w:p>
        </w:tc>
        <w:tc>
          <w:tcPr>
            <w:tcW w:w="326" w:type="dxa"/>
            <w:tcBorders/>
            <w:vAlign w:val="center"/>
          </w:tcPr>
          <w:p>
            <w:pPr>
              <w:pStyle w:val="TableContents"/>
              <w:bidi w:val="0"/>
              <w:spacing w:before="0" w:after="0"/>
              <w:ind w:left="0" w:right="0" w:hanging="0"/>
              <w:jc w:val="left"/>
              <w:rPr/>
            </w:pPr>
            <w:r>
              <w:rPr/>
              <w:t>​</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Programs (1)</w:t>
            </w:r>
          </w:p>
        </w:tc>
        <w:tc>
          <w:tcPr>
            <w:tcW w:w="326" w:type="dxa"/>
            <w:tcBorders/>
            <w:vAlign w:val="center"/>
          </w:tcPr>
          <w:p>
            <w:pPr>
              <w:pStyle w:val="TableContents"/>
              <w:bidi w:val="0"/>
              <w:spacing w:before="0" w:after="0"/>
              <w:ind w:left="0" w:right="0" w:hanging="0"/>
              <w:jc w:val="left"/>
              <w:rPr/>
            </w:pPr>
            <w:r>
              <w:rPr/>
              <w:t>​</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Programs</w:t>
            </w:r>
          </w:p>
        </w:tc>
        <w:tc>
          <w:tcPr>
            <w:tcW w:w="191" w:type="dxa"/>
            <w:tcBorders/>
            <w:vAlign w:val="center"/>
          </w:tcPr>
          <w:p>
            <w:pPr>
              <w:pStyle w:val="TableContents"/>
              <w:bidi w:val="0"/>
              <w:spacing w:before="0" w:after="0"/>
              <w:ind w:left="0" w:right="0" w:hanging="0"/>
              <w:jc w:val="left"/>
              <w:rPr/>
            </w:pPr>
            <w:r>
              <w:rPr/>
              <w:t> </w:t>
            </w:r>
          </w:p>
        </w:tc>
      </w:tr>
      <w:tr>
        <w:trPr/>
        <w:tc>
          <w:tcPr>
            <w:tcW w:w="2040"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1 – 31, 2023</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105,545</w:t>
            </w:r>
          </w:p>
        </w:tc>
        <w:tc>
          <w:tcPr>
            <w:tcW w:w="326" w:type="dxa"/>
            <w:tcBorders/>
            <w:shd w:fill="CCEEFF" w:val="clear"/>
            <w:vAlign w:val="center"/>
          </w:tcPr>
          <w:p>
            <w:pPr>
              <w:pStyle w:val="TableContents"/>
              <w:bidi w:val="0"/>
              <w:spacing w:before="0" w:after="0"/>
              <w:ind w:left="0" w:right="0" w:hanging="0"/>
              <w:jc w:val="left"/>
              <w:rPr/>
            </w:pPr>
            <w:r>
              <w:rPr/>
              <w:t> </w:t>
            </w:r>
          </w:p>
        </w:tc>
        <w:tc>
          <w:tcPr>
            <w:tcW w:w="3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78.59</w:t>
            </w:r>
          </w:p>
        </w:tc>
        <w:tc>
          <w:tcPr>
            <w:tcW w:w="32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105,545</w:t>
            </w:r>
          </w:p>
        </w:tc>
        <w:tc>
          <w:tcPr>
            <w:tcW w:w="32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3,157,166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0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 – 31, 2023</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77,689</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90.04</w:t>
            </w:r>
          </w:p>
        </w:tc>
        <w:tc>
          <w:tcPr>
            <w:tcW w:w="32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77,689</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3,079,477</w:t>
            </w:r>
          </w:p>
        </w:tc>
        <w:tc>
          <w:tcPr>
            <w:tcW w:w="191" w:type="dxa"/>
            <w:tcBorders/>
            <w:vAlign w:val="center"/>
          </w:tcPr>
          <w:p>
            <w:pPr>
              <w:pStyle w:val="TableContents"/>
              <w:bidi w:val="0"/>
              <w:spacing w:before="0" w:after="0"/>
              <w:ind w:left="0" w:right="0" w:hanging="0"/>
              <w:jc w:val="left"/>
              <w:rPr/>
            </w:pPr>
            <w:r>
              <w:rPr/>
              <w:t>​</w:t>
            </w:r>
          </w:p>
        </w:tc>
      </w:tr>
      <w:tr>
        <w:trPr/>
        <w:tc>
          <w:tcPr>
            <w:tcW w:w="2040"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1 – 30, 2023</w:t>
            </w:r>
          </w:p>
        </w:tc>
        <w:tc>
          <w:tcPr>
            <w:tcW w:w="13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117,850</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86.87</w:t>
            </w:r>
          </w:p>
        </w:tc>
        <w:tc>
          <w:tcPr>
            <w:tcW w:w="326" w:type="dxa"/>
            <w:tcBorders/>
            <w:shd w:fill="CCEEFF" w:val="clear"/>
            <w:vAlign w:val="center"/>
          </w:tcPr>
          <w:p>
            <w:pPr>
              <w:pStyle w:val="TableContents"/>
              <w:bidi w:val="0"/>
              <w:spacing w:before="0" w:after="0"/>
              <w:ind w:left="0" w:right="0" w:hanging="0"/>
              <w:jc w:val="left"/>
              <w:rPr/>
            </w:pPr>
            <w:r>
              <w:rPr/>
              <w:t> </w:t>
            </w:r>
          </w:p>
        </w:tc>
        <w:tc>
          <w:tcPr>
            <w:tcW w:w="1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117,850</w:t>
            </w:r>
          </w:p>
        </w:tc>
        <w:tc>
          <w:tcPr>
            <w:tcW w:w="326" w:type="dxa"/>
            <w:tcBorders/>
            <w:shd w:fill="CCEEFF" w:val="clear"/>
            <w:vAlign w:val="center"/>
          </w:tcPr>
          <w:p>
            <w:pPr>
              <w:pStyle w:val="TableContents"/>
              <w:bidi w:val="0"/>
              <w:spacing w:before="0" w:after="0"/>
              <w:ind w:left="0" w:right="0" w:hanging="0"/>
              <w:jc w:val="left"/>
              <w:rPr/>
            </w:pPr>
            <w:r>
              <w:rPr/>
              <w:t>​</w:t>
            </w:r>
          </w:p>
        </w:tc>
        <w:tc>
          <w:tcPr>
            <w:tcW w:w="1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2,961,627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3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717" w:type="dxa"/>
            <w:tcBorders/>
            <w:vAlign w:val="center"/>
          </w:tcPr>
          <w:p>
            <w:pPr>
              <w:pStyle w:val="TableContents"/>
              <w:bidi w:val="0"/>
              <w:spacing w:before="0" w:after="0"/>
              <w:ind w:left="0" w:right="0" w:hanging="0"/>
              <w:jc w:val="left"/>
              <w:rPr/>
            </w:pPr>
            <w:r>
              <w:rPr/>
              <w:t> </w:t>
            </w:r>
          </w:p>
        </w:tc>
        <w:tc>
          <w:tcPr>
            <w:tcW w:w="13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301,084</w:t>
            </w:r>
          </w:p>
        </w:tc>
        <w:tc>
          <w:tcPr>
            <w:tcW w:w="326" w:type="dxa"/>
            <w:tcBorders/>
            <w:vAlign w:val="center"/>
          </w:tcPr>
          <w:p>
            <w:pPr>
              <w:pStyle w:val="TableContents"/>
              <w:bidi w:val="0"/>
              <w:spacing w:before="0" w:after="0"/>
              <w:ind w:left="0" w:right="0" w:hanging="0"/>
              <w:jc w:val="left"/>
              <w:rPr/>
            </w:pPr>
            <w:r>
              <w:rPr/>
              <w:t>​</w:t>
            </w:r>
          </w:p>
        </w:tc>
        <w:tc>
          <w:tcPr>
            <w:tcW w:w="3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84.79</w:t>
            </w:r>
          </w:p>
        </w:tc>
        <w:tc>
          <w:tcPr>
            <w:tcW w:w="326" w:type="dxa"/>
            <w:tcBorders/>
            <w:vAlign w:val="center"/>
          </w:tcPr>
          <w:p>
            <w:pPr>
              <w:pStyle w:val="TableContents"/>
              <w:bidi w:val="0"/>
              <w:spacing w:before="0" w:after="0"/>
              <w:ind w:left="0" w:right="0" w:hanging="0"/>
              <w:jc w:val="left"/>
              <w:rPr/>
            </w:pPr>
            <w:r>
              <w:rPr/>
              <w:t> </w:t>
            </w:r>
          </w:p>
        </w:tc>
        <w:tc>
          <w:tcPr>
            <w:tcW w:w="1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301,084</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On June 24, 2021, the Company announced that Matson’s Board of Directors had approved a share repurchase program of up to 3.0 million shares of common stock from August 3, 2021 through August 2, 2024. On January 27, 2022, the Company’s Board of Directors approved an addition of 3.0 million shares to the Company’s existing share repurchase program. On August 23, 2022, the Company’s Board of Directors approved an addition of 3.0 million shares to the Company’s existing share repurchase program. On April 27, 2023, the Company’s Board of Directors approved an addition of 3.0 million shares to the Company’s existing share repurchase program, for a total of 12.0 million shares of common stock in the program since it was established, and extended the program to December 31, 2025. Shares will be repurchased in the open market from time to time, and may be made pursuant to a trading plan in accordance with Rule 10b5-1 of the Security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471" w:name="ITEM3DEFAULTSUPONSENIORSECURITIES_766025"/>
      <w:bookmarkStart w:id="1472" w:name="_aab06d6c_9e15_43fe_9e67_893803b33836"/>
      <w:bookmarkEnd w:id="1471"/>
      <w:bookmarkEnd w:id="1472"/>
      <w:r>
        <w:rPr>
          <w:rFonts w:ascii="Times New Roman;Times;serif" w:hAnsi="Times New Roman;Times;serif"/>
          <w:b/>
          <w:sz w:val="20"/>
        </w:rPr>
        <w:t>ITEM 3. DEFAULTS UPON SENIOR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473" w:name="ITEM4MINESAFETYDISCLOSURES_922547"/>
      <w:bookmarkStart w:id="1474" w:name="_ccc6384c_f967_47e5_b055_c3e05fe5c173"/>
      <w:bookmarkEnd w:id="1473"/>
      <w:bookmarkEnd w:id="1474"/>
      <w:r>
        <w:rPr>
          <w:rFonts w:ascii="Times New Roman;Times;serif" w:hAnsi="Times New Roman;Times;serif"/>
          <w:b/>
          <w:sz w:val="20"/>
        </w:rPr>
        <w:t>ITEM 4. MINE SAFETY DISCLOSURES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475" w:name="ITEM5OTHERINFORMATION_110834"/>
      <w:bookmarkStart w:id="1476" w:name="_111d7ff5_b57d_4efc_9015_567f5c09fff6"/>
      <w:bookmarkEnd w:id="1475"/>
      <w:bookmarkEnd w:id="1476"/>
      <w:r>
        <w:rPr>
          <w:rFonts w:ascii="Times New Roman;Times;serif" w:hAnsi="Times New Roman;Times;serif"/>
          <w:b/>
          <w:sz w:val="20"/>
        </w:rPr>
        <w:t>ITEM 5. OTHER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 Trading Plans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quarter ended September 30, 2023, no director or Section 16 officer adopted or terminated any Rule 10b5-1 trading arrangements or non-Rule 10b5-1 trading arrangements.</w:t>
      </w:r>
    </w:p>
    <w:p>
      <w:pPr>
        <w:pStyle w:val="TextBody"/>
        <w:bidi w:val="0"/>
        <w:spacing w:before="0" w:after="0"/>
        <w:ind w:left="72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477" w:name="ITEM6EXHIBITS_599668"/>
      <w:bookmarkStart w:id="1478" w:name="_19a44872_6750_4060_99fc_f39b1fd3981a"/>
      <w:bookmarkEnd w:id="1477"/>
      <w:bookmarkEnd w:id="1478"/>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865"/>
        <w:gridCol w:w="9340"/>
      </w:tblGrid>
      <w:tr>
        <w:trPr/>
        <w:tc>
          <w:tcPr>
            <w:tcW w:w="865" w:type="dxa"/>
            <w:tcBorders/>
            <w:vAlign w:val="center"/>
          </w:tcPr>
          <w:p>
            <w:pPr>
              <w:pStyle w:val="TableContents"/>
              <w:pBdr/>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9340" w:type="dxa"/>
            <w:tcBorders/>
            <w:vAlign w:val="center"/>
          </w:tcPr>
          <w:p>
            <w:pPr>
              <w:pStyle w:val="TableContents"/>
              <w:bidi w:val="0"/>
              <w:spacing w:lineRule="auto" w:line="328" w:before="0" w:after="0"/>
              <w:ind w:left="0" w:right="0" w:hanging="0"/>
              <w:jc w:val="left"/>
              <w:rPr/>
            </w:pPr>
            <w:hyperlink w:anchor="matx-20230930xex31d1.htm">
              <w:r>
                <w:rPr>
                  <w:rStyle w:val="InternetLink"/>
                  <w:rFonts w:ascii="Times New Roman;Times;serif" w:hAnsi="Times New Roman;Times;serif"/>
                  <w:b w:val="false"/>
                  <w:i w:val="false"/>
                  <w:caps w:val="false"/>
                  <w:smallCaps w:val="false"/>
                  <w:sz w:val="20"/>
                </w:rPr>
                <w:t>Certification of Chief Executive Officer pursuant to Rule 13a-14(a) or 15d-14(a) of the Securities Exchange Act of 1934.</w:t>
              </w:r>
            </w:hyperlink>
          </w:p>
        </w:tc>
      </w:tr>
      <w:tr>
        <w:trPr/>
        <w:tc>
          <w:tcPr>
            <w:tcW w:w="865" w:type="dxa"/>
            <w:tcBorders/>
            <w:vAlign w:val="center"/>
          </w:tcPr>
          <w:p>
            <w:pPr>
              <w:pStyle w:val="TableContents"/>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9340" w:type="dxa"/>
            <w:tcBorders/>
            <w:vAlign w:val="center"/>
          </w:tcPr>
          <w:p>
            <w:pPr>
              <w:pStyle w:val="TableContents"/>
              <w:bidi w:val="0"/>
              <w:spacing w:lineRule="auto" w:line="328" w:before="0" w:after="0"/>
              <w:ind w:left="0" w:right="0" w:hanging="0"/>
              <w:jc w:val="left"/>
              <w:rPr/>
            </w:pPr>
            <w:hyperlink w:anchor="matx-20230930xex31d2.htm">
              <w:r>
                <w:rPr>
                  <w:rStyle w:val="InternetLink"/>
                  <w:rFonts w:ascii="Times New Roman;Times;serif" w:hAnsi="Times New Roman;Times;serif"/>
                  <w:b w:val="false"/>
                  <w:i w:val="false"/>
                  <w:caps w:val="false"/>
                  <w:smallCaps w:val="false"/>
                  <w:sz w:val="20"/>
                </w:rPr>
                <w:t>Certification of Chief Financial Officer pursuant to Rule 13a-14(a) or 15d-14(a) of the Securities Exchange Act of 1934.</w:t>
              </w:r>
            </w:hyperlink>
          </w:p>
        </w:tc>
      </w:tr>
      <w:tr>
        <w:trPr/>
        <w:tc>
          <w:tcPr>
            <w:tcW w:w="865" w:type="dxa"/>
            <w:tcBorders/>
            <w:vAlign w:val="center"/>
          </w:tcPr>
          <w:p>
            <w:pPr>
              <w:pStyle w:val="TableContents"/>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9340" w:type="dxa"/>
            <w:tcBorders/>
            <w:vAlign w:val="center"/>
          </w:tcPr>
          <w:p>
            <w:pPr>
              <w:pStyle w:val="TableContents"/>
              <w:bidi w:val="0"/>
              <w:spacing w:lineRule="auto" w:line="328" w:before="0" w:after="0"/>
              <w:ind w:left="0" w:right="0" w:hanging="0"/>
              <w:jc w:val="left"/>
              <w:rPr/>
            </w:pPr>
            <w:hyperlink w:anchor="matx-20230930xex32.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w:t>
              </w:r>
            </w:hyperlink>
          </w:p>
        </w:tc>
      </w:tr>
      <w:tr>
        <w:trPr/>
        <w:tc>
          <w:tcPr>
            <w:tcW w:w="865" w:type="dxa"/>
            <w:tcBorders/>
            <w:vAlign w:val="center"/>
          </w:tcPr>
          <w:p>
            <w:pPr>
              <w:pStyle w:val="TableContents"/>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934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65" w:type="dxa"/>
            <w:tcBorders/>
            <w:vAlign w:val="center"/>
          </w:tcPr>
          <w:p>
            <w:pPr>
              <w:pStyle w:val="TableContents"/>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934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65" w:type="dxa"/>
            <w:tcBorders/>
            <w:vAlign w:val="center"/>
          </w:tcPr>
          <w:p>
            <w:pPr>
              <w:pStyle w:val="TableContents"/>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934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65" w:type="dxa"/>
            <w:tcBorders/>
            <w:vAlign w:val="center"/>
          </w:tcPr>
          <w:p>
            <w:pPr>
              <w:pStyle w:val="TableContents"/>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934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65" w:type="dxa"/>
            <w:tcBorders/>
            <w:vAlign w:val="center"/>
          </w:tcPr>
          <w:p>
            <w:pPr>
              <w:pStyle w:val="TableContents"/>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934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65" w:type="dxa"/>
            <w:tcBorders/>
            <w:vAlign w:val="center"/>
          </w:tcPr>
          <w:p>
            <w:pPr>
              <w:pStyle w:val="TableContents"/>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934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65" w:type="dxa"/>
            <w:tcBorders/>
            <w:vAlign w:val="center"/>
          </w:tcPr>
          <w:p>
            <w:pPr>
              <w:pStyle w:val="TableContents"/>
              <w:pBdr/>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934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Inline XBRL and included as Exhibit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Furnished herewith.</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79" w:name="SIGNATURES_841218"/>
      <w:bookmarkStart w:id="1480" w:name="_d41679ac_64aa_4c4c_88ca_32979c25750c"/>
      <w:bookmarkEnd w:id="1479"/>
      <w:bookmarkEnd w:id="1480"/>
      <w:r>
        <w:rPr>
          <w:rFonts w:ascii="Times New Roman;Times;serif" w:hAnsi="Times New Roman;Times;serif"/>
          <w:b/>
          <w:sz w:val="20"/>
        </w:rPr>
        <w:t>SIGNATURES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4562" w:type="dxa"/>
        <w:jc w:val="left"/>
        <w:tblInd w:w="0" w:type="dxa"/>
        <w:tblLayout w:type="fixed"/>
        <w:tblCellMar>
          <w:top w:w="0" w:type="dxa"/>
          <w:left w:w="0" w:type="dxa"/>
          <w:bottom w:w="0" w:type="dxa"/>
          <w:right w:w="0" w:type="dxa"/>
        </w:tblCellMar>
      </w:tblPr>
      <w:tblGrid>
        <w:gridCol w:w="2011"/>
        <w:gridCol w:w="2551"/>
      </w:tblGrid>
      <w:tr>
        <w:trPr/>
        <w:tc>
          <w:tcPr>
            <w:tcW w:w="2011"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283"/>
              <w:ind w:left="0" w:right="0" w:hanging="0"/>
              <w:jc w:val="left"/>
              <w:rPr>
                <w:sz w:val="4"/>
                <w:szCs w:val="4"/>
              </w:rPr>
            </w:pPr>
            <w:r>
              <w:rPr>
                <w:sz w:val="4"/>
                <w:szCs w:val="4"/>
              </w:rPr>
            </w:r>
          </w:p>
        </w:tc>
      </w:tr>
      <w:tr>
        <w:trPr/>
        <w:tc>
          <w:tcPr>
            <w:tcW w:w="2011" w:type="dxa"/>
            <w:tcBorders/>
            <w:vAlign w:val="center"/>
          </w:tcPr>
          <w:p>
            <w:pPr>
              <w:pStyle w:val="TableContents"/>
              <w:bidi w:val="0"/>
              <w:spacing w:lineRule="auto" w:line="328" w:before="0" w:after="0"/>
              <w:ind w:left="0" w:right="0" w:hanging="0"/>
              <w:jc w:val="left"/>
              <w:rPr/>
            </w:pPr>
            <w:r>
              <w:rPr/>
              <w:t>​</w:t>
            </w:r>
          </w:p>
        </w:tc>
        <w:tc>
          <w:tcPr>
            <w:tcW w:w="2551"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MATSON, INC.</w:t>
            </w:r>
          </w:p>
        </w:tc>
      </w:tr>
      <w:tr>
        <w:trPr/>
        <w:tc>
          <w:tcPr>
            <w:tcW w:w="2011"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(Registrant)</w:t>
            </w:r>
          </w:p>
        </w:tc>
      </w:tr>
      <w:tr>
        <w:trPr/>
        <w:tc>
          <w:tcPr>
            <w:tcW w:w="2011"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pPr>
            <w:r>
              <w:rPr/>
              <w:t>​</w:t>
            </w:r>
          </w:p>
        </w:tc>
      </w:tr>
      <w:tr>
        <w:trPr/>
        <w:tc>
          <w:tcPr>
            <w:tcW w:w="2011"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pPr>
            <w:r>
              <w:rPr/>
              <w:t>​</w:t>
            </w:r>
          </w:p>
        </w:tc>
      </w:tr>
      <w:tr>
        <w:trPr/>
        <w:tc>
          <w:tcPr>
            <w:tcW w:w="2011"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October 31, 2023</w:t>
            </w:r>
          </w:p>
        </w:tc>
        <w:tc>
          <w:tcPr>
            <w:tcW w:w="2551"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/s/ Joel M. Wine</w:t>
            </w:r>
          </w:p>
        </w:tc>
      </w:tr>
      <w:tr>
        <w:trPr/>
        <w:tc>
          <w:tcPr>
            <w:tcW w:w="2011"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Joel M. Wine</w:t>
            </w:r>
          </w:p>
        </w:tc>
      </w:tr>
      <w:tr>
        <w:trPr/>
        <w:tc>
          <w:tcPr>
            <w:tcW w:w="2011"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Executive Vice President and</w:t>
            </w:r>
          </w:p>
        </w:tc>
      </w:tr>
      <w:tr>
        <w:trPr/>
        <w:tc>
          <w:tcPr>
            <w:tcW w:w="2011"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r>
      <w:tr>
        <w:trPr/>
        <w:tc>
          <w:tcPr>
            <w:tcW w:w="2011"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pPr>
            <w:r>
              <w:rPr/>
              <w:t>​</w:t>
            </w:r>
          </w:p>
        </w:tc>
      </w:tr>
      <w:tr>
        <w:trPr/>
        <w:tc>
          <w:tcPr>
            <w:tcW w:w="2011"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pPr>
            <w:r>
              <w:rPr/>
              <w:t>​</w:t>
            </w:r>
          </w:p>
        </w:tc>
      </w:tr>
      <w:tr>
        <w:trPr/>
        <w:tc>
          <w:tcPr>
            <w:tcW w:w="2011"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October 31, 2023</w:t>
            </w:r>
          </w:p>
        </w:tc>
        <w:tc>
          <w:tcPr>
            <w:tcW w:w="2551"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/s/ Kevin L. Stuck</w:t>
            </w:r>
          </w:p>
        </w:tc>
      </w:tr>
      <w:tr>
        <w:trPr/>
        <w:tc>
          <w:tcPr>
            <w:tcW w:w="2011"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Kevin L. Stuck</w:t>
            </w:r>
          </w:p>
        </w:tc>
      </w:tr>
      <w:tr>
        <w:trPr/>
        <w:tc>
          <w:tcPr>
            <w:tcW w:w="2011"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Vice President and Controller</w:t>
            </w:r>
          </w:p>
        </w:tc>
      </w:tr>
      <w:tr>
        <w:trPr/>
        <w:tc>
          <w:tcPr>
            <w:tcW w:w="2011"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(principal accounting officer)</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lineRule="auto" w:line="285" w:before="0" w:after="0"/>
        <w:ind w:left="0" w:right="0" w:hanging="0"/>
        <w:jc w:val="right"/>
        <w:rPr>
          <w:rFonts w:ascii="Times New Roman;Times;serif" w:hAnsi="Times New Roman;Times;serif"/>
          <w:b/>
          <w:sz w:val="20"/>
        </w:rPr>
      </w:pPr>
      <w:bookmarkStart w:id="1481" w:name="matx-20230930xex31d1.htm"/>
      <w:bookmarkStart w:id="1482" w:name="ksmatx20230930xex31d1"/>
      <w:bookmarkEnd w:id="1481"/>
      <w:bookmarkEnd w:id="1482"/>
      <w:r>
        <w:rPr>
          <w:rFonts w:ascii="Times New Roman;Times;serif" w:hAnsi="Times New Roman;Times;serif"/>
          <w:b/>
          <w:sz w:val="20"/>
        </w:rPr>
        <w:t>EXHIBIT 31.1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pursuant to Rule 13a-14(a) or 15d-14(a) of the Securities Exchange Act of 1934</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Matthew J. Cox, certify that: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Quarterly Report on Form 10-Q of Matson, Inc.;</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rPr/>
      </w:pPr>
      <w:r>
        <w:rPr/>
        <w:t>​</w:t>
      </w:r>
    </w:p>
    <w:tbl>
      <w:tblPr>
        <w:tblW w:w="5122" w:type="dxa"/>
        <w:jc w:val="left"/>
        <w:tblInd w:w="0" w:type="dxa"/>
        <w:tblLayout w:type="fixed"/>
        <w:tblCellMar>
          <w:top w:w="0" w:type="dxa"/>
          <w:left w:w="0" w:type="dxa"/>
          <w:bottom w:w="0" w:type="dxa"/>
          <w:right w:w="0" w:type="dxa"/>
        </w:tblCellMar>
      </w:tblPr>
      <w:tblGrid>
        <w:gridCol w:w="2011"/>
        <w:gridCol w:w="109"/>
        <w:gridCol w:w="346"/>
        <w:gridCol w:w="2656"/>
      </w:tblGrid>
      <w:tr>
        <w:trPr/>
        <w:tc>
          <w:tcPr>
            <w:tcW w:w="201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56" w:type="dxa"/>
            <w:tcBorders/>
            <w:vAlign w:val="center"/>
          </w:tcPr>
          <w:p>
            <w:pPr>
              <w:pStyle w:val="TableContents"/>
              <w:bidi w:val="0"/>
              <w:spacing w:lineRule="auto" w:line="285" w:before="0" w:after="0"/>
              <w:ind w:left="0" w:right="0" w:hanging="0"/>
              <w:jc w:val="left"/>
              <w:rPr/>
            </w:pPr>
            <w:r>
              <w:rPr/>
              <w:t>​</w:t>
            </w:r>
          </w:p>
        </w:tc>
      </w:tr>
      <w:tr>
        <w:trPr/>
        <w:tc>
          <w:tcPr>
            <w:tcW w:w="201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Matthew J. Cox</w:t>
            </w:r>
          </w:p>
        </w:tc>
      </w:tr>
      <w:tr>
        <w:trPr/>
        <w:tc>
          <w:tcPr>
            <w:tcW w:w="201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Matthew J. Cox, Chairman and</w:t>
            </w:r>
          </w:p>
        </w:tc>
      </w:tr>
      <w:tr>
        <w:trPr/>
        <w:tc>
          <w:tcPr>
            <w:tcW w:w="201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0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October 31, 2023</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56"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483" w:name="matx-20230930xex31d2.htm"/>
      <w:bookmarkStart w:id="1484" w:name="ksmatx20230930xex31d2"/>
      <w:bookmarkEnd w:id="1483"/>
      <w:bookmarkEnd w:id="1484"/>
      <w:r>
        <w:rPr>
          <w:rFonts w:ascii="Times New Roman;Times;serif" w:hAnsi="Times New Roman;Times;serif"/>
          <w:b/>
          <w:sz w:val="20"/>
        </w:rPr>
        <w:t>EXHIBIT 31.2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 pursuant to Rule 13a-14(a) or 15d-14(a) of the Securities Exchange Act of 1934</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Joel M. Wine, certify that: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Quarterly Report on Form 10-Q of Matson, Inc.;</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rPr/>
      </w:pPr>
      <w:r>
        <w:rPr/>
        <w:t>​</w:t>
      </w:r>
    </w:p>
    <w:tbl>
      <w:tblPr>
        <w:tblW w:w="6172" w:type="dxa"/>
        <w:jc w:val="left"/>
        <w:tblInd w:w="0" w:type="dxa"/>
        <w:tblLayout w:type="fixed"/>
        <w:tblCellMar>
          <w:top w:w="0" w:type="dxa"/>
          <w:left w:w="0" w:type="dxa"/>
          <w:bottom w:w="0" w:type="dxa"/>
          <w:right w:w="0" w:type="dxa"/>
        </w:tblCellMar>
      </w:tblPr>
      <w:tblGrid>
        <w:gridCol w:w="2011"/>
        <w:gridCol w:w="109"/>
        <w:gridCol w:w="346"/>
        <w:gridCol w:w="3706"/>
      </w:tblGrid>
      <w:tr>
        <w:trPr/>
        <w:tc>
          <w:tcPr>
            <w:tcW w:w="201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06" w:type="dxa"/>
            <w:tcBorders/>
            <w:vAlign w:val="center"/>
          </w:tcPr>
          <w:p>
            <w:pPr>
              <w:pStyle w:val="TableContents"/>
              <w:bidi w:val="0"/>
              <w:spacing w:lineRule="auto" w:line="285" w:before="0" w:after="0"/>
              <w:ind w:left="0" w:right="0" w:hanging="0"/>
              <w:jc w:val="left"/>
              <w:rPr/>
            </w:pPr>
            <w:r>
              <w:rPr/>
              <w:t>​</w:t>
            </w:r>
          </w:p>
        </w:tc>
      </w:tr>
      <w:tr>
        <w:trPr/>
        <w:tc>
          <w:tcPr>
            <w:tcW w:w="201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0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Joel M. Wine</w:t>
            </w:r>
          </w:p>
        </w:tc>
      </w:tr>
      <w:tr>
        <w:trPr/>
        <w:tc>
          <w:tcPr>
            <w:tcW w:w="201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Joel M. Wine, Executive Vice President and</w:t>
            </w:r>
          </w:p>
        </w:tc>
      </w:tr>
      <w:tr>
        <w:trPr/>
        <w:tc>
          <w:tcPr>
            <w:tcW w:w="201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0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October 31, 2023</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06"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485" w:name="matx-20230930xex32.htm"/>
      <w:bookmarkStart w:id="1486" w:name="ksmatx20230930xex32"/>
      <w:bookmarkEnd w:id="1485"/>
      <w:bookmarkEnd w:id="1486"/>
      <w:r>
        <w:rPr>
          <w:rFonts w:ascii="Times New Roman;Times;serif" w:hAnsi="Times New Roman;Times;serif"/>
          <w:b/>
          <w:sz w:val="20"/>
        </w:rPr>
        <w:t>EXHIBIT 32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and Chief Financial Officer pursuant to 18 U.S.C. Section 1350</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on Form 10-Q of Matson, Inc. (the “Company”) for the quarterly period ended September 30, 2023, as filed with the Securities and Exchange Commission on the date hereof (the “Report”), Matthew J. Cox, as Chairman and Chief Executive Officer of the Company, and Joel M. Wine, as Executive Vice President and Chief Financial Officer of the Company, each hereby certifies, pursuant to 18 U.S.C. Section 1350, that to their knowledge: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Report fully complies with the requirements of Section 13(a) or 15(d) of the Securities Exchange Act of 1934;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information contained in the Report fairly presents, in all material respects, the financial condition and results of operations of the Company.</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 signed original of this written statement has been provided to the Company and will be retained by the Company and furnished to the Securities and Exchange Commission or its staff upon request.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tbl>
      <w:tblPr>
        <w:tblW w:w="5305" w:type="dxa"/>
        <w:jc w:val="left"/>
        <w:tblInd w:w="0" w:type="dxa"/>
        <w:tblLayout w:type="fixed"/>
        <w:tblCellMar>
          <w:top w:w="0" w:type="dxa"/>
          <w:left w:w="0" w:type="dxa"/>
          <w:bottom w:w="0" w:type="dxa"/>
          <w:right w:w="0" w:type="dxa"/>
        </w:tblCellMar>
      </w:tblPr>
      <w:tblGrid>
        <w:gridCol w:w="646"/>
        <w:gridCol w:w="4396"/>
        <w:gridCol w:w="109"/>
        <w:gridCol w:w="154"/>
      </w:tblGrid>
      <w:tr>
        <w:trPr/>
        <w:tc>
          <w:tcPr>
            <w:tcW w:w="646" w:type="dxa"/>
            <w:tcBorders/>
            <w:vAlign w:val="center"/>
          </w:tcPr>
          <w:p>
            <w:pPr>
              <w:pStyle w:val="TableContents"/>
              <w:bidi w:val="0"/>
              <w:spacing w:lineRule="auto" w:line="285" w:before="0" w:after="0"/>
              <w:ind w:left="0" w:right="0" w:hanging="0"/>
              <w:jc w:val="left"/>
              <w:rPr/>
            </w:pPr>
            <w:r>
              <w:rPr/>
              <w:t>​</w:t>
            </w:r>
          </w:p>
        </w:tc>
        <w:tc>
          <w:tcPr>
            <w:tcW w:w="439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5042" w:type="dxa"/>
            <w:gridSpan w:val="2"/>
            <w:tcBorders>
              <w:bottom w:val="single" w:sz="2" w:space="0" w:color="000000"/>
            </w:tcBorders>
            <w:tcMar>
              <w:bottom w:w="28" w:type="dxa"/>
            </w:tcM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Matthew J. Cox</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Matthew J. Cox</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Chairman and Chief Executive Officer</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October 31, 2023</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pPr>
            <w:r>
              <w:rPr/>
              <w:t>​</w:t>
            </w:r>
          </w:p>
        </w:tc>
        <w:tc>
          <w:tcPr>
            <w:tcW w:w="439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pPr>
            <w:r>
              <w:rPr/>
              <w:t>​</w:t>
            </w:r>
          </w:p>
        </w:tc>
        <w:tc>
          <w:tcPr>
            <w:tcW w:w="439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5042" w:type="dxa"/>
            <w:gridSpan w:val="2"/>
            <w:tcBorders>
              <w:bottom w:val="single" w:sz="2" w:space="0" w:color="000000"/>
            </w:tcBorders>
            <w:tcMar>
              <w:bottom w:w="28" w:type="dxa"/>
            </w:tcM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Joel M. Wine</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Joel M. Wine</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October 31, 2023</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3453/000155837023001961/matx-20221231x10k.htm" TargetMode="External"/><Relationship Id="rId3" Type="http://schemas.openxmlformats.org/officeDocument/2006/relationships/hyperlink" Target="https://www.sec.gov/ix?doc=/Archives/edgar/data/3453/000155837023001961/matx-20221231x10k.htm" TargetMode="External"/><Relationship Id="rId4" Type="http://schemas.openxmlformats.org/officeDocument/2006/relationships/hyperlink" Target="https://www.sec.gov/ix?doc=/Archives/edgar/data/3453/000155837023001961/matx-20221231x10k.htm" TargetMode="External"/><Relationship Id="rId5" Type="http://schemas.openxmlformats.org/officeDocument/2006/relationships/hyperlink" Target="https://www.sec.gov/ix?doc=/Archives/edgar/data/3453/000155837023001961/matx-20221231x10k.htm" TargetMode="External"/><Relationship Id="rId6" Type="http://schemas.openxmlformats.org/officeDocument/2006/relationships/hyperlink" Target="https://www.sec.gov/ix?doc=/Archives/edgar/data/3453/000155837023001961/matx-20221231x10k.htm" TargetMode="External"/><Relationship Id="rId7" Type="http://schemas.openxmlformats.org/officeDocument/2006/relationships/hyperlink" Target="https://www.sec.gov/ix?doc=/Archives/edgar/data/3453/000155837023001961/matx-20221231x10k.htm" TargetMode="External"/><Relationship Id="rId8" Type="http://schemas.openxmlformats.org/officeDocument/2006/relationships/hyperlink" Target="https://www.sec.gov/ix?doc=/Archives/edgar/data/3453/000155837023001961/matx-20221231x10k.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14091</Words>
  <Characters>77782</Characters>
  <CharactersWithSpaces>94132</CharactersWithSpaces>
  <Paragraphs>6975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