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10-K</w:t>
      </w:r>
    </w:p>
    <w:p>
      <w:pPr>
        <w:spacing w:after="0" w:line="99" w:lineRule="exact"/>
        <w:rPr>
          <w:sz w:val="24"/>
          <w:szCs w:val="24"/>
          <w:color w:val="auto"/>
        </w:rPr>
      </w:pPr>
    </w:p>
    <w:p>
      <w:pPr>
        <w:ind w:left="640" w:hanging="32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209550</wp:posOffset>
            </wp:positionH>
            <wp:positionV relativeFrom="paragraph">
              <wp:posOffset>-104140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6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6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73" w:lineRule="exact"/>
        <w:rPr>
          <w:sz w:val="24"/>
          <w:szCs w:val="24"/>
          <w:color w:val="auto"/>
        </w:rPr>
      </w:pPr>
    </w:p>
    <w:p>
      <w:pPr>
        <w:ind w:left="640" w:hanging="326"/>
        <w:spacing w:after="0"/>
        <w:tabs>
          <w:tab w:leader="none" w:pos="6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209550</wp:posOffset>
            </wp:positionH>
            <wp:positionV relativeFrom="paragraph">
              <wp:posOffset>-97155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ectPr>
          <w:pgSz w:w="11900" w:h="16838" w:orient="portrait"/>
          <w:cols w:equalWidth="0" w:num="1">
            <w:col w:w="10240"/>
          </w:cols>
          <w:pgMar w:left="840" w:top="665" w:right="819" w:bottom="1440" w:gutter="0" w:footer="0" w:header="0"/>
        </w:sectPr>
      </w:pPr>
    </w:p>
    <w:p>
      <w:pPr>
        <w:spacing w:after="0" w:line="97" w:lineRule="exact"/>
        <w:rPr>
          <w:sz w:val="24"/>
          <w:szCs w:val="24"/>
          <w:color w:val="auto"/>
        </w:rPr>
      </w:pPr>
    </w:p>
    <w:p>
      <w:pPr>
        <w:ind w:left="366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91" w:lineRule="exact"/>
        <w:rPr>
          <w:sz w:val="24"/>
          <w:szCs w:val="24"/>
          <w:color w:val="auto"/>
        </w:rPr>
      </w:pPr>
    </w:p>
    <w:p>
      <w:pPr>
        <w:sectPr>
          <w:pgSz w:w="11900" w:h="16838" w:orient="portrait"/>
          <w:cols w:equalWidth="0" w:num="2">
            <w:col w:w="5520" w:space="580"/>
            <w:col w:w="4140"/>
          </w:cols>
          <w:pgMar w:left="840" w:top="665" w:right="819" w:bottom="1440" w:gutter="0" w:footer="0" w:header="0"/>
          <w:type w:val="continuous"/>
        </w:sectPr>
      </w:pPr>
    </w:p>
    <w:p>
      <w:pPr>
        <w:jc w:val="center"/>
        <w:ind w:right="40"/>
        <w:spacing w:after="0"/>
        <w:rPr>
          <w:sz w:val="20"/>
          <w:szCs w:val="20"/>
          <w:color w:val="auto"/>
        </w:rPr>
      </w:pPr>
      <w:r>
        <w:rPr>
          <w:rFonts w:ascii="Arial" w:cs="Arial" w:eastAsia="Arial" w:hAnsi="Arial"/>
          <w:sz w:val="12"/>
          <w:szCs w:val="12"/>
          <w:b w:val="1"/>
          <w:bCs w:val="1"/>
          <w:color w:val="auto"/>
        </w:rPr>
        <w:t>Commission file number 001-34187</w:t>
      </w:r>
    </w:p>
    <w:p>
      <w:pPr>
        <w:sectPr>
          <w:pgSz w:w="11900" w:h="16838" w:orient="portrait"/>
          <w:cols w:equalWidth="0" w:num="1">
            <w:col w:w="10240"/>
          </w:cols>
          <w:pgMar w:left="840" w:top="665" w:right="819" w:bottom="1440" w:gutter="0" w:footer="0" w:header="0"/>
          <w:type w:val="continuous"/>
        </w:sectPr>
      </w:pPr>
    </w:p>
    <w:p>
      <w:pPr>
        <w:spacing w:after="0" w:line="82"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Matson, Inc.</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(Exact name of registrant as specified in its charter)</w:t>
      </w:r>
    </w:p>
    <w:p>
      <w:pPr>
        <w:sectPr>
          <w:pgSz w:w="11900" w:h="16838" w:orient="portrait"/>
          <w:cols w:equalWidth="0" w:num="1">
            <w:col w:w="10240"/>
          </w:cols>
          <w:pgMar w:left="840" w:top="665" w:right="819" w:bottom="1440" w:gutter="0" w:footer="0" w:header="0"/>
          <w:type w:val="continuous"/>
        </w:sectPr>
      </w:pPr>
    </w:p>
    <w:p>
      <w:pPr>
        <w:spacing w:after="0" w:line="64" w:lineRule="exact"/>
        <w:rPr>
          <w:sz w:val="24"/>
          <w:szCs w:val="24"/>
          <w:color w:val="auto"/>
        </w:rPr>
      </w:pPr>
    </w:p>
    <w:p>
      <w:pPr>
        <w:ind w:left="2280"/>
        <w:spacing w:after="0"/>
        <w:rPr>
          <w:sz w:val="20"/>
          <w:szCs w:val="20"/>
          <w:color w:val="auto"/>
        </w:rPr>
      </w:pPr>
      <w:r>
        <w:rPr>
          <w:rFonts w:ascii="Arial" w:cs="Arial" w:eastAsia="Arial" w:hAnsi="Arial"/>
          <w:sz w:val="14"/>
          <w:szCs w:val="14"/>
          <w:b w:val="1"/>
          <w:bCs w:val="1"/>
          <w:color w:val="auto"/>
        </w:rPr>
        <w:t>Hawaii</w:t>
      </w:r>
    </w:p>
    <w:p>
      <w:pPr>
        <w:spacing w:after="0" w:line="3" w:lineRule="exact"/>
        <w:rPr>
          <w:sz w:val="24"/>
          <w:szCs w:val="24"/>
          <w:color w:val="auto"/>
        </w:rPr>
      </w:pPr>
    </w:p>
    <w:p>
      <w:pPr>
        <w:ind w:left="1660"/>
        <w:spacing w:after="0"/>
        <w:rPr>
          <w:sz w:val="20"/>
          <w:szCs w:val="20"/>
          <w:color w:val="auto"/>
        </w:rPr>
      </w:pPr>
      <w:r>
        <w:rPr>
          <w:rFonts w:ascii="Arial" w:cs="Arial" w:eastAsia="Arial" w:hAnsi="Arial"/>
          <w:sz w:val="13"/>
          <w:szCs w:val="13"/>
          <w:color w:val="auto"/>
        </w:rPr>
        <w:t>(State or other jurisdiction of</w:t>
      </w:r>
    </w:p>
    <w:p>
      <w:pPr>
        <w:ind w:left="164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jc w:val="center"/>
        <w:ind w:right="2000"/>
        <w:spacing w:after="0"/>
        <w:rPr>
          <w:sz w:val="20"/>
          <w:szCs w:val="20"/>
          <w:color w:val="auto"/>
        </w:rPr>
      </w:pPr>
      <w:r>
        <w:rPr>
          <w:rFonts w:ascii="Arial" w:cs="Arial" w:eastAsia="Arial" w:hAnsi="Arial"/>
          <w:sz w:val="14"/>
          <w:szCs w:val="14"/>
          <w:b w:val="1"/>
          <w:bCs w:val="1"/>
          <w:color w:val="auto"/>
        </w:rPr>
        <w:t>99-0032630</w:t>
      </w:r>
    </w:p>
    <w:p>
      <w:pPr>
        <w:jc w:val="center"/>
        <w:ind w:right="2000"/>
        <w:spacing w:after="0" w:line="226" w:lineRule="auto"/>
        <w:rPr>
          <w:sz w:val="20"/>
          <w:szCs w:val="20"/>
          <w:color w:val="auto"/>
        </w:rPr>
      </w:pPr>
      <w:r>
        <w:rPr>
          <w:rFonts w:ascii="Arial" w:cs="Arial" w:eastAsia="Arial" w:hAnsi="Arial"/>
          <w:sz w:val="14"/>
          <w:szCs w:val="14"/>
          <w:color w:val="auto"/>
        </w:rPr>
        <w:t>(I.R.S. Employer</w:t>
      </w:r>
    </w:p>
    <w:p>
      <w:pPr>
        <w:jc w:val="center"/>
        <w:ind w:right="2000"/>
        <w:spacing w:after="0"/>
        <w:rPr>
          <w:sz w:val="20"/>
          <w:szCs w:val="20"/>
          <w:color w:val="auto"/>
        </w:rPr>
      </w:pPr>
      <w:r>
        <w:rPr>
          <w:rFonts w:ascii="Arial" w:cs="Arial" w:eastAsia="Arial" w:hAnsi="Arial"/>
          <w:sz w:val="13"/>
          <w:szCs w:val="13"/>
          <w:color w:val="auto"/>
        </w:rPr>
        <w:t>Identification No.)</w:t>
      </w:r>
    </w:p>
    <w:p>
      <w:pPr>
        <w:spacing w:after="0" w:line="64" w:lineRule="exact"/>
        <w:rPr>
          <w:sz w:val="24"/>
          <w:szCs w:val="24"/>
          <w:color w:val="auto"/>
        </w:rPr>
      </w:pPr>
    </w:p>
    <w:p>
      <w:pPr>
        <w:sectPr>
          <w:pgSz w:w="11900" w:h="16838" w:orient="portrait"/>
          <w:cols w:equalWidth="0" w:num="2">
            <w:col w:w="6460" w:space="720"/>
            <w:col w:w="3060"/>
          </w:cols>
          <w:pgMar w:left="840" w:top="665" w:right="819" w:bottom="1440" w:gutter="0" w:footer="0" w:header="0"/>
          <w:type w:val="continuous"/>
        </w:sectPr>
      </w:pPr>
    </w:p>
    <w:p>
      <w:pPr>
        <w:jc w:val="center"/>
        <w:ind w:right="20"/>
        <w:spacing w:after="0"/>
        <w:rPr>
          <w:sz w:val="20"/>
          <w:szCs w:val="20"/>
          <w:color w:val="auto"/>
        </w:rPr>
      </w:pPr>
      <w:r>
        <w:rPr>
          <w:rFonts w:ascii="Arial" w:cs="Arial" w:eastAsia="Arial" w:hAnsi="Arial"/>
          <w:sz w:val="14"/>
          <w:szCs w:val="14"/>
          <w:b w:val="1"/>
          <w:bCs w:val="1"/>
          <w:color w:val="auto"/>
        </w:rPr>
        <w:t>1411 Sand Island Parkway</w:t>
      </w:r>
    </w:p>
    <w:p>
      <w:pPr>
        <w:jc w:val="center"/>
        <w:ind w:right="20"/>
        <w:spacing w:after="0" w:line="226" w:lineRule="auto"/>
        <w:rPr>
          <w:sz w:val="20"/>
          <w:szCs w:val="20"/>
          <w:color w:val="auto"/>
        </w:rPr>
      </w:pPr>
      <w:r>
        <w:rPr>
          <w:rFonts w:ascii="Arial" w:cs="Arial" w:eastAsia="Arial" w:hAnsi="Arial"/>
          <w:sz w:val="14"/>
          <w:szCs w:val="14"/>
          <w:b w:val="1"/>
          <w:bCs w:val="1"/>
          <w:color w:val="auto"/>
        </w:rPr>
        <w:t>Honolulu, HI 96819</w:t>
      </w: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(808) 848-1211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78" w:lineRule="exact"/>
        <w:rPr>
          <w:sz w:val="24"/>
          <w:szCs w:val="24"/>
          <w:color w:val="auto"/>
        </w:rPr>
      </w:pPr>
    </w:p>
    <w:p>
      <w:pPr>
        <w:ind w:left="32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67"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3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142"/>
        </w:trPr>
        <w:tc>
          <w:tcPr>
            <w:tcW w:w="364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Common Stock, without par value</w:t>
            </w:r>
          </w:p>
        </w:tc>
        <w:tc>
          <w:tcPr>
            <w:tcW w:w="29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MATX</w:t>
            </w:r>
          </w:p>
        </w:tc>
        <w:tc>
          <w:tcPr>
            <w:tcW w:w="3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454"/>
        </w:trPr>
        <w:tc>
          <w:tcPr>
            <w:tcW w:w="3640" w:type="dxa"/>
            <w:vAlign w:val="bottom"/>
          </w:tcPr>
          <w:p>
            <w:pPr>
              <w:ind w:left="320"/>
              <w:spacing w:after="0"/>
              <w:rPr>
                <w:sz w:val="20"/>
                <w:szCs w:val="20"/>
                <w:color w:val="auto"/>
              </w:rPr>
            </w:pPr>
            <w:r>
              <w:rPr>
                <w:rFonts w:ascii="Arial" w:cs="Arial" w:eastAsia="Arial" w:hAnsi="Arial"/>
                <w:sz w:val="14"/>
                <w:szCs w:val="14"/>
                <w:color w:val="auto"/>
                <w:w w:val="92"/>
              </w:rPr>
              <w:t>Securities registered pursuant to Section 12(g) of the Act:</w:t>
            </w:r>
          </w:p>
        </w:tc>
        <w:tc>
          <w:tcPr>
            <w:tcW w:w="2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None</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2960" w:type="dxa"/>
            <w:vAlign w:val="bottom"/>
            <w:vMerge w:val="continue"/>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Number of shares of Common Stock outstanding at February 19, 2021:</w:t>
      </w:r>
    </w:p>
    <w:p>
      <w:pPr>
        <w:jc w:val="center"/>
        <w:ind w:right="20"/>
        <w:spacing w:after="0"/>
        <w:rPr>
          <w:sz w:val="20"/>
          <w:szCs w:val="20"/>
          <w:color w:val="auto"/>
        </w:rPr>
      </w:pPr>
      <w:r>
        <w:rPr>
          <w:rFonts w:ascii="Arial" w:cs="Arial" w:eastAsia="Arial" w:hAnsi="Arial"/>
          <w:sz w:val="14"/>
          <w:szCs w:val="14"/>
          <w:b w:val="1"/>
          <w:bCs w:val="1"/>
          <w:color w:val="auto"/>
        </w:rPr>
        <w:t>43,435,106</w:t>
      </w:r>
    </w:p>
    <w:p>
      <w:pPr>
        <w:spacing w:after="0" w:line="83" w:lineRule="exact"/>
        <w:rPr>
          <w:sz w:val="24"/>
          <w:szCs w:val="24"/>
          <w:color w:val="auto"/>
        </w:rPr>
      </w:pPr>
    </w:p>
    <w:p>
      <w:pPr>
        <w:ind w:right="2460"/>
        <w:spacing w:after="0" w:line="234"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32" w:lineRule="exact"/>
        <w:rPr>
          <w:sz w:val="24"/>
          <w:szCs w:val="24"/>
          <w:color w:val="auto"/>
        </w:rPr>
      </w:pPr>
    </w:p>
    <w:p>
      <w:pPr>
        <w:ind w:right="10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31" w:lineRule="exact"/>
        <w:rPr>
          <w:sz w:val="24"/>
          <w:szCs w:val="24"/>
          <w:color w:val="auto"/>
        </w:rPr>
      </w:pPr>
    </w:p>
    <w:p>
      <w:pPr>
        <w:ind w:right="64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31" w:lineRule="exact"/>
        <w:rPr>
          <w:sz w:val="24"/>
          <w:szCs w:val="24"/>
          <w:color w:val="auto"/>
        </w:rPr>
      </w:pPr>
    </w:p>
    <w:p>
      <w:pPr>
        <w:ind w:right="120"/>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0240"/>
          </w:cols>
          <w:pgMar w:left="840" w:top="665" w:right="819" w:bottom="1440" w:gutter="0" w:footer="0" w:header="0"/>
          <w:type w:val="continuous"/>
        </w:sectPr>
      </w:pPr>
    </w:p>
    <w:p>
      <w:pPr>
        <w:spacing w:after="0" w:line="3" w:lineRule="exact"/>
        <w:rPr>
          <w:sz w:val="24"/>
          <w:szCs w:val="24"/>
          <w:color w:val="auto"/>
        </w:rPr>
      </w:pPr>
    </w:p>
    <w:p>
      <w:pPr>
        <w:ind w:left="2140"/>
        <w:spacing w:after="0" w:line="175" w:lineRule="exact"/>
        <w:rPr>
          <w:sz w:val="20"/>
          <w:szCs w:val="20"/>
          <w:color w:val="auto"/>
        </w:rPr>
      </w:pPr>
      <w:r>
        <w:rPr>
          <w:rFonts w:ascii="Arial" w:cs="Arial" w:eastAsia="Arial" w:hAnsi="Arial"/>
          <w:sz w:val="13"/>
          <w:szCs w:val="13"/>
          <w:color w:val="auto"/>
        </w:rPr>
        <w:t xml:space="preserve">Large 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58" w:lineRule="exact"/>
        <w:rPr>
          <w:sz w:val="20"/>
          <w:szCs w:val="20"/>
          <w:color w:val="auto"/>
        </w:rPr>
      </w:pP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42" w:lineRule="exact"/>
        <w:rPr>
          <w:sz w:val="24"/>
          <w:szCs w:val="24"/>
          <w:color w:val="auto"/>
        </w:rPr>
      </w:pPr>
    </w:p>
    <w:p>
      <w:pPr>
        <w:sectPr>
          <w:pgSz w:w="11900" w:h="16838" w:orient="portrait"/>
          <w:cols w:equalWidth="0" w:num="2">
            <w:col w:w="6400" w:space="720"/>
            <w:col w:w="3120"/>
          </w:cols>
          <w:pgMar w:left="840" w:top="665" w:right="819" w:bottom="1440" w:gutter="0" w:footer="0" w:header="0"/>
          <w:type w:val="continuous"/>
        </w:sectPr>
      </w:pPr>
    </w:p>
    <w:p>
      <w:pPr>
        <w:spacing w:after="0" w:line="9" w:lineRule="exact"/>
        <w:rPr>
          <w:sz w:val="24"/>
          <w:szCs w:val="24"/>
          <w:color w:val="auto"/>
        </w:rPr>
      </w:pPr>
    </w:p>
    <w:p>
      <w:pPr>
        <w:ind w:left="2180"/>
        <w:spacing w:after="0" w:line="175" w:lineRule="exact"/>
        <w:rPr>
          <w:sz w:val="20"/>
          <w:szCs w:val="20"/>
          <w:color w:val="auto"/>
        </w:rPr>
      </w:pPr>
      <w:r>
        <w:rPr>
          <w:rFonts w:ascii="Arial" w:cs="Arial" w:eastAsia="Arial" w:hAnsi="Arial"/>
          <w:sz w:val="13"/>
          <w:szCs w:val="13"/>
          <w:color w:val="auto"/>
        </w:rPr>
        <w:t xml:space="preserve">Non-accelerated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line="175" w:lineRule="exact"/>
        <w:rPr>
          <w:sz w:val="20"/>
          <w:szCs w:val="20"/>
          <w:color w:val="auto"/>
        </w:rPr>
      </w:pPr>
      <w:r>
        <w:rPr>
          <w:rFonts w:ascii="Arial" w:cs="Arial" w:eastAsia="Arial" w:hAnsi="Arial"/>
          <w:sz w:val="13"/>
          <w:szCs w:val="13"/>
          <w:color w:val="auto"/>
        </w:rPr>
        <w:t xml:space="preserve">Emerging growth company </w:t>
      </w:r>
      <w:r>
        <w:rPr>
          <w:rFonts w:ascii="Arial Unicode MS" w:cs="Arial Unicode MS" w:eastAsia="Arial Unicode MS" w:hAnsi="Arial Unicode MS"/>
          <w:sz w:val="13"/>
          <w:szCs w:val="13"/>
          <w:color w:val="auto"/>
        </w:rPr>
        <w:t>☐</w:t>
      </w:r>
    </w:p>
    <w:p>
      <w:pPr>
        <w:spacing w:after="0" w:line="57" w:lineRule="exact"/>
        <w:rPr>
          <w:sz w:val="24"/>
          <w:szCs w:val="24"/>
          <w:color w:val="auto"/>
        </w:rPr>
      </w:pPr>
    </w:p>
    <w:p>
      <w:pPr>
        <w:sectPr>
          <w:pgSz w:w="11900" w:h="16838" w:orient="portrait"/>
          <w:cols w:equalWidth="0" w:num="2">
            <w:col w:w="6100" w:space="720"/>
            <w:col w:w="3420"/>
          </w:cols>
          <w:pgMar w:left="840" w:top="665" w:right="819" w:bottom="1440" w:gutter="0" w:footer="0" w:header="0"/>
          <w:type w:val="continuous"/>
        </w:sectPr>
      </w:pPr>
    </w:p>
    <w:p>
      <w:pPr>
        <w:ind w:right="26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5" w:lineRule="exact"/>
        <w:rPr>
          <w:sz w:val="24"/>
          <w:szCs w:val="24"/>
          <w:color w:val="auto"/>
        </w:rPr>
      </w:pPr>
    </w:p>
    <w:p>
      <w:pPr>
        <w:ind w:right="460"/>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5843905</wp:posOffset>
            </wp:positionH>
            <wp:positionV relativeFrom="paragraph">
              <wp:posOffset>-106680</wp:posOffset>
            </wp:positionV>
            <wp:extent cx="69215" cy="70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1"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4618990</wp:posOffset>
            </wp:positionH>
            <wp:positionV relativeFrom="paragraph">
              <wp:posOffset>-82550</wp:posOffset>
            </wp:positionV>
            <wp:extent cx="69215" cy="70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62" w:lineRule="exact"/>
        <w:rPr>
          <w:sz w:val="24"/>
          <w:szCs w:val="24"/>
          <w:color w:val="auto"/>
        </w:rPr>
      </w:pPr>
    </w:p>
    <w:p>
      <w:pPr>
        <w:ind w:left="2720"/>
        <w:spacing w:after="0"/>
        <w:rPr>
          <w:sz w:val="20"/>
          <w:szCs w:val="20"/>
          <w:color w:val="auto"/>
        </w:rPr>
      </w:pPr>
      <w:r>
        <w:rPr>
          <w:rFonts w:ascii="Arial" w:cs="Arial" w:eastAsia="Arial" w:hAnsi="Arial"/>
          <w:sz w:val="14"/>
          <w:szCs w:val="14"/>
          <w:color w:val="auto"/>
        </w:rPr>
        <w:t>Aggregate market value of Common Stock held by non-affiliates at June 30, 2020:</w:t>
      </w:r>
    </w:p>
    <w:p>
      <w:pPr>
        <w:jc w:val="center"/>
        <w:ind w:right="40"/>
        <w:spacing w:after="0"/>
        <w:rPr>
          <w:sz w:val="20"/>
          <w:szCs w:val="20"/>
          <w:color w:val="auto"/>
        </w:rPr>
      </w:pPr>
      <w:r>
        <w:rPr>
          <w:rFonts w:ascii="Arial" w:cs="Arial" w:eastAsia="Arial" w:hAnsi="Arial"/>
          <w:sz w:val="14"/>
          <w:szCs w:val="14"/>
          <w:b w:val="1"/>
          <w:bCs w:val="1"/>
          <w:color w:val="auto"/>
        </w:rPr>
        <w:t>$1,233,205,504</w:t>
      </w:r>
    </w:p>
    <w:p>
      <w:pPr>
        <w:spacing w:after="0" w:line="5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Documents Incorporated By Reference</w:t>
      </w:r>
    </w:p>
    <w:p>
      <w:pPr>
        <w:spacing w:after="0" w:line="69" w:lineRule="exact"/>
        <w:rPr>
          <w:sz w:val="24"/>
          <w:szCs w:val="24"/>
          <w:color w:val="auto"/>
        </w:rPr>
      </w:pPr>
    </w:p>
    <w:p>
      <w:pPr>
        <w:ind w:right="200"/>
        <w:spacing w:after="0" w:line="258" w:lineRule="auto"/>
        <w:rPr>
          <w:sz w:val="20"/>
          <w:szCs w:val="20"/>
          <w:color w:val="auto"/>
        </w:rPr>
      </w:pPr>
      <w:r>
        <w:rPr>
          <w:rFonts w:ascii="Arial" w:cs="Arial" w:eastAsia="Arial" w:hAnsi="Arial"/>
          <w:sz w:val="14"/>
          <w:szCs w:val="14"/>
          <w:b w:val="1"/>
          <w:bCs w:val="1"/>
          <w:color w:val="auto"/>
        </w:rPr>
        <w:t>The following document is incorporated by reference in Part III of the Annual Report on Form 10-K to the extent described therein: Proxy statement for the annual meeting of shareholders of Matson, Inc. to be held April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591820</wp:posOffset>
            </wp:positionV>
            <wp:extent cx="64979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34925</wp:posOffset>
            </wp:positionV>
            <wp:extent cx="6497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77470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5" w:right="81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Page</w:t>
            </w:r>
          </w:p>
        </w:tc>
      </w:tr>
      <w:tr>
        <w:trPr>
          <w:trHeight w:val="425"/>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3"/>
          </w:tcPr>
          <w:p>
            <w:pPr>
              <w:jc w:val="center"/>
              <w:ind w:right="1460"/>
              <w:spacing w:after="0"/>
              <w:rPr>
                <w:rFonts w:ascii="Arial" w:cs="Arial" w:eastAsia="Arial" w:hAnsi="Arial"/>
                <w:sz w:val="18"/>
                <w:szCs w:val="18"/>
                <w:b w:val="1"/>
                <w:bCs w:val="1"/>
                <w:u w:val="single" w:color="auto"/>
                <w:color w:val="0000EE"/>
                <w:w w:val="98"/>
              </w:rPr>
            </w:pPr>
            <w:hyperlink w:anchor="page3">
              <w:r>
                <w:rPr>
                  <w:rFonts w:ascii="Arial" w:cs="Arial" w:eastAsia="Arial" w:hAnsi="Arial"/>
                  <w:sz w:val="18"/>
                  <w:szCs w:val="18"/>
                  <w:b w:val="1"/>
                  <w:bCs w:val="1"/>
                  <w:u w:val="single" w:color="auto"/>
                  <w:color w:val="0000EE"/>
                  <w:w w:val="98"/>
                </w:rPr>
                <w:t>PART I</w:t>
              </w:r>
            </w:hyperlink>
          </w:p>
        </w:tc>
        <w:tc>
          <w:tcPr>
            <w:tcW w:w="820" w:type="dxa"/>
            <w:vAlign w:val="bottom"/>
          </w:tcPr>
          <w:p>
            <w:pPr>
              <w:spacing w:after="0"/>
              <w:rPr>
                <w:sz w:val="24"/>
                <w:szCs w:val="24"/>
                <w:color w:val="auto"/>
              </w:rPr>
            </w:pPr>
          </w:p>
        </w:tc>
      </w:tr>
      <w:tr>
        <w:trPr>
          <w:trHeight w:val="418"/>
        </w:trPr>
        <w:tc>
          <w:tcPr>
            <w:tcW w:w="76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260" w:type="dxa"/>
            <w:vAlign w:val="bottom"/>
          </w:tcPr>
          <w:p>
            <w:pPr>
              <w:spacing w:after="0"/>
              <w:rPr>
                <w:sz w:val="24"/>
                <w:szCs w:val="24"/>
                <w:color w:val="auto"/>
              </w:rPr>
            </w:pPr>
          </w:p>
        </w:tc>
        <w:tc>
          <w:tcPr>
            <w:tcW w:w="640" w:type="dxa"/>
            <w:vAlign w:val="bottom"/>
          </w:tcPr>
          <w:p>
            <w:pPr>
              <w:spacing w:after="0"/>
              <w:rPr>
                <w:rFonts w:ascii="Arial" w:cs="Arial" w:eastAsia="Arial" w:hAnsi="Arial"/>
                <w:sz w:val="18"/>
                <w:szCs w:val="18"/>
                <w:u w:val="single" w:color="auto"/>
                <w:color w:val="0000EE"/>
                <w:w w:val="84"/>
              </w:rPr>
            </w:pPr>
            <w:hyperlink w:anchor="page3">
              <w:r>
                <w:rPr>
                  <w:rFonts w:ascii="Arial" w:cs="Arial" w:eastAsia="Arial" w:hAnsi="Arial"/>
                  <w:sz w:val="18"/>
                  <w:szCs w:val="18"/>
                  <w:u w:val="single" w:color="auto"/>
                  <w:color w:val="0000EE"/>
                  <w:w w:val="84"/>
                </w:rPr>
                <w:t>Business</w:t>
              </w:r>
            </w:hyperlink>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60" w:type="dxa"/>
            <w:vAlign w:val="bottom"/>
          </w:tcPr>
          <w:p>
            <w:pPr>
              <w:spacing w:after="0"/>
              <w:rPr>
                <w:sz w:val="18"/>
                <w:szCs w:val="18"/>
                <w:color w:val="auto"/>
              </w:rPr>
            </w:pPr>
          </w:p>
        </w:tc>
        <w:tc>
          <w:tcPr>
            <w:tcW w:w="7320" w:type="dxa"/>
            <w:vAlign w:val="bottom"/>
            <w:gridSpan w:val="7"/>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 Company Overview</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60" w:type="dxa"/>
            <w:vAlign w:val="bottom"/>
          </w:tcPr>
          <w:p>
            <w:pPr>
              <w:spacing w:after="0"/>
              <w:rPr>
                <w:sz w:val="18"/>
                <w:szCs w:val="18"/>
                <w:color w:val="auto"/>
              </w:rPr>
            </w:pPr>
          </w:p>
        </w:tc>
        <w:tc>
          <w:tcPr>
            <w:tcW w:w="7320" w:type="dxa"/>
            <w:vAlign w:val="bottom"/>
            <w:gridSpan w:val="7"/>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 Business Description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60" w:type="dxa"/>
            <w:vAlign w:val="bottom"/>
          </w:tcPr>
          <w:p>
            <w:pPr>
              <w:spacing w:after="0"/>
              <w:rPr>
                <w:sz w:val="18"/>
                <w:szCs w:val="18"/>
                <w:color w:val="auto"/>
              </w:rPr>
            </w:pPr>
          </w:p>
        </w:tc>
        <w:tc>
          <w:tcPr>
            <w:tcW w:w="900" w:type="dxa"/>
            <w:vAlign w:val="bottom"/>
            <w:gridSpan w:val="2"/>
          </w:tcPr>
          <w:p>
            <w:pPr>
              <w:ind w:left="5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c>
          <w:tcPr>
            <w:tcW w:w="6420" w:type="dxa"/>
            <w:vAlign w:val="bottom"/>
            <w:gridSpan w:val="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Ocean Transportation Segment</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60" w:type="dxa"/>
            <w:vAlign w:val="bottom"/>
          </w:tcPr>
          <w:p>
            <w:pPr>
              <w:spacing w:after="0"/>
              <w:rPr>
                <w:sz w:val="18"/>
                <w:szCs w:val="18"/>
                <w:color w:val="auto"/>
              </w:rPr>
            </w:pPr>
          </w:p>
        </w:tc>
        <w:tc>
          <w:tcPr>
            <w:tcW w:w="900" w:type="dxa"/>
            <w:vAlign w:val="bottom"/>
            <w:gridSpan w:val="2"/>
          </w:tcPr>
          <w:p>
            <w:pPr>
              <w:ind w:left="58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(2)</w:t>
              </w:r>
            </w:hyperlink>
          </w:p>
        </w:tc>
        <w:tc>
          <w:tcPr>
            <w:tcW w:w="6420" w:type="dxa"/>
            <w:vAlign w:val="bottom"/>
            <w:gridSpan w:val="5"/>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Logistics Segment</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60" w:type="dxa"/>
            <w:vAlign w:val="bottom"/>
          </w:tcPr>
          <w:p>
            <w:pPr>
              <w:spacing w:after="0"/>
              <w:rPr>
                <w:sz w:val="18"/>
                <w:szCs w:val="18"/>
                <w:color w:val="auto"/>
              </w:rPr>
            </w:pPr>
          </w:p>
        </w:tc>
        <w:tc>
          <w:tcPr>
            <w:tcW w:w="7320" w:type="dxa"/>
            <w:vAlign w:val="bottom"/>
            <w:gridSpan w:val="7"/>
          </w:tcPr>
          <w:p>
            <w:pPr>
              <w:ind w:left="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 Employees and Labor Relations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60" w:type="dxa"/>
            <w:vAlign w:val="bottom"/>
          </w:tcPr>
          <w:p>
            <w:pPr>
              <w:spacing w:after="0"/>
              <w:rPr>
                <w:sz w:val="18"/>
                <w:szCs w:val="18"/>
                <w:color w:val="auto"/>
              </w:rPr>
            </w:pPr>
          </w:p>
        </w:tc>
        <w:tc>
          <w:tcPr>
            <w:tcW w:w="7320" w:type="dxa"/>
            <w:vAlign w:val="bottom"/>
            <w:gridSpan w:val="7"/>
          </w:tcPr>
          <w:p>
            <w:pPr>
              <w:ind w:left="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D. Available Information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1A.</w:t>
              </w:r>
            </w:hyperlink>
          </w:p>
        </w:tc>
        <w:tc>
          <w:tcPr>
            <w:tcW w:w="260" w:type="dxa"/>
            <w:vAlign w:val="bottom"/>
          </w:tcPr>
          <w:p>
            <w:pPr>
              <w:spacing w:after="0"/>
              <w:rPr>
                <w:sz w:val="18"/>
                <w:szCs w:val="18"/>
                <w:color w:val="auto"/>
              </w:rPr>
            </w:pPr>
          </w:p>
        </w:tc>
        <w:tc>
          <w:tcPr>
            <w:tcW w:w="7060" w:type="dxa"/>
            <w:vAlign w:val="bottom"/>
            <w:gridSpan w:val="6"/>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Risk Factors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1B.</w:t>
              </w:r>
            </w:hyperlink>
          </w:p>
        </w:tc>
        <w:tc>
          <w:tcPr>
            <w:tcW w:w="260" w:type="dxa"/>
            <w:vAlign w:val="bottom"/>
          </w:tcPr>
          <w:p>
            <w:pPr>
              <w:spacing w:after="0"/>
              <w:rPr>
                <w:sz w:val="18"/>
                <w:szCs w:val="18"/>
                <w:color w:val="auto"/>
              </w:rPr>
            </w:pPr>
          </w:p>
        </w:tc>
        <w:tc>
          <w:tcPr>
            <w:tcW w:w="7060" w:type="dxa"/>
            <w:vAlign w:val="bottom"/>
            <w:gridSpan w:val="6"/>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Unresolved Staff Comments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2.</w:t>
              </w:r>
            </w:hyperlink>
          </w:p>
        </w:tc>
        <w:tc>
          <w:tcPr>
            <w:tcW w:w="260" w:type="dxa"/>
            <w:vAlign w:val="bottom"/>
          </w:tcPr>
          <w:p>
            <w:pPr>
              <w:spacing w:after="0"/>
              <w:rPr>
                <w:sz w:val="18"/>
                <w:szCs w:val="18"/>
                <w:color w:val="auto"/>
              </w:rPr>
            </w:pPr>
          </w:p>
        </w:tc>
        <w:tc>
          <w:tcPr>
            <w:tcW w:w="7060" w:type="dxa"/>
            <w:vAlign w:val="bottom"/>
            <w:gridSpan w:val="6"/>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Properties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3.</w:t>
              </w:r>
            </w:hyperlink>
          </w:p>
        </w:tc>
        <w:tc>
          <w:tcPr>
            <w:tcW w:w="260" w:type="dxa"/>
            <w:vAlign w:val="bottom"/>
          </w:tcPr>
          <w:p>
            <w:pPr>
              <w:spacing w:after="0"/>
              <w:rPr>
                <w:sz w:val="18"/>
                <w:szCs w:val="18"/>
                <w:color w:val="auto"/>
              </w:rPr>
            </w:pPr>
          </w:p>
        </w:tc>
        <w:tc>
          <w:tcPr>
            <w:tcW w:w="7060" w:type="dxa"/>
            <w:vAlign w:val="bottom"/>
            <w:gridSpan w:val="6"/>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Legal Proceedings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6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4.</w:t>
              </w:r>
            </w:hyperlink>
          </w:p>
        </w:tc>
        <w:tc>
          <w:tcPr>
            <w:tcW w:w="260" w:type="dxa"/>
            <w:vAlign w:val="bottom"/>
          </w:tcPr>
          <w:p>
            <w:pPr>
              <w:spacing w:after="0"/>
              <w:rPr>
                <w:sz w:val="20"/>
                <w:szCs w:val="20"/>
                <w:color w:val="auto"/>
              </w:rPr>
            </w:pPr>
          </w:p>
        </w:tc>
        <w:tc>
          <w:tcPr>
            <w:tcW w:w="7060" w:type="dxa"/>
            <w:vAlign w:val="bottom"/>
            <w:gridSpan w:val="6"/>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Mine Safety Disclosures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3"/>
          </w:tcPr>
          <w:p>
            <w:pPr>
              <w:jc w:val="center"/>
              <w:ind w:right="1460"/>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PART II</w:t>
              </w:r>
            </w:hyperlink>
          </w:p>
        </w:tc>
        <w:tc>
          <w:tcPr>
            <w:tcW w:w="820" w:type="dxa"/>
            <w:vAlign w:val="bottom"/>
          </w:tcPr>
          <w:p>
            <w:pPr>
              <w:spacing w:after="0"/>
              <w:rPr>
                <w:sz w:val="24"/>
                <w:szCs w:val="24"/>
                <w:color w:val="auto"/>
              </w:rPr>
            </w:pPr>
          </w:p>
        </w:tc>
      </w:tr>
      <w:tr>
        <w:trPr>
          <w:trHeight w:val="392"/>
        </w:trPr>
        <w:tc>
          <w:tcPr>
            <w:tcW w:w="76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5.</w:t>
              </w:r>
            </w:hyperlink>
          </w:p>
        </w:tc>
        <w:tc>
          <w:tcPr>
            <w:tcW w:w="260" w:type="dxa"/>
            <w:vAlign w:val="bottom"/>
          </w:tcPr>
          <w:p>
            <w:pPr>
              <w:spacing w:after="0"/>
              <w:rPr>
                <w:sz w:val="24"/>
                <w:szCs w:val="24"/>
                <w:color w:val="auto"/>
              </w:rPr>
            </w:pPr>
          </w:p>
        </w:tc>
        <w:tc>
          <w:tcPr>
            <w:tcW w:w="7060" w:type="dxa"/>
            <w:vAlign w:val="bottom"/>
            <w:gridSpan w:val="6"/>
          </w:tcPr>
          <w:p>
            <w:pPr>
              <w:spacing w:after="0"/>
              <w:rPr>
                <w:rFonts w:ascii="Arial" w:cs="Arial" w:eastAsia="Arial" w:hAnsi="Arial"/>
                <w:sz w:val="18"/>
                <w:szCs w:val="18"/>
                <w:color w:val="0000EE"/>
                <w:w w:val="96"/>
              </w:rPr>
            </w:pPr>
            <w:hyperlink w:anchor="page25">
              <w:r>
                <w:rPr>
                  <w:rFonts w:ascii="Arial" w:cs="Arial" w:eastAsia="Arial" w:hAnsi="Arial"/>
                  <w:sz w:val="18"/>
                  <w:szCs w:val="18"/>
                  <w:color w:val="0000EE"/>
                  <w:w w:val="96"/>
                </w:rPr>
                <w:t>Market for Registrant’s Common Equity, Related Stockholder Matters and Issuer Purchases</w:t>
              </w:r>
            </w:hyperlink>
          </w:p>
        </w:tc>
        <w:tc>
          <w:tcPr>
            <w:tcW w:w="82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of Equity Securities</w:t>
              </w:r>
            </w:hyperlink>
          </w:p>
        </w:tc>
        <w:tc>
          <w:tcPr>
            <w:tcW w:w="5160" w:type="dxa"/>
            <w:vAlign w:val="bottom"/>
            <w:tcBorders>
              <w:top w:val="single" w:sz="8" w:color="0000EE"/>
            </w:tcBorders>
            <w:gridSpan w:val="3"/>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22"/>
        </w:trPr>
        <w:tc>
          <w:tcPr>
            <w:tcW w:w="76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6.</w:t>
              </w:r>
            </w:hyperlink>
          </w:p>
        </w:tc>
        <w:tc>
          <w:tcPr>
            <w:tcW w:w="260" w:type="dxa"/>
            <w:vAlign w:val="bottom"/>
          </w:tcPr>
          <w:p>
            <w:pPr>
              <w:spacing w:after="0"/>
              <w:rPr>
                <w:sz w:val="19"/>
                <w:szCs w:val="19"/>
                <w:color w:val="auto"/>
              </w:rPr>
            </w:pPr>
          </w:p>
        </w:tc>
        <w:tc>
          <w:tcPr>
            <w:tcW w:w="7060" w:type="dxa"/>
            <w:vAlign w:val="bottom"/>
            <w:gridSpan w:val="6"/>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Selected Financial Data</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7.</w:t>
              </w:r>
            </w:hyperlink>
          </w:p>
        </w:tc>
        <w:tc>
          <w:tcPr>
            <w:tcW w:w="260" w:type="dxa"/>
            <w:vAlign w:val="bottom"/>
          </w:tcPr>
          <w:p>
            <w:pPr>
              <w:spacing w:after="0"/>
              <w:rPr>
                <w:sz w:val="18"/>
                <w:szCs w:val="18"/>
                <w:color w:val="auto"/>
              </w:rPr>
            </w:pPr>
          </w:p>
        </w:tc>
        <w:tc>
          <w:tcPr>
            <w:tcW w:w="7060" w:type="dxa"/>
            <w:vAlign w:val="bottom"/>
            <w:gridSpan w:val="6"/>
          </w:tcPr>
          <w:p>
            <w:pPr>
              <w:spacing w:after="0"/>
              <w:rPr>
                <w:rFonts w:ascii="Arial" w:cs="Arial" w:eastAsia="Arial" w:hAnsi="Arial"/>
                <w:sz w:val="18"/>
                <w:szCs w:val="18"/>
                <w:u w:val="single" w:color="auto"/>
                <w:color w:val="0000EE"/>
                <w:w w:val="99"/>
              </w:rPr>
            </w:pPr>
            <w:hyperlink w:anchor="page28">
              <w:r>
                <w:rPr>
                  <w:rFonts w:ascii="Arial" w:cs="Arial" w:eastAsia="Arial" w:hAnsi="Arial"/>
                  <w:sz w:val="18"/>
                  <w:szCs w:val="18"/>
                  <w:u w:val="single" w:color="auto"/>
                  <w:color w:val="0000EE"/>
                  <w:w w:val="99"/>
                </w:rPr>
                <w:t>Management’s Discussion and Analysis of Financial Condition and Results of Operations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7A.</w:t>
              </w:r>
            </w:hyperlink>
          </w:p>
        </w:tc>
        <w:tc>
          <w:tcPr>
            <w:tcW w:w="260" w:type="dxa"/>
            <w:vAlign w:val="bottom"/>
          </w:tcPr>
          <w:p>
            <w:pPr>
              <w:spacing w:after="0"/>
              <w:rPr>
                <w:sz w:val="18"/>
                <w:szCs w:val="18"/>
                <w:color w:val="auto"/>
              </w:rPr>
            </w:pPr>
          </w:p>
        </w:tc>
        <w:tc>
          <w:tcPr>
            <w:tcW w:w="7060" w:type="dxa"/>
            <w:vAlign w:val="bottom"/>
            <w:gridSpan w:val="6"/>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Quantitative and Qualitative Disclosures About Market Risk</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8.</w:t>
              </w:r>
            </w:hyperlink>
          </w:p>
        </w:tc>
        <w:tc>
          <w:tcPr>
            <w:tcW w:w="260" w:type="dxa"/>
            <w:vAlign w:val="bottom"/>
          </w:tcPr>
          <w:p>
            <w:pPr>
              <w:spacing w:after="0"/>
              <w:rPr>
                <w:sz w:val="18"/>
                <w:szCs w:val="18"/>
                <w:color w:val="auto"/>
              </w:rPr>
            </w:pPr>
          </w:p>
        </w:tc>
        <w:tc>
          <w:tcPr>
            <w:tcW w:w="7060" w:type="dxa"/>
            <w:vAlign w:val="bottom"/>
            <w:gridSpan w:val="6"/>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Financial Statements and Supplementary Data</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9.</w:t>
              </w:r>
            </w:hyperlink>
          </w:p>
        </w:tc>
        <w:tc>
          <w:tcPr>
            <w:tcW w:w="260" w:type="dxa"/>
            <w:vAlign w:val="bottom"/>
          </w:tcPr>
          <w:p>
            <w:pPr>
              <w:spacing w:after="0"/>
              <w:rPr>
                <w:sz w:val="18"/>
                <w:szCs w:val="18"/>
                <w:color w:val="auto"/>
              </w:rPr>
            </w:pPr>
          </w:p>
        </w:tc>
        <w:tc>
          <w:tcPr>
            <w:tcW w:w="7060" w:type="dxa"/>
            <w:vAlign w:val="bottom"/>
            <w:gridSpan w:val="6"/>
          </w:tcPr>
          <w:p>
            <w:pPr>
              <w:spacing w:after="0"/>
              <w:rPr>
                <w:rFonts w:ascii="Arial" w:cs="Arial" w:eastAsia="Arial" w:hAnsi="Arial"/>
                <w:sz w:val="18"/>
                <w:szCs w:val="18"/>
                <w:u w:val="single" w:color="auto"/>
                <w:color w:val="0000EE"/>
                <w:w w:val="98"/>
              </w:rPr>
            </w:pPr>
            <w:hyperlink w:anchor="page76">
              <w:r>
                <w:rPr>
                  <w:rFonts w:ascii="Arial" w:cs="Arial" w:eastAsia="Arial" w:hAnsi="Arial"/>
                  <w:sz w:val="18"/>
                  <w:szCs w:val="18"/>
                  <w:u w:val="single" w:color="auto"/>
                  <w:color w:val="0000EE"/>
                  <w:w w:val="98"/>
                </w:rPr>
                <w:t>Changes in and Disagreements with Accountants on Accounting and Financial Disclosure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9A.</w:t>
              </w:r>
            </w:hyperlink>
          </w:p>
        </w:tc>
        <w:tc>
          <w:tcPr>
            <w:tcW w:w="260" w:type="dxa"/>
            <w:vAlign w:val="bottom"/>
          </w:tcPr>
          <w:p>
            <w:pPr>
              <w:spacing w:after="0"/>
              <w:rPr>
                <w:sz w:val="18"/>
                <w:szCs w:val="18"/>
                <w:color w:val="auto"/>
              </w:rPr>
            </w:pPr>
          </w:p>
        </w:tc>
        <w:tc>
          <w:tcPr>
            <w:tcW w:w="7060" w:type="dxa"/>
            <w:vAlign w:val="bottom"/>
            <w:gridSpan w:val="6"/>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Controls and Procedures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60" w:type="dxa"/>
            <w:vAlign w:val="bottom"/>
            <w:gridSpan w:val="6"/>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Conclusion Regarding Effectiveness of Disclosure Controls and Procedures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60" w:type="dxa"/>
            <w:vAlign w:val="bottom"/>
            <w:gridSpan w:val="6"/>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Internal Control over Financial Reporting</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76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9B.</w:t>
              </w:r>
            </w:hyperlink>
          </w:p>
        </w:tc>
        <w:tc>
          <w:tcPr>
            <w:tcW w:w="260" w:type="dxa"/>
            <w:vAlign w:val="bottom"/>
          </w:tcPr>
          <w:p>
            <w:pPr>
              <w:spacing w:after="0"/>
              <w:rPr>
                <w:sz w:val="20"/>
                <w:szCs w:val="20"/>
                <w:color w:val="auto"/>
              </w:rPr>
            </w:pPr>
          </w:p>
        </w:tc>
        <w:tc>
          <w:tcPr>
            <w:tcW w:w="7060" w:type="dxa"/>
            <w:vAlign w:val="bottom"/>
            <w:gridSpan w:val="6"/>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Other Information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32"/>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3"/>
          </w:tcPr>
          <w:p>
            <w:pPr>
              <w:jc w:val="center"/>
              <w:ind w:right="1480"/>
              <w:spacing w:after="0"/>
              <w:rPr>
                <w:rFonts w:ascii="Arial" w:cs="Arial" w:eastAsia="Arial" w:hAnsi="Arial"/>
                <w:sz w:val="18"/>
                <w:szCs w:val="18"/>
                <w:b w:val="1"/>
                <w:bCs w:val="1"/>
                <w:u w:val="single" w:color="auto"/>
                <w:color w:val="0000EE"/>
              </w:rPr>
            </w:pPr>
            <w:hyperlink w:anchor="page77">
              <w:r>
                <w:rPr>
                  <w:rFonts w:ascii="Arial" w:cs="Arial" w:eastAsia="Arial" w:hAnsi="Arial"/>
                  <w:sz w:val="18"/>
                  <w:szCs w:val="18"/>
                  <w:b w:val="1"/>
                  <w:bCs w:val="1"/>
                  <w:u w:val="single" w:color="auto"/>
                  <w:color w:val="0000EE"/>
                </w:rPr>
                <w:t>PART III</w:t>
              </w:r>
            </w:hyperlink>
          </w:p>
        </w:tc>
        <w:tc>
          <w:tcPr>
            <w:tcW w:w="820" w:type="dxa"/>
            <w:vAlign w:val="bottom"/>
          </w:tcPr>
          <w:p>
            <w:pPr>
              <w:spacing w:after="0"/>
              <w:rPr>
                <w:sz w:val="24"/>
                <w:szCs w:val="24"/>
                <w:color w:val="auto"/>
              </w:rPr>
            </w:pPr>
          </w:p>
        </w:tc>
      </w:tr>
      <w:tr>
        <w:trPr>
          <w:trHeight w:val="418"/>
        </w:trPr>
        <w:tc>
          <w:tcPr>
            <w:tcW w:w="760" w:type="dxa"/>
            <w:vAlign w:val="bottom"/>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Item 10.</w:t>
              </w:r>
            </w:hyperlink>
          </w:p>
        </w:tc>
        <w:tc>
          <w:tcPr>
            <w:tcW w:w="260" w:type="dxa"/>
            <w:vAlign w:val="bottom"/>
          </w:tcPr>
          <w:p>
            <w:pPr>
              <w:spacing w:after="0"/>
              <w:rPr>
                <w:sz w:val="24"/>
                <w:szCs w:val="24"/>
                <w:color w:val="auto"/>
              </w:rPr>
            </w:pPr>
          </w:p>
        </w:tc>
        <w:tc>
          <w:tcPr>
            <w:tcW w:w="7060" w:type="dxa"/>
            <w:vAlign w:val="bottom"/>
            <w:gridSpan w:val="6"/>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Directors, Executive Officers and Corporate Governance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760" w:type="dxa"/>
            <w:vAlign w:val="bottom"/>
          </w:tcPr>
          <w:p>
            <w:pPr>
              <w:spacing w:after="0"/>
              <w:rPr>
                <w:sz w:val="18"/>
                <w:szCs w:val="18"/>
                <w:color w:val="auto"/>
              </w:rPr>
            </w:pPr>
          </w:p>
        </w:tc>
        <w:tc>
          <w:tcPr>
            <w:tcW w:w="7320" w:type="dxa"/>
            <w:vAlign w:val="bottom"/>
            <w:gridSpan w:val="7"/>
          </w:tcPr>
          <w:p>
            <w:pPr>
              <w:ind w:left="2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A. Directors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760" w:type="dxa"/>
            <w:vAlign w:val="bottom"/>
          </w:tcPr>
          <w:p>
            <w:pPr>
              <w:spacing w:after="0"/>
              <w:rPr>
                <w:sz w:val="18"/>
                <w:szCs w:val="18"/>
                <w:color w:val="auto"/>
              </w:rPr>
            </w:pPr>
          </w:p>
        </w:tc>
        <w:tc>
          <w:tcPr>
            <w:tcW w:w="7320" w:type="dxa"/>
            <w:vAlign w:val="bottom"/>
            <w:gridSpan w:val="7"/>
          </w:tcPr>
          <w:p>
            <w:pPr>
              <w:ind w:left="2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B. Information About Our Executive Officers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760" w:type="dxa"/>
            <w:vAlign w:val="bottom"/>
          </w:tcPr>
          <w:p>
            <w:pPr>
              <w:spacing w:after="0"/>
              <w:rPr>
                <w:sz w:val="18"/>
                <w:szCs w:val="18"/>
                <w:color w:val="auto"/>
              </w:rPr>
            </w:pPr>
          </w:p>
        </w:tc>
        <w:tc>
          <w:tcPr>
            <w:tcW w:w="7320" w:type="dxa"/>
            <w:vAlign w:val="bottom"/>
            <w:gridSpan w:val="7"/>
          </w:tcPr>
          <w:p>
            <w:pPr>
              <w:ind w:left="2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C. Corporate Governance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760" w:type="dxa"/>
            <w:vAlign w:val="bottom"/>
          </w:tcPr>
          <w:p>
            <w:pPr>
              <w:spacing w:after="0"/>
              <w:rPr>
                <w:sz w:val="18"/>
                <w:szCs w:val="18"/>
                <w:color w:val="auto"/>
              </w:rPr>
            </w:pPr>
          </w:p>
        </w:tc>
        <w:tc>
          <w:tcPr>
            <w:tcW w:w="7320" w:type="dxa"/>
            <w:vAlign w:val="bottom"/>
            <w:gridSpan w:val="7"/>
          </w:tcPr>
          <w:p>
            <w:pPr>
              <w:ind w:left="2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D. Code of Ethics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760" w:type="dxa"/>
            <w:vAlign w:val="bottom"/>
          </w:tcPr>
          <w:p>
            <w:pPr>
              <w:spacing w:after="0"/>
              <w:rPr>
                <w:rFonts w:ascii="Arial" w:cs="Arial" w:eastAsia="Arial" w:hAnsi="Arial"/>
                <w:sz w:val="18"/>
                <w:szCs w:val="18"/>
                <w:color w:val="0000EE"/>
              </w:rPr>
            </w:pPr>
            <w:hyperlink w:anchor="page77">
              <w:r>
                <w:rPr>
                  <w:rFonts w:ascii="Arial" w:cs="Arial" w:eastAsia="Arial" w:hAnsi="Arial"/>
                  <w:sz w:val="18"/>
                  <w:szCs w:val="18"/>
                  <w:u w:val="single" w:color="auto"/>
                  <w:color w:val="0000EE"/>
                </w:rPr>
                <w:t>Item 11</w:t>
              </w:r>
              <w:r>
                <w:rPr>
                  <w:rFonts w:ascii="Arial" w:cs="Arial" w:eastAsia="Arial" w:hAnsi="Arial"/>
                  <w:sz w:val="18"/>
                  <w:szCs w:val="18"/>
                  <w:color w:val="0000EE"/>
                </w:rPr>
                <w:t>.</w:t>
              </w:r>
            </w:hyperlink>
          </w:p>
        </w:tc>
        <w:tc>
          <w:tcPr>
            <w:tcW w:w="260" w:type="dxa"/>
            <w:vAlign w:val="bottom"/>
          </w:tcPr>
          <w:p>
            <w:pPr>
              <w:spacing w:after="0"/>
              <w:rPr>
                <w:sz w:val="18"/>
                <w:szCs w:val="18"/>
                <w:color w:val="auto"/>
              </w:rPr>
            </w:pPr>
          </w:p>
        </w:tc>
        <w:tc>
          <w:tcPr>
            <w:tcW w:w="7060" w:type="dxa"/>
            <w:vAlign w:val="bottom"/>
            <w:gridSpan w:val="6"/>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Executive Compensation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190"/>
        </w:trPr>
        <w:tc>
          <w:tcPr>
            <w:tcW w:w="760" w:type="dxa"/>
            <w:vAlign w:val="bottom"/>
          </w:tcPr>
          <w:p>
            <w:pPr>
              <w:spacing w:after="0" w:line="190" w:lineRule="exact"/>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Item 12.</w:t>
              </w:r>
            </w:hyperlink>
          </w:p>
        </w:tc>
        <w:tc>
          <w:tcPr>
            <w:tcW w:w="260" w:type="dxa"/>
            <w:vAlign w:val="bottom"/>
          </w:tcPr>
          <w:p>
            <w:pPr>
              <w:spacing w:after="0"/>
              <w:rPr>
                <w:sz w:val="16"/>
                <w:szCs w:val="16"/>
                <w:color w:val="auto"/>
              </w:rPr>
            </w:pPr>
          </w:p>
        </w:tc>
        <w:tc>
          <w:tcPr>
            <w:tcW w:w="7060" w:type="dxa"/>
            <w:vAlign w:val="bottom"/>
            <w:gridSpan w:val="6"/>
          </w:tcPr>
          <w:p>
            <w:pPr>
              <w:spacing w:after="0" w:line="190" w:lineRule="exact"/>
              <w:rPr>
                <w:rFonts w:ascii="Arial" w:cs="Arial" w:eastAsia="Arial" w:hAnsi="Arial"/>
                <w:sz w:val="18"/>
                <w:szCs w:val="18"/>
                <w:color w:val="0000EE"/>
              </w:rPr>
            </w:pPr>
            <w:hyperlink w:anchor="page77">
              <w:r>
                <w:rPr>
                  <w:rFonts w:ascii="Arial" w:cs="Arial" w:eastAsia="Arial" w:hAnsi="Arial"/>
                  <w:sz w:val="18"/>
                  <w:szCs w:val="18"/>
                  <w:color w:val="0000EE"/>
                </w:rPr>
                <w:t>Security Ownership of Certain Beneficial Owners and Management and Related</w:t>
              </w:r>
            </w:hyperlink>
          </w:p>
        </w:tc>
        <w:tc>
          <w:tcPr>
            <w:tcW w:w="820" w:type="dxa"/>
            <w:vAlign w:val="bottom"/>
          </w:tcPr>
          <w:p>
            <w:pPr>
              <w:spacing w:after="0"/>
              <w:rPr>
                <w:sz w:val="16"/>
                <w:szCs w:val="16"/>
                <w:color w:val="auto"/>
              </w:rPr>
            </w:pPr>
          </w:p>
        </w:tc>
      </w:tr>
      <w:tr>
        <w:trPr>
          <w:trHeight w:val="19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7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Stockholder Matters</w:t>
              </w:r>
            </w:hyperlink>
          </w:p>
        </w:tc>
        <w:tc>
          <w:tcPr>
            <w:tcW w:w="128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56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2"/>
        </w:trPr>
        <w:tc>
          <w:tcPr>
            <w:tcW w:w="760" w:type="dxa"/>
            <w:vAlign w:val="bottom"/>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Item 13.</w:t>
              </w:r>
            </w:hyperlink>
          </w:p>
        </w:tc>
        <w:tc>
          <w:tcPr>
            <w:tcW w:w="260" w:type="dxa"/>
            <w:vAlign w:val="bottom"/>
          </w:tcPr>
          <w:p>
            <w:pPr>
              <w:spacing w:after="0"/>
              <w:rPr>
                <w:sz w:val="19"/>
                <w:szCs w:val="19"/>
                <w:color w:val="auto"/>
              </w:rPr>
            </w:pPr>
          </w:p>
        </w:tc>
        <w:tc>
          <w:tcPr>
            <w:tcW w:w="7060" w:type="dxa"/>
            <w:vAlign w:val="bottom"/>
            <w:gridSpan w:val="6"/>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Certain Relationships and Related Transactions, and Director Independence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760" w:type="dxa"/>
            <w:vAlign w:val="bottom"/>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Item 14.</w:t>
              </w:r>
            </w:hyperlink>
          </w:p>
        </w:tc>
        <w:tc>
          <w:tcPr>
            <w:tcW w:w="260" w:type="dxa"/>
            <w:vAlign w:val="bottom"/>
          </w:tcPr>
          <w:p>
            <w:pPr>
              <w:spacing w:after="0"/>
              <w:rPr>
                <w:sz w:val="20"/>
                <w:szCs w:val="20"/>
                <w:color w:val="auto"/>
              </w:rPr>
            </w:pPr>
          </w:p>
        </w:tc>
        <w:tc>
          <w:tcPr>
            <w:tcW w:w="7060" w:type="dxa"/>
            <w:vAlign w:val="bottom"/>
            <w:gridSpan w:val="6"/>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Principal Accountant Fees and Services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32"/>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3"/>
          </w:tcPr>
          <w:p>
            <w:pPr>
              <w:jc w:val="center"/>
              <w:ind w:right="1480"/>
              <w:spacing w:after="0"/>
              <w:rPr>
                <w:rFonts w:ascii="Arial" w:cs="Arial" w:eastAsia="Arial" w:hAnsi="Arial"/>
                <w:sz w:val="18"/>
                <w:szCs w:val="18"/>
                <w:b w:val="1"/>
                <w:bCs w:val="1"/>
                <w:u w:val="single" w:color="auto"/>
                <w:color w:val="0000EE"/>
              </w:rPr>
            </w:pPr>
            <w:hyperlink w:anchor="page79">
              <w:r>
                <w:rPr>
                  <w:rFonts w:ascii="Arial" w:cs="Arial" w:eastAsia="Arial" w:hAnsi="Arial"/>
                  <w:sz w:val="18"/>
                  <w:szCs w:val="18"/>
                  <w:b w:val="1"/>
                  <w:bCs w:val="1"/>
                  <w:u w:val="single" w:color="auto"/>
                  <w:color w:val="0000EE"/>
                </w:rPr>
                <w:t>PART IV</w:t>
              </w:r>
            </w:hyperlink>
          </w:p>
        </w:tc>
        <w:tc>
          <w:tcPr>
            <w:tcW w:w="820" w:type="dxa"/>
            <w:vAlign w:val="bottom"/>
          </w:tcPr>
          <w:p>
            <w:pPr>
              <w:spacing w:after="0"/>
              <w:rPr>
                <w:sz w:val="24"/>
                <w:szCs w:val="24"/>
                <w:color w:val="auto"/>
              </w:rPr>
            </w:pPr>
          </w:p>
        </w:tc>
      </w:tr>
      <w:tr>
        <w:trPr>
          <w:trHeight w:val="418"/>
        </w:trPr>
        <w:tc>
          <w:tcPr>
            <w:tcW w:w="76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Item 15.</w:t>
              </w:r>
            </w:hyperlink>
          </w:p>
        </w:tc>
        <w:tc>
          <w:tcPr>
            <w:tcW w:w="260" w:type="dxa"/>
            <w:vAlign w:val="bottom"/>
          </w:tcPr>
          <w:p>
            <w:pPr>
              <w:spacing w:after="0"/>
              <w:rPr>
                <w:sz w:val="24"/>
                <w:szCs w:val="24"/>
                <w:color w:val="auto"/>
              </w:rPr>
            </w:pPr>
          </w:p>
        </w:tc>
        <w:tc>
          <w:tcPr>
            <w:tcW w:w="7060" w:type="dxa"/>
            <w:vAlign w:val="bottom"/>
            <w:gridSpan w:val="6"/>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Exhibits and Financial Statement Schedules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60" w:type="dxa"/>
            <w:vAlign w:val="bottom"/>
          </w:tcPr>
          <w:p>
            <w:pPr>
              <w:spacing w:after="0"/>
              <w:rPr>
                <w:sz w:val="18"/>
                <w:szCs w:val="18"/>
                <w:color w:val="auto"/>
              </w:rPr>
            </w:pPr>
          </w:p>
        </w:tc>
        <w:tc>
          <w:tcPr>
            <w:tcW w:w="7320" w:type="dxa"/>
            <w:vAlign w:val="bottom"/>
            <w:gridSpan w:val="7"/>
          </w:tcPr>
          <w:p>
            <w:pPr>
              <w:ind w:left="2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A. Financial Statements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60" w:type="dxa"/>
            <w:vAlign w:val="bottom"/>
          </w:tcPr>
          <w:p>
            <w:pPr>
              <w:spacing w:after="0"/>
              <w:rPr>
                <w:sz w:val="18"/>
                <w:szCs w:val="18"/>
                <w:color w:val="auto"/>
              </w:rPr>
            </w:pPr>
          </w:p>
        </w:tc>
        <w:tc>
          <w:tcPr>
            <w:tcW w:w="7320" w:type="dxa"/>
            <w:vAlign w:val="bottom"/>
            <w:gridSpan w:val="7"/>
          </w:tcPr>
          <w:p>
            <w:pPr>
              <w:ind w:left="2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B. Financial Statement Schedules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760" w:type="dxa"/>
            <w:vAlign w:val="bottom"/>
          </w:tcPr>
          <w:p>
            <w:pPr>
              <w:spacing w:after="0"/>
              <w:rPr>
                <w:sz w:val="20"/>
                <w:szCs w:val="20"/>
                <w:color w:val="auto"/>
              </w:rPr>
            </w:pPr>
          </w:p>
        </w:tc>
        <w:tc>
          <w:tcPr>
            <w:tcW w:w="7320" w:type="dxa"/>
            <w:vAlign w:val="bottom"/>
            <w:gridSpan w:val="7"/>
          </w:tcPr>
          <w:p>
            <w:pPr>
              <w:ind w:left="2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C. Exhibits Required by Item 601 of Regulation S-K</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32"/>
        </w:trPr>
        <w:tc>
          <w:tcPr>
            <w:tcW w:w="76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Item 16.</w:t>
              </w:r>
            </w:hyperlink>
          </w:p>
        </w:tc>
        <w:tc>
          <w:tcPr>
            <w:tcW w:w="260" w:type="dxa"/>
            <w:vAlign w:val="bottom"/>
          </w:tcPr>
          <w:p>
            <w:pPr>
              <w:spacing w:after="0"/>
              <w:rPr>
                <w:sz w:val="24"/>
                <w:szCs w:val="24"/>
                <w:color w:val="auto"/>
              </w:rPr>
            </w:pPr>
          </w:p>
        </w:tc>
        <w:tc>
          <w:tcPr>
            <w:tcW w:w="7060" w:type="dxa"/>
            <w:vAlign w:val="bottom"/>
            <w:gridSpan w:val="6"/>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Form 10-K Summary</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32"/>
        </w:trPr>
        <w:tc>
          <w:tcPr>
            <w:tcW w:w="760" w:type="dxa"/>
            <w:vAlign w:val="bottom"/>
          </w:tcPr>
          <w:p>
            <w:pPr>
              <w:spacing w:after="0"/>
              <w:rPr>
                <w:rFonts w:ascii="Arial" w:cs="Arial" w:eastAsia="Arial" w:hAnsi="Arial"/>
                <w:sz w:val="18"/>
                <w:szCs w:val="18"/>
                <w:u w:val="single" w:color="auto"/>
                <w:color w:val="0000EE"/>
                <w:w w:val="85"/>
              </w:rPr>
            </w:pPr>
            <w:hyperlink w:anchor="page84">
              <w:r>
                <w:rPr>
                  <w:rFonts w:ascii="Arial" w:cs="Arial" w:eastAsia="Arial" w:hAnsi="Arial"/>
                  <w:sz w:val="18"/>
                  <w:szCs w:val="18"/>
                  <w:u w:val="single" w:color="auto"/>
                  <w:color w:val="0000EE"/>
                  <w:w w:val="85"/>
                </w:rPr>
                <w:t>Signatures</w:t>
              </w:r>
            </w:hyperlink>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for the Fiscal Year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700" w:hanging="650"/>
        <w:spacing w:after="0"/>
        <w:tabs>
          <w:tab w:leader="none" w:pos="7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 For financial information by segment for the three years ended December 31, 2020, see Note 3 to the Consolidated Financial Statements in Item 8 of Part II below.</w:t>
      </w:r>
    </w:p>
    <w:p>
      <w:pPr>
        <w:spacing w:after="0" w:line="187"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i w:val="1"/>
          <w:iCs w:val="1"/>
          <w:color w:val="auto"/>
        </w:rPr>
        <w:t xml:space="preserve">Ocean Transportation: </w:t>
      </w:r>
      <w:r>
        <w:rPr>
          <w:rFonts w:ascii="Arial" w:cs="Arial" w:eastAsia="Arial" w:hAnsi="Arial"/>
          <w:sz w:val="16"/>
          <w:szCs w:val="16"/>
          <w:color w:val="auto"/>
        </w:rPr>
        <w:t>Matson’s Ocean Transportation business is conducted through Matson Navigation Company, Inc.</w:t>
      </w:r>
      <w:r>
        <w:rPr>
          <w:rFonts w:ascii="Arial" w:cs="Arial" w:eastAsia="Arial" w:hAnsi="Arial"/>
          <w:sz w:val="16"/>
          <w:szCs w:val="16"/>
          <w:i w:val="1"/>
          <w:iCs w:val="1"/>
          <w:color w:val="auto"/>
        </w:rPr>
        <w:t xml:space="preserve"> </w:t>
      </w:r>
      <w:r>
        <w:rPr>
          <w:rFonts w:ascii="Arial" w:cs="Arial" w:eastAsia="Arial" w:hAnsi="Arial"/>
          <w:sz w:val="16"/>
          <w:szCs w:val="16"/>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two premium, expedited services from China to Long Beach, California, and provides services to Okinawa, Japan and various islands in the South Pacific, and operates an international export service from Dutch Harbor to Asia. In addition, subsidiaries of MatNav provide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65"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Matson has a 35 percent ownership interest in SSA Terminals, LLC, a joint venture between Matson Ventures, Inc., a wholly-owned subsidiary of MatNav, and SSA Ventures, Inc., a subsidiary of Carrix, Inc. (“SSAT”). SSAT currently provides terminal and stevedoring services to various carriers at seven terminal facilities on the U.S. West Coast, including three facilities dedicated for MatNav’s use. Matson records its share of income from SSAT in costs and expenses in the Consolidated Statements of Income and Comprehensive Income, and within the Ocean Transportation segment due to the nature of SSAT’s operations.</w:t>
      </w:r>
    </w:p>
    <w:p>
      <w:pPr>
        <w:spacing w:after="0" w:line="192"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i w:val="1"/>
          <w:iCs w:val="1"/>
          <w:color w:val="auto"/>
        </w:rPr>
        <w:t xml:space="preserve">Logistics: </w:t>
      </w:r>
      <w:r>
        <w:rPr>
          <w:rFonts w:ascii="Arial" w:cs="Arial" w:eastAsia="Arial" w:hAnsi="Arial"/>
          <w:sz w:val="17"/>
          <w:szCs w:val="17"/>
          <w:color w:val="auto"/>
        </w:rPr>
        <w:t>Matson’s Logistics business is conducted through Matson Logistics, Inc. (“Matson Logistics”), a wholly-owned</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of MatNav. Established in 1987, Matson Logistics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and distribution services; and (iv) supply chain management, non-vessel operating common carrier (“NVOCC”) freight forwarding and other services.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Mission and Vision: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mission is to move freight better than anyone. Our vision is to create value for our shareholders by:</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Being our customers’ first choice,</w:t>
      </w:r>
    </w:p>
    <w:p>
      <w:pPr>
        <w:ind w:left="380" w:right="3459"/>
        <w:spacing w:after="0" w:line="298" w:lineRule="auto"/>
        <w:rPr>
          <w:sz w:val="20"/>
          <w:szCs w:val="20"/>
          <w:color w:val="auto"/>
        </w:rPr>
      </w:pPr>
      <w:r>
        <w:rPr>
          <w:rFonts w:ascii="Arial" w:cs="Arial" w:eastAsia="Arial" w:hAnsi="Arial"/>
          <w:sz w:val="17"/>
          <w:szCs w:val="17"/>
          <w:color w:val="auto"/>
        </w:rPr>
        <w:t>Leveraging our core strengths to drive growth and increase profitability, Improving the communities in which we work and live,</w:t>
      </w:r>
    </w:p>
    <w:p>
      <w:pPr>
        <w:ind w:left="380" w:right="4979"/>
        <w:spacing w:after="0" w:line="219" w:lineRule="auto"/>
        <w:rPr>
          <w:sz w:val="20"/>
          <w:szCs w:val="20"/>
          <w:color w:val="auto"/>
        </w:rPr>
      </w:pPr>
      <w:r>
        <w:rPr>
          <w:rFonts w:ascii="Arial" w:cs="Arial" w:eastAsia="Arial" w:hAnsi="Arial"/>
          <w:sz w:val="18"/>
          <w:szCs w:val="18"/>
          <w:color w:val="auto"/>
        </w:rPr>
        <w:t>Being an environmental leader in our industry, and Being a great place to work.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w:t>
      </w:r>
    </w:p>
    <w:p>
      <w:pPr>
        <w:spacing w:after="0" w:line="225" w:lineRule="exact"/>
        <w:rPr>
          <w:sz w:val="20"/>
          <w:szCs w:val="20"/>
          <w:color w:val="auto"/>
        </w:rPr>
      </w:pPr>
    </w:p>
    <w:p>
      <w:pPr>
        <w:ind w:left="1340" w:hanging="642"/>
        <w:spacing w:after="0"/>
        <w:tabs>
          <w:tab w:leader="none" w:pos="1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OCEAN TRANSPORTATION SEGMENT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Ocean Transportation Services: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Matson’s Ocean Transportation segment provides the following services:</w:t>
      </w:r>
    </w:p>
    <w:p>
      <w:pPr>
        <w:spacing w:after="0" w:line="225"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i w:val="1"/>
          <w:iCs w:val="1"/>
          <w:color w:val="auto"/>
        </w:rPr>
        <w:t xml:space="preserve">Hawaii Service: </w:t>
      </w:r>
      <w:r>
        <w:rPr>
          <w:rFonts w:ascii="Arial" w:cs="Arial" w:eastAsia="Arial" w:hAnsi="Arial"/>
          <w:sz w:val="18"/>
          <w:szCs w:val="18"/>
          <w:color w:val="auto"/>
        </w:rPr>
        <w:t>Matson’s Hawaii service provides ocean carriage (lift-on/lift-off, roll-on/roll-off and conventional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between the ports of Long Beach and Oakland, California; Tacoma, Washington; and Honolulu, Hawaii. Matson also operates a network of inter-island barges that provide connecting services from its hub at Honolulu to other major Hawaii ports on the islands of Hawaii, Maui and Kauai. Matson is the largest carrier of ocean cargo between the U.S. West Coast and Hawaii.</w:t>
      </w:r>
    </w:p>
    <w:p>
      <w:pPr>
        <w:spacing w:after="0" w:line="188"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Westbound cargo carried by Matson to Hawaii includes dry containers of mixed commodities, refrigerated commodities, packaged foods and beverages, retail merchandise, building materials, automobiles and household goods. Matson’s eastbound cargo from Hawaii includes automobiles, household goods, dry containers of mixed commodities and livestock. The majority of Matson’s Hawaii service revenue is derived from the westbound carriage of containerized freight.</w:t>
      </w:r>
    </w:p>
    <w:p>
      <w:pPr>
        <w:spacing w:after="0" w:line="157"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i w:val="1"/>
          <w:iCs w:val="1"/>
          <w:color w:val="auto"/>
        </w:rPr>
        <w:t xml:space="preserve">China Service: </w:t>
      </w:r>
      <w:r>
        <w:rPr>
          <w:rFonts w:ascii="Arial" w:cs="Arial" w:eastAsia="Arial" w:hAnsi="Arial"/>
          <w:sz w:val="16"/>
          <w:szCs w:val="16"/>
          <w:color w:val="auto"/>
        </w:rPr>
        <w:t>Matson’s expedited China-Long Beach Express (“CLX”) service is part of an integrated service that carries</w:t>
      </w:r>
      <w:r>
        <w:rPr>
          <w:rFonts w:ascii="Arial" w:cs="Arial" w:eastAsia="Arial" w:hAnsi="Arial"/>
          <w:sz w:val="16"/>
          <w:szCs w:val="16"/>
          <w:i w:val="1"/>
          <w:iCs w:val="1"/>
          <w:color w:val="auto"/>
        </w:rPr>
        <w:t xml:space="preserve"> </w:t>
      </w:r>
      <w:r>
        <w:rPr>
          <w:rFonts w:ascii="Arial" w:cs="Arial" w:eastAsia="Arial" w:hAnsi="Arial"/>
          <w:sz w:val="16"/>
          <w:szCs w:val="16"/>
          <w:color w:val="auto"/>
        </w:rPr>
        <w:t>cargo from Long Beach, California to Honolulu, Hawaii, to Guam, and then to Okinawa, Japan. The vessels continue to Ningbo and Shanghai, China, where they are loaded with cargo to be discharged primarily in Long Beach, California at a Matson-exclusive terminal, operated by SSAT. These vessels also carry cargo destined for Hawaii which originated in Guam, Micronesia, Japan and China. Matson provides container transshipment services from many locations in Asia including Hong Kong and Xiamen, China to the U.S. via the ports of Ningbo and Shanghai, China.</w:t>
      </w:r>
    </w:p>
    <w:p>
      <w:pPr>
        <w:spacing w:after="0" w:line="164"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In May 2020, as a result of increased market demand, Matson launched its new China-Long Beach Express Plus (“CLX+”) service. CLX+ vessels operate as a second weekly vessel from China to Long Beach, California, operating back-to-back with the CLX vessels, which together represent Matson’s expedited China service.</w:t>
      </w:r>
    </w:p>
    <w:p>
      <w:pPr>
        <w:spacing w:after="0" w:line="184" w:lineRule="exact"/>
        <w:rPr>
          <w:sz w:val="20"/>
          <w:szCs w:val="20"/>
          <w:color w:val="auto"/>
        </w:rPr>
      </w:pPr>
    </w:p>
    <w:p>
      <w:pPr>
        <w:jc w:val="both"/>
        <w:ind w:left="60" w:right="279"/>
        <w:spacing w:after="0" w:line="263" w:lineRule="auto"/>
        <w:rPr>
          <w:sz w:val="20"/>
          <w:szCs w:val="20"/>
          <w:color w:val="auto"/>
        </w:rPr>
      </w:pPr>
      <w:r>
        <w:rPr>
          <w:rFonts w:ascii="Arial" w:cs="Arial" w:eastAsia="Arial" w:hAnsi="Arial"/>
          <w:sz w:val="18"/>
          <w:szCs w:val="18"/>
          <w:color w:val="auto"/>
        </w:rPr>
        <w:t>Eastbound cargo from China to Long Beach, California consists mainly of garments, e-commerce, consumer electronics, footwear and other merchandise. On our CLX service, westbound cargo to China and other destinations in Asia consists mainly of recycling materials.</w:t>
      </w:r>
    </w:p>
    <w:p>
      <w:pPr>
        <w:spacing w:after="0" w:line="184" w:lineRule="exact"/>
        <w:rPr>
          <w:sz w:val="20"/>
          <w:szCs w:val="20"/>
          <w:color w:val="auto"/>
        </w:rPr>
      </w:pPr>
    </w:p>
    <w:p>
      <w:pPr>
        <w:ind w:left="60" w:right="99"/>
        <w:spacing w:after="0" w:line="286" w:lineRule="auto"/>
        <w:rPr>
          <w:sz w:val="20"/>
          <w:szCs w:val="20"/>
          <w:color w:val="auto"/>
        </w:rPr>
      </w:pPr>
      <w:r>
        <w:rPr>
          <w:rFonts w:ascii="Arial" w:cs="Arial" w:eastAsia="Arial" w:hAnsi="Arial"/>
          <w:sz w:val="17"/>
          <w:szCs w:val="17"/>
          <w:i w:val="1"/>
          <w:iCs w:val="1"/>
          <w:color w:val="auto"/>
        </w:rPr>
        <w:t xml:space="preserve">Guam Service: </w:t>
      </w:r>
      <w:r>
        <w:rPr>
          <w:rFonts w:ascii="Arial" w:cs="Arial" w:eastAsia="Arial" w:hAnsi="Arial"/>
          <w:sz w:val="17"/>
          <w:szCs w:val="17"/>
          <w:color w:val="auto"/>
        </w:rPr>
        <w:t>Matson’s Guam service provides weekly carriage between the U.S West Coast and Guam, as part of its</w:t>
      </w:r>
      <w:r>
        <w:rPr>
          <w:rFonts w:ascii="Arial" w:cs="Arial" w:eastAsia="Arial" w:hAnsi="Arial"/>
          <w:sz w:val="17"/>
          <w:szCs w:val="17"/>
          <w:i w:val="1"/>
          <w:iCs w:val="1"/>
          <w:color w:val="auto"/>
        </w:rPr>
        <w:t xml:space="preserve"> </w:t>
      </w:r>
      <w:r>
        <w:rPr>
          <w:rFonts w:ascii="Arial" w:cs="Arial" w:eastAsia="Arial" w:hAnsi="Arial"/>
          <w:sz w:val="17"/>
          <w:szCs w:val="17"/>
          <w:color w:val="auto"/>
        </w:rPr>
        <w:t>CLX service. Matson also provides weekly connecting service from Guam to the Commonwealth of the Northern Mariana Islands. Cargo destined to these markets is similar to that described under “Hawaii Service” above.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 xml:space="preserve">Japan Service: </w:t>
      </w:r>
      <w:r>
        <w:rPr>
          <w:rFonts w:ascii="Arial" w:cs="Arial" w:eastAsia="Arial" w:hAnsi="Arial"/>
          <w:sz w:val="16"/>
          <w:szCs w:val="16"/>
          <w:color w:val="auto"/>
        </w:rPr>
        <w:t>Matson’s Japan service provides carriage to the port of Naha in Okinawa, Japan, as part of its CLX service.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This service carries mainly general sustenance cargo and household goods supporting the U.S. military.</w:t>
      </w:r>
    </w:p>
    <w:p>
      <w:pPr>
        <w:spacing w:after="0" w:line="211"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i w:val="1"/>
          <w:iCs w:val="1"/>
          <w:color w:val="auto"/>
        </w:rPr>
        <w:t xml:space="preserve">Micronesia Service: </w:t>
      </w:r>
      <w:r>
        <w:rPr>
          <w:rFonts w:ascii="Arial" w:cs="Arial" w:eastAsia="Arial" w:hAnsi="Arial"/>
          <w:sz w:val="18"/>
          <w:szCs w:val="18"/>
          <w:color w:val="auto"/>
        </w:rPr>
        <w:t>Matson’s Micronesia service provides carriage between the U.S. West Coast and the islands of</w:t>
      </w:r>
      <w:r>
        <w:rPr>
          <w:rFonts w:ascii="Arial" w:cs="Arial" w:eastAsia="Arial" w:hAnsi="Arial"/>
          <w:sz w:val="18"/>
          <w:szCs w:val="18"/>
          <w:i w:val="1"/>
          <w:iCs w:val="1"/>
          <w:color w:val="auto"/>
        </w:rPr>
        <w:t xml:space="preserve"> </w:t>
      </w:r>
      <w:r>
        <w:rPr>
          <w:rFonts w:ascii="Arial" w:cs="Arial" w:eastAsia="Arial" w:hAnsi="Arial"/>
          <w:sz w:val="18"/>
          <w:szCs w:val="18"/>
          <w:color w:val="auto"/>
        </w:rPr>
        <w:t>Kwajalein, Ebeye and Majuro in the Republic of the Marshall Islands, the islands of Yap, Pohnpei, Chuuk and Kosrae in the Federated States of Micronesia, and the Republic of Palau. Cargo destined for these locations is transshipped through Guam and consists mainly of general sustenance cargo.</w:t>
      </w:r>
    </w:p>
    <w:p>
      <w:pPr>
        <w:spacing w:after="0" w:line="187"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i w:val="1"/>
          <w:iCs w:val="1"/>
          <w:color w:val="auto"/>
        </w:rPr>
        <w:t xml:space="preserve">Alaska Service: </w:t>
      </w:r>
      <w:r>
        <w:rPr>
          <w:rFonts w:ascii="Arial" w:cs="Arial" w:eastAsia="Arial" w:hAnsi="Arial"/>
          <w:sz w:val="18"/>
          <w:szCs w:val="18"/>
          <w:color w:val="auto"/>
        </w:rPr>
        <w:t>Matson’s Alaska service provides ocean carriage (lift-on/lift-off and conventional services)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port of Tacoma, Washington, and the ports of Anchorage, Kodiak and Dutch Harbor, Alaska. Matson also provides a barge service between Dutch Harbor and Akutan in Alaska, and transportation services to other locations in Alaska including the Kenai Peninsula, Fairbanks and the North Slope.</w:t>
      </w:r>
    </w:p>
    <w:p>
      <w:pPr>
        <w:spacing w:after="0" w:line="187"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Northbound cargo to Alaska consists mainly of dry containers of mixed commodities, refrigerated commodities, packaged foods and beverages, retail merchandise, household goods and automobiles. Southbound cargo from Alaska primarily consists of seafood, household goods and automobiles.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57" w:lineRule="auto"/>
        <w:rPr>
          <w:sz w:val="20"/>
          <w:szCs w:val="20"/>
          <w:color w:val="auto"/>
        </w:rPr>
      </w:pPr>
      <w:r>
        <w:rPr>
          <w:rFonts w:ascii="Arial" w:cs="Arial" w:eastAsia="Arial" w:hAnsi="Arial"/>
          <w:sz w:val="18"/>
          <w:szCs w:val="18"/>
          <w:color w:val="auto"/>
        </w:rPr>
        <w:t>In September 2020, Matson launched its new Alaska-Asia Express (“AAX”) service that provides carriage of dry and frozen seafood from Dutch Harbor, Alaska to Ningbo and Shanghai, China. The AAX service utilizes CLX+ vessels on their westbound trip to China. Matson also provides transshipment services from Ningbo and Shanghai, China to other locations in Asia. Other Alaska cargo may be shipped on the AAX service utilizing Matson’s Alaska vessels and transshipment services in Dutch Harbor.</w:t>
      </w:r>
    </w:p>
    <w:p>
      <w:pPr>
        <w:spacing w:after="0" w:line="188"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i w:val="1"/>
          <w:iCs w:val="1"/>
          <w:color w:val="auto"/>
        </w:rPr>
        <w:t xml:space="preserve">South Pacific Service: </w:t>
      </w:r>
      <w:r>
        <w:rPr>
          <w:rFonts w:ascii="Arial" w:cs="Arial" w:eastAsia="Arial" w:hAnsi="Arial"/>
          <w:sz w:val="18"/>
          <w:szCs w:val="18"/>
          <w:color w:val="auto"/>
        </w:rPr>
        <w:t>Matson’s New Zealand Express (“NZX”) service provides carriage of general sustenance cargo</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Auckland, New Zealand and select islands in the South Pacific, including Fiji (Suva and Lautoka), Samoa (Apia), American Samoa (Pago Pago), the Cook Islands (Rarotonga and Aitutaki), Tonga (Nukualofa and Vava’u), and Niue. Matson’s NZX service also provides transshipment services to the islands of Nauru and the Solomon Islands (Honiara). Additionally, Matson provides slot charter arrangements for the transportation of cargo from major ports on the east coast of Australia to ports in the South Pacific islands. The NZX service also distributes and sells domestic bulk fuel to a variety of these islands.</w:t>
      </w:r>
    </w:p>
    <w:p>
      <w:pPr>
        <w:spacing w:after="0" w:line="195"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Matson’s South Pacific Express (“SPX”) service provides carriage of general sustenance cargo from the U.S. West Coast to ports in the South Pacific islands using vessel sharing agreements with other carriers. The SPX service provides direct calls to Tahiti (Papeete), American Samoa (Pago Pago) and Samoa (Apia) in the South Pacific. Cargo destined for other ports including Tonga (Nukualofa) and the Cook Islands (Rarotonga and Aitutaki) is then transshipped in Apia, Samoa to the NZX service for delivery to its final destination. Northbound SPX cargo originating in the South Pacific is transshipped from the NZX service with other carriers to the U.S. West Coast. Cargo destined for Hawaii or Washington is further transshipped in Oakland, California for delivery to its final destination.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Terminal and Other Related Services:</w:t>
      </w:r>
    </w:p>
    <w:p>
      <w:pPr>
        <w:spacing w:after="0" w:line="225" w:lineRule="exact"/>
        <w:rPr>
          <w:sz w:val="20"/>
          <w:szCs w:val="20"/>
          <w:color w:val="auto"/>
        </w:rPr>
      </w:pPr>
    </w:p>
    <w:p>
      <w:pPr>
        <w:ind w:left="60" w:right="59"/>
        <w:spacing w:after="0" w:line="286" w:lineRule="auto"/>
        <w:rPr>
          <w:sz w:val="20"/>
          <w:szCs w:val="20"/>
          <w:color w:val="auto"/>
        </w:rPr>
      </w:pPr>
      <w:r>
        <w:rPr>
          <w:rFonts w:ascii="Arial" w:cs="Arial" w:eastAsia="Arial" w:hAnsi="Arial"/>
          <w:sz w:val="17"/>
          <w:szCs w:val="17"/>
          <w:color w:val="auto"/>
        </w:rPr>
        <w:t>Matson provides stevedoring, refrigerated cargo services, inland transportation, container equipment maintenance and other terminal services (collectively, “terminal services”) at terminals located on the Hawaiian islands of Oahu, Hawaii, Maui and Kauai; and in the Alaska terminal locations of Anchorage, Kodiak and Dutch Harbor.</w:t>
      </w:r>
    </w:p>
    <w:p>
      <w:pPr>
        <w:spacing w:after="0" w:line="165"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SSAT currently provides terminal and stevedoring services to various carriers at seven terminal facilities on the U.S. West Coast, including three facilities dedicated for MatNav’s use, in Long Beach and Oakland, California; and in Tacoma, Washington.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Matson utilizes the services of other third-party terminal operators at all of the other ports served by its vessels.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Vessel Management Services:</w:t>
      </w:r>
    </w:p>
    <w:p>
      <w:pPr>
        <w:spacing w:after="0" w:line="225" w:lineRule="exact"/>
        <w:rPr>
          <w:sz w:val="20"/>
          <w:szCs w:val="20"/>
          <w:color w:val="auto"/>
        </w:rPr>
      </w:pPr>
    </w:p>
    <w:p>
      <w:pPr>
        <w:ind w:left="60" w:right="179"/>
        <w:spacing w:after="0" w:line="342" w:lineRule="auto"/>
        <w:rPr>
          <w:sz w:val="20"/>
          <w:szCs w:val="20"/>
          <w:color w:val="auto"/>
        </w:rPr>
      </w:pPr>
      <w:r>
        <w:rPr>
          <w:rFonts w:ascii="Arial" w:cs="Arial" w:eastAsia="Arial" w:hAnsi="Arial"/>
          <w:sz w:val="16"/>
          <w:szCs w:val="16"/>
          <w:color w:val="auto"/>
        </w:rPr>
        <w:t>Matson contracts with the U.S. Department of Transportation to provide vessel management services to manage and maintain three Ready Reserve Force vessels on behalf of the U.S. Department of Transportation Maritime Administration.</w:t>
      </w:r>
    </w:p>
    <w:p>
      <w:pPr>
        <w:spacing w:after="0" w:line="3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Vessel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Vessels:</w:t>
      </w:r>
    </w:p>
    <w:p>
      <w:pPr>
        <w:spacing w:after="0" w:line="225" w:lineRule="exact"/>
        <w:rPr>
          <w:sz w:val="20"/>
          <w:szCs w:val="20"/>
          <w:color w:val="auto"/>
        </w:rPr>
      </w:pPr>
    </w:p>
    <w:p>
      <w:pPr>
        <w:ind w:left="60" w:right="459"/>
        <w:spacing w:after="0" w:line="342" w:lineRule="auto"/>
        <w:rPr>
          <w:sz w:val="20"/>
          <w:szCs w:val="20"/>
          <w:color w:val="auto"/>
        </w:rPr>
      </w:pPr>
      <w:r>
        <w:rPr>
          <w:rFonts w:ascii="Arial" w:cs="Arial" w:eastAsia="Arial" w:hAnsi="Arial"/>
          <w:sz w:val="16"/>
          <w:szCs w:val="16"/>
          <w:color w:val="auto"/>
        </w:rPr>
        <w:t>Matson’s fleet includes both owned and chartered vessels. Matson’s owned vessels represent an investment of approximately $2.2 billion. The majority of Matson’s owned vessels are U.S. flagged and Jones Act qualified vessels,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and operate in the Hawaii, China, Guam, Japan, Micronesia and Alaska services. Details of Matson’s active and reserve vessels as of December 31, 2020 are as follows:</w:t>
      </w:r>
    </w:p>
    <w:p>
      <w:pPr>
        <w:spacing w:after="0" w:line="5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Usable Cargo Capacity</w:t>
            </w:r>
          </w:p>
        </w:tc>
        <w:tc>
          <w:tcPr>
            <w:tcW w:w="1620" w:type="dxa"/>
            <w:vAlign w:val="bottom"/>
          </w:tcPr>
          <w:p>
            <w:pPr>
              <w:jc w:val="center"/>
              <w:ind w:left="709"/>
              <w:spacing w:after="0"/>
              <w:rPr>
                <w:sz w:val="20"/>
                <w:szCs w:val="20"/>
                <w:color w:val="auto"/>
              </w:rPr>
            </w:pPr>
            <w:r>
              <w:rPr>
                <w:rFonts w:ascii="Arial" w:cs="Arial" w:eastAsia="Arial" w:hAnsi="Arial"/>
                <w:sz w:val="14"/>
                <w:szCs w:val="14"/>
                <w:b w:val="1"/>
                <w:bCs w:val="1"/>
                <w:color w:val="auto"/>
                <w:w w:val="81"/>
              </w:rPr>
              <w:t>Vessel</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Containers</w:t>
            </w:r>
          </w:p>
        </w:tc>
        <w:tc>
          <w:tcPr>
            <w:tcW w:w="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Vehicles</w:t>
            </w:r>
          </w:p>
        </w:tc>
        <w:tc>
          <w:tcPr>
            <w:tcW w:w="1620" w:type="dxa"/>
            <w:vAlign w:val="bottom"/>
          </w:tcPr>
          <w:p>
            <w:pPr>
              <w:jc w:val="center"/>
              <w:ind w:left="729"/>
              <w:spacing w:after="0" w:line="142" w:lineRule="exact"/>
              <w:rPr>
                <w:sz w:val="20"/>
                <w:szCs w:val="20"/>
                <w:color w:val="auto"/>
              </w:rPr>
            </w:pPr>
            <w:r>
              <w:rPr>
                <w:rFonts w:ascii="Arial" w:cs="Arial" w:eastAsia="Arial" w:hAnsi="Arial"/>
                <w:sz w:val="14"/>
                <w:szCs w:val="14"/>
                <w:b w:val="1"/>
                <w:bCs w:val="1"/>
                <w:color w:val="auto"/>
                <w:w w:val="89"/>
              </w:rPr>
              <w:t>Design</w:t>
            </w:r>
          </w:p>
        </w:tc>
        <w:tc>
          <w:tcPr>
            <w:tcW w:w="840" w:type="dxa"/>
            <w:vAlign w:val="bottom"/>
          </w:tcPr>
          <w:p>
            <w:pPr>
              <w:jc w:val="center"/>
              <w:ind w:left="10"/>
              <w:spacing w:after="0" w:line="142"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19"/>
        </w:trPr>
        <w:tc>
          <w:tcPr>
            <w:tcW w:w="2200" w:type="dxa"/>
            <w:vAlign w:val="bottom"/>
            <w:vMerge w:val="restart"/>
          </w:tcPr>
          <w:p>
            <w:pPr>
              <w:spacing w:after="0"/>
              <w:rPr>
                <w:sz w:val="20"/>
                <w:szCs w:val="20"/>
                <w:color w:val="auto"/>
              </w:rPr>
            </w:pPr>
            <w:r>
              <w:rPr>
                <w:rFonts w:ascii="Arial" w:cs="Arial" w:eastAsia="Arial" w:hAnsi="Arial"/>
                <w:sz w:val="14"/>
                <w:szCs w:val="14"/>
                <w:b w:val="1"/>
                <w:bCs w:val="1"/>
                <w:color w:val="auto"/>
              </w:rPr>
              <w:t>Name of Vessels</w:t>
            </w:r>
          </w:p>
        </w:tc>
        <w:tc>
          <w:tcPr>
            <w:tcW w:w="1640" w:type="dxa"/>
            <w:vAlign w:val="bottom"/>
          </w:tcPr>
          <w:p>
            <w:pPr>
              <w:ind w:left="1240"/>
              <w:spacing w:after="0" w:line="119" w:lineRule="exact"/>
              <w:rPr>
                <w:sz w:val="20"/>
                <w:szCs w:val="20"/>
                <w:color w:val="auto"/>
              </w:rPr>
            </w:pPr>
            <w:r>
              <w:rPr>
                <w:rFonts w:ascii="Arial" w:cs="Arial" w:eastAsia="Arial" w:hAnsi="Arial"/>
                <w:sz w:val="13"/>
                <w:szCs w:val="13"/>
                <w:b w:val="1"/>
                <w:bCs w:val="1"/>
                <w:color w:val="auto"/>
              </w:rPr>
              <w:t>Year</w:t>
            </w: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Official</w:t>
            </w:r>
          </w:p>
        </w:tc>
        <w:tc>
          <w:tcPr>
            <w:tcW w:w="100" w:type="dxa"/>
            <w:vAlign w:val="bottom"/>
          </w:tcPr>
          <w:p>
            <w:pPr>
              <w:spacing w:after="0"/>
              <w:rPr>
                <w:sz w:val="10"/>
                <w:szCs w:val="10"/>
                <w:color w:val="auto"/>
              </w:rPr>
            </w:pPr>
          </w:p>
        </w:tc>
        <w:tc>
          <w:tcPr>
            <w:tcW w:w="1140" w:type="dxa"/>
            <w:vAlign w:val="bottom"/>
            <w:tcBorders>
              <w:top w:val="single" w:sz="8" w:color="auto"/>
            </w:tcBorders>
          </w:tcPr>
          <w:p>
            <w:pPr>
              <w:ind w:left="720"/>
              <w:spacing w:after="0" w:line="119" w:lineRule="exact"/>
              <w:rPr>
                <w:sz w:val="20"/>
                <w:szCs w:val="20"/>
                <w:color w:val="auto"/>
              </w:rPr>
            </w:pPr>
            <w:r>
              <w:rPr>
                <w:rFonts w:ascii="Arial" w:cs="Arial" w:eastAsia="Arial" w:hAnsi="Arial"/>
                <w:sz w:val="13"/>
                <w:szCs w:val="13"/>
                <w:b w:val="1"/>
                <w:bCs w:val="1"/>
                <w:color w:val="auto"/>
                <w:w w:val="98"/>
              </w:rPr>
              <w:t>Reefer</w:t>
            </w:r>
          </w:p>
        </w:tc>
        <w:tc>
          <w:tcPr>
            <w:tcW w:w="140" w:type="dxa"/>
            <w:vAlign w:val="bottom"/>
          </w:tcPr>
          <w:p>
            <w:pPr>
              <w:spacing w:after="0"/>
              <w:rPr>
                <w:sz w:val="10"/>
                <w:szCs w:val="10"/>
                <w:color w:val="auto"/>
              </w:rPr>
            </w:pPr>
          </w:p>
        </w:tc>
        <w:tc>
          <w:tcPr>
            <w:tcW w:w="5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Autos</w:t>
            </w:r>
          </w:p>
        </w:tc>
        <w:tc>
          <w:tcPr>
            <w:tcW w:w="1620" w:type="dxa"/>
            <w:vAlign w:val="bottom"/>
          </w:tcPr>
          <w:p>
            <w:pPr>
              <w:jc w:val="center"/>
              <w:ind w:left="709"/>
              <w:spacing w:after="0" w:line="119" w:lineRule="exact"/>
              <w:rPr>
                <w:sz w:val="20"/>
                <w:szCs w:val="20"/>
                <w:color w:val="auto"/>
              </w:rPr>
            </w:pPr>
            <w:r>
              <w:rPr>
                <w:rFonts w:ascii="Arial" w:cs="Arial" w:eastAsia="Arial" w:hAnsi="Arial"/>
                <w:sz w:val="13"/>
                <w:szCs w:val="13"/>
                <w:b w:val="1"/>
                <w:bCs w:val="1"/>
                <w:color w:val="auto"/>
                <w:w w:val="92"/>
              </w:rPr>
              <w:t>Speed</w:t>
            </w:r>
          </w:p>
        </w:tc>
        <w:tc>
          <w:tcPr>
            <w:tcW w:w="840" w:type="dxa"/>
            <w:vAlign w:val="bottom"/>
          </w:tcPr>
          <w:p>
            <w:pPr>
              <w:jc w:val="center"/>
              <w:ind w:left="10"/>
              <w:spacing w:after="0" w:line="119" w:lineRule="exact"/>
              <w:rPr>
                <w:sz w:val="20"/>
                <w:szCs w:val="20"/>
                <w:color w:val="auto"/>
              </w:rPr>
            </w:pPr>
            <w:r>
              <w:rPr>
                <w:rFonts w:ascii="Arial" w:cs="Arial" w:eastAsia="Arial" w:hAnsi="Arial"/>
                <w:sz w:val="13"/>
                <w:szCs w:val="13"/>
                <w:b w:val="1"/>
                <w:bCs w:val="1"/>
                <w:color w:val="auto"/>
                <w:w w:val="98"/>
              </w:rPr>
              <w:t>Deadweight</w:t>
            </w:r>
          </w:p>
        </w:tc>
        <w:tc>
          <w:tcPr>
            <w:tcW w:w="0" w:type="dxa"/>
            <w:vAlign w:val="bottom"/>
          </w:tcPr>
          <w:p>
            <w:pPr>
              <w:spacing w:after="0"/>
              <w:rPr>
                <w:sz w:val="1"/>
                <w:szCs w:val="1"/>
                <w:color w:val="auto"/>
              </w:rPr>
            </w:pPr>
          </w:p>
        </w:tc>
      </w:tr>
      <w:tr>
        <w:trPr>
          <w:trHeight w:val="171"/>
        </w:trPr>
        <w:tc>
          <w:tcPr>
            <w:tcW w:w="2200" w:type="dxa"/>
            <w:vAlign w:val="bottom"/>
            <w:vMerge w:val="continue"/>
          </w:tcPr>
          <w:p>
            <w:pPr>
              <w:spacing w:after="0"/>
              <w:rPr>
                <w:sz w:val="14"/>
                <w:szCs w:val="14"/>
                <w:color w:val="auto"/>
              </w:rPr>
            </w:pPr>
          </w:p>
        </w:tc>
        <w:tc>
          <w:tcPr>
            <w:tcW w:w="1640" w:type="dxa"/>
            <w:vAlign w:val="bottom"/>
          </w:tcPr>
          <w:p>
            <w:pPr>
              <w:ind w:left="1240"/>
              <w:spacing w:after="0"/>
              <w:rPr>
                <w:sz w:val="20"/>
                <w:szCs w:val="20"/>
                <w:color w:val="auto"/>
              </w:rPr>
            </w:pPr>
            <w:r>
              <w:rPr>
                <w:rFonts w:ascii="Arial" w:cs="Arial" w:eastAsia="Arial" w:hAnsi="Arial"/>
                <w:sz w:val="14"/>
                <w:szCs w:val="14"/>
                <w:b w:val="1"/>
                <w:bCs w:val="1"/>
                <w:color w:val="auto"/>
              </w:rPr>
              <w:t>Built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380" w:type="dxa"/>
            <w:vAlign w:val="bottom"/>
            <w:gridSpan w:val="3"/>
          </w:tcPr>
          <w:p>
            <w:pPr>
              <w:ind w:left="100"/>
              <w:spacing w:after="0"/>
              <w:rPr>
                <w:sz w:val="20"/>
                <w:szCs w:val="20"/>
                <w:color w:val="auto"/>
              </w:rPr>
            </w:pPr>
            <w:r>
              <w:rPr>
                <w:rFonts w:ascii="Arial" w:cs="Arial" w:eastAsia="Arial" w:hAnsi="Arial"/>
                <w:sz w:val="14"/>
                <w:szCs w:val="14"/>
                <w:b w:val="1"/>
                <w:bCs w:val="1"/>
                <w:color w:val="auto"/>
              </w:rPr>
              <w:t>TEUs (1)   Slots</w:t>
            </w:r>
          </w:p>
        </w:tc>
        <w:tc>
          <w:tcPr>
            <w:tcW w:w="520" w:type="dxa"/>
            <w:vAlign w:val="bottom"/>
            <w:vMerge w:val="continue"/>
          </w:tcPr>
          <w:p>
            <w:pPr>
              <w:spacing w:after="0"/>
              <w:rPr>
                <w:sz w:val="14"/>
                <w:szCs w:val="14"/>
                <w:color w:val="auto"/>
              </w:rPr>
            </w:pPr>
          </w:p>
        </w:tc>
        <w:tc>
          <w:tcPr>
            <w:tcW w:w="1620" w:type="dxa"/>
            <w:vAlign w:val="bottom"/>
          </w:tcPr>
          <w:p>
            <w:pPr>
              <w:ind w:left="200"/>
              <w:spacing w:after="0"/>
              <w:rPr>
                <w:sz w:val="20"/>
                <w:szCs w:val="20"/>
                <w:color w:val="auto"/>
              </w:rPr>
            </w:pPr>
            <w:r>
              <w:rPr>
                <w:rFonts w:ascii="Arial" w:cs="Arial" w:eastAsia="Arial" w:hAnsi="Arial"/>
                <w:sz w:val="14"/>
                <w:szCs w:val="14"/>
                <w:b w:val="1"/>
                <w:bCs w:val="1"/>
                <w:color w:val="auto"/>
              </w:rPr>
              <w:t>Length   (Knots) (2)</w:t>
            </w:r>
          </w:p>
        </w:tc>
        <w:tc>
          <w:tcPr>
            <w:tcW w:w="840" w:type="dxa"/>
            <w:vAlign w:val="bottom"/>
          </w:tcPr>
          <w:p>
            <w:pPr>
              <w:jc w:val="center"/>
              <w:ind w:left="10"/>
              <w:spacing w:after="0"/>
              <w:rPr>
                <w:sz w:val="20"/>
                <w:szCs w:val="20"/>
                <w:color w:val="auto"/>
              </w:rPr>
            </w:pPr>
            <w:r>
              <w:rPr>
                <w:rFonts w:ascii="Arial" w:cs="Arial" w:eastAsia="Arial" w:hAnsi="Arial"/>
                <w:sz w:val="14"/>
                <w:szCs w:val="14"/>
                <w:b w:val="1"/>
                <w:bCs w:val="1"/>
                <w:u w:val="single" w:color="auto"/>
                <w:color w:val="auto"/>
                <w:w w:val="93"/>
              </w:rPr>
              <w:t>(Long Tons)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564896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20"/>
        </w:trPr>
        <w:tc>
          <w:tcPr>
            <w:tcW w:w="3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280" w:type="dxa"/>
            <w:vAlign w:val="bottom"/>
          </w:tcPr>
          <w:p>
            <w:pPr>
              <w:spacing w:after="0" w:line="180" w:lineRule="exact"/>
              <w:rPr>
                <w:sz w:val="20"/>
                <w:szCs w:val="20"/>
                <w:color w:val="auto"/>
              </w:rPr>
            </w:pPr>
            <w:r>
              <w:rPr>
                <w:rFonts w:ascii="Arial" w:cs="Arial" w:eastAsia="Arial" w:hAnsi="Arial"/>
                <w:sz w:val="16"/>
                <w:szCs w:val="16"/>
                <w:b w:val="1"/>
                <w:bCs w:val="1"/>
                <w:i w:val="1"/>
                <w:iCs w:val="1"/>
                <w:color w:val="auto"/>
              </w:rPr>
              <w:t>Vessels-Owned:</w:t>
            </w:r>
          </w:p>
        </w:tc>
        <w:tc>
          <w:tcPr>
            <w:tcW w:w="4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2018</w:t>
            </w:r>
          </w:p>
        </w:tc>
        <w:tc>
          <w:tcPr>
            <w:tcW w:w="72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1274136</w:t>
            </w:r>
          </w:p>
        </w:tc>
        <w:tc>
          <w:tcPr>
            <w:tcW w:w="14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3,220</w:t>
            </w:r>
          </w:p>
        </w:tc>
        <w:tc>
          <w:tcPr>
            <w:tcW w:w="160" w:type="dxa"/>
            <w:vAlign w:val="bottom"/>
          </w:tcPr>
          <w:p>
            <w:pPr>
              <w:spacing w:after="0"/>
              <w:rPr>
                <w:sz w:val="15"/>
                <w:szCs w:val="15"/>
                <w:color w:val="auto"/>
              </w:rPr>
            </w:pPr>
          </w:p>
        </w:tc>
        <w:tc>
          <w:tcPr>
            <w:tcW w:w="420" w:type="dxa"/>
            <w:vAlign w:val="bottom"/>
            <w:vMerge w:val="restart"/>
          </w:tcPr>
          <w:p>
            <w:pPr>
              <w:jc w:val="center"/>
              <w:spacing w:after="0"/>
              <w:rPr>
                <w:sz w:val="20"/>
                <w:szCs w:val="20"/>
                <w:color w:val="auto"/>
              </w:rPr>
            </w:pPr>
            <w:r>
              <w:rPr>
                <w:rFonts w:ascii="Arial" w:cs="Arial" w:eastAsia="Arial" w:hAnsi="Arial"/>
                <w:sz w:val="16"/>
                <w:szCs w:val="16"/>
                <w:color w:val="auto"/>
                <w:w w:val="89"/>
              </w:rPr>
              <w:t>408</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6"/>
                <w:szCs w:val="16"/>
                <w:color w:val="auto"/>
                <w:w w:val="89"/>
              </w:rPr>
              <w:t>23.5</w:t>
            </w: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rPr>
                <w:sz w:val="20"/>
                <w:szCs w:val="20"/>
                <w:color w:val="auto"/>
              </w:rPr>
            </w:pPr>
            <w:r>
              <w:rPr>
                <w:rFonts w:ascii="Arial" w:cs="Arial" w:eastAsia="Arial" w:hAnsi="Arial"/>
                <w:sz w:val="16"/>
                <w:szCs w:val="16"/>
                <w:color w:val="auto"/>
              </w:rPr>
              <w:t>DANIEL K. INOUYE (3)</w:t>
            </w:r>
          </w:p>
        </w:tc>
        <w:tc>
          <w:tcPr>
            <w:tcW w:w="480" w:type="dxa"/>
            <w:vAlign w:val="bottom"/>
            <w:gridSpan w:val="2"/>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854’ 0”</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6"/>
                <w:szCs w:val="16"/>
                <w:color w:val="auto"/>
              </w:rPr>
              <w:t>KAIMANA HILA (3)</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2019</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1274135</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3,220</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408</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854’ 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23.5</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6"/>
                <w:szCs w:val="16"/>
                <w:color w:val="auto"/>
              </w:rPr>
              <w:t>MANOA (3)(8)</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1982</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651627</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2,824</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408</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860’ 2”</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23.0</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6"/>
                <w:szCs w:val="16"/>
                <w:color w:val="auto"/>
              </w:rPr>
              <w:t>MAHIMAHI (3)</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1982</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653424</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2,824</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408</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860’ 2”</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23.0</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6"/>
                <w:szCs w:val="16"/>
                <w:color w:val="auto"/>
              </w:rPr>
              <w:t>LURLINE (3)</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2019</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1274143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2,750</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432</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500</w:t>
            </w:r>
          </w:p>
        </w:tc>
        <w:tc>
          <w:tcPr>
            <w:tcW w:w="14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869’ 5”</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23.0</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6"/>
                <w:szCs w:val="16"/>
                <w:color w:val="auto"/>
              </w:rPr>
              <w:t>MATSONIA (3)</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2020</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1274123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2,750</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432</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500</w:t>
            </w:r>
          </w:p>
        </w:tc>
        <w:tc>
          <w:tcPr>
            <w:tcW w:w="14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869’ 5”</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23.0</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6"/>
                <w:szCs w:val="16"/>
                <w:color w:val="auto"/>
              </w:rPr>
              <w:t>MANULANI (3)(8)</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2005</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1168529</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2,378</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284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712’ 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22.5</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6"/>
                <w:szCs w:val="16"/>
                <w:color w:val="auto"/>
              </w:rPr>
              <w:t>MAUNAWILI (3)(8)</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2004</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1153166</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2,378</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326</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6"/>
                <w:szCs w:val="16"/>
                <w:color w:val="auto"/>
                <w:w w:val="98"/>
              </w:rPr>
              <w:t>711’ 9”</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22.5</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6"/>
                <w:szCs w:val="16"/>
                <w:color w:val="auto"/>
              </w:rPr>
              <w:t>MANUKAI (3)(8)</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2003</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1141163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2,378</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326</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6"/>
                <w:szCs w:val="16"/>
                <w:color w:val="auto"/>
                <w:w w:val="98"/>
              </w:rPr>
              <w:t>711’ 9”</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22.5</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6"/>
                <w:szCs w:val="16"/>
                <w:color w:val="auto"/>
              </w:rPr>
              <w:t>R.J. PFEIFFER (3)(8)</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1992</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979814</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2,245</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300</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713’ 6”</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23.0</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6"/>
                <w:szCs w:val="16"/>
                <w:color w:val="auto"/>
              </w:rPr>
              <w:t>MOKIHANA (3)</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1983</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655397</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1,994</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354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1,323</w:t>
            </w:r>
          </w:p>
        </w:tc>
        <w:tc>
          <w:tcPr>
            <w:tcW w:w="14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860’ 2”</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23.0</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6"/>
                <w:szCs w:val="16"/>
                <w:color w:val="auto"/>
              </w:rPr>
              <w:t>MATSON KODIAK (3)(8)</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1987</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910308</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1,668</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280</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710’ 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20.0</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6"/>
                <w:szCs w:val="16"/>
                <w:color w:val="auto"/>
              </w:rPr>
              <w:t>MATSON ANCHORAGE (3)(8)</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1987</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910306</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1,668</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280</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710’ 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20.0</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6"/>
                <w:szCs w:val="16"/>
                <w:color w:val="auto"/>
              </w:rPr>
              <w:t>MATSON TACOMA (3)(8)</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1987</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910307</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1,668</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280</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710’ 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20.0</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6"/>
                <w:szCs w:val="16"/>
                <w:color w:val="auto"/>
              </w:rPr>
              <w:t>KAMOKUIKI (4)</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2000</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9232979</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707</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100</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433’ 9”</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17.5</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6"/>
                <w:szCs w:val="16"/>
                <w:color w:val="auto"/>
              </w:rPr>
              <w:t>OLOMANA (5)</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2004</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9184225</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645</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120</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388’ 7”</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14.0</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6"/>
                <w:szCs w:val="16"/>
                <w:color w:val="auto"/>
              </w:rPr>
              <w:t>ISLAND CHIEF (5)</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2005</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9184237</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630</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90</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388’ 6”</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15.0</w:t>
            </w:r>
          </w:p>
        </w:tc>
        <w:tc>
          <w:tcPr>
            <w:tcW w:w="0" w:type="dxa"/>
            <w:vAlign w:val="bottom"/>
          </w:tcPr>
          <w:p>
            <w:pPr>
              <w:spacing w:after="0"/>
              <w:rPr>
                <w:sz w:val="1"/>
                <w:szCs w:val="1"/>
                <w:color w:val="auto"/>
              </w:rPr>
            </w:pPr>
          </w:p>
        </w:tc>
      </w:tr>
      <w:tr>
        <w:trPr>
          <w:trHeight w:val="220"/>
        </w:trPr>
        <w:tc>
          <w:tcPr>
            <w:tcW w:w="3280" w:type="dxa"/>
            <w:vAlign w:val="bottom"/>
          </w:tcPr>
          <w:p>
            <w:pPr>
              <w:ind w:left="220"/>
              <w:spacing w:after="0"/>
              <w:rPr>
                <w:sz w:val="20"/>
                <w:szCs w:val="20"/>
                <w:color w:val="auto"/>
              </w:rPr>
            </w:pPr>
            <w:r>
              <w:rPr>
                <w:rFonts w:ascii="Arial" w:cs="Arial" w:eastAsia="Arial" w:hAnsi="Arial"/>
                <w:sz w:val="16"/>
                <w:szCs w:val="16"/>
                <w:color w:val="auto"/>
              </w:rPr>
              <w:t>PAPA MAU (5)</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1999</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9141704</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521</w:t>
            </w:r>
          </w:p>
        </w:tc>
        <w:tc>
          <w:tcPr>
            <w:tcW w:w="1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68</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381’ 5”</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14.0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6"/>
                <w:szCs w:val="16"/>
                <w:b w:val="1"/>
                <w:bCs w:val="1"/>
                <w:i w:val="1"/>
                <w:iCs w:val="1"/>
                <w:color w:val="auto"/>
              </w:rPr>
              <w:t>Vessels-Chartered:</w:t>
            </w:r>
          </w:p>
        </w:tc>
        <w:tc>
          <w:tcPr>
            <w:tcW w:w="4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2008</w:t>
            </w:r>
          </w:p>
        </w:tc>
        <w:tc>
          <w:tcPr>
            <w:tcW w:w="72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9400291</w:t>
            </w:r>
          </w:p>
        </w:tc>
        <w:tc>
          <w:tcPr>
            <w:tcW w:w="14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4,504</w:t>
            </w:r>
          </w:p>
        </w:tc>
        <w:tc>
          <w:tcPr>
            <w:tcW w:w="160" w:type="dxa"/>
            <w:vAlign w:val="bottom"/>
          </w:tcPr>
          <w:p>
            <w:pPr>
              <w:spacing w:after="0"/>
              <w:rPr>
                <w:sz w:val="18"/>
                <w:szCs w:val="18"/>
                <w:color w:val="auto"/>
              </w:rPr>
            </w:pPr>
          </w:p>
        </w:tc>
        <w:tc>
          <w:tcPr>
            <w:tcW w:w="420" w:type="dxa"/>
            <w:vAlign w:val="bottom"/>
            <w:vMerge w:val="restart"/>
          </w:tcPr>
          <w:p>
            <w:pPr>
              <w:jc w:val="center"/>
              <w:spacing w:after="0"/>
              <w:rPr>
                <w:sz w:val="20"/>
                <w:szCs w:val="20"/>
                <w:color w:val="auto"/>
              </w:rPr>
            </w:pPr>
            <w:r>
              <w:rPr>
                <w:rFonts w:ascii="Arial" w:cs="Arial" w:eastAsia="Arial" w:hAnsi="Arial"/>
                <w:sz w:val="16"/>
                <w:szCs w:val="16"/>
                <w:color w:val="auto"/>
                <w:w w:val="89"/>
              </w:rPr>
              <w:t>400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restart"/>
          </w:tcPr>
          <w:p>
            <w:pPr>
              <w:jc w:val="center"/>
              <w:spacing w:after="0"/>
              <w:rPr>
                <w:sz w:val="20"/>
                <w:szCs w:val="20"/>
                <w:color w:val="auto"/>
              </w:rPr>
            </w:pPr>
            <w:r>
              <w:rPr>
                <w:rFonts w:ascii="Arial" w:cs="Arial" w:eastAsia="Arial" w:hAnsi="Arial"/>
                <w:sz w:val="16"/>
                <w:szCs w:val="16"/>
                <w:color w:val="auto"/>
                <w:w w:val="89"/>
              </w:rPr>
              <w:t>22.0</w:t>
            </w:r>
          </w:p>
        </w:tc>
        <w:tc>
          <w:tcPr>
            <w:tcW w:w="0" w:type="dxa"/>
            <w:vAlign w:val="bottom"/>
          </w:tcPr>
          <w:p>
            <w:pPr>
              <w:spacing w:after="0"/>
              <w:rPr>
                <w:sz w:val="1"/>
                <w:szCs w:val="1"/>
                <w:color w:val="auto"/>
              </w:rPr>
            </w:pPr>
          </w:p>
        </w:tc>
      </w:tr>
      <w:tr>
        <w:trPr>
          <w:trHeight w:val="212"/>
        </w:trPr>
        <w:tc>
          <w:tcPr>
            <w:tcW w:w="3280" w:type="dxa"/>
            <w:vAlign w:val="bottom"/>
          </w:tcPr>
          <w:p>
            <w:pPr>
              <w:ind w:left="220"/>
              <w:spacing w:after="0"/>
              <w:rPr>
                <w:sz w:val="20"/>
                <w:szCs w:val="20"/>
                <w:color w:val="auto"/>
              </w:rPr>
            </w:pPr>
            <w:r>
              <w:rPr>
                <w:rFonts w:ascii="Arial" w:cs="Arial" w:eastAsia="Arial" w:hAnsi="Arial"/>
                <w:sz w:val="16"/>
                <w:szCs w:val="16"/>
                <w:color w:val="auto"/>
              </w:rPr>
              <w:t>CO OSAKA (5)(9)</w:t>
            </w:r>
          </w:p>
        </w:tc>
        <w:tc>
          <w:tcPr>
            <w:tcW w:w="48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852’ 4”</w:t>
            </w: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6"/>
                <w:szCs w:val="16"/>
                <w:color w:val="auto"/>
              </w:rPr>
              <w:t>NAVIOS FELICITAS (5)(9)</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2010</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9395953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4,360</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326</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849’ 4”</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24.0</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6"/>
                <w:szCs w:val="16"/>
                <w:color w:val="auto"/>
              </w:rPr>
              <w:t>NAVIOS AMARANTH (5)(9)</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2007</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9334143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4,253</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400</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855’ 2”</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24.3</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6"/>
                <w:szCs w:val="16"/>
                <w:color w:val="auto"/>
              </w:rPr>
              <w:t>NAVIOS VERANO (5)(9)</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2006</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9308015</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3,461</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550</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783’ 8”</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23.0</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6"/>
                <w:szCs w:val="16"/>
                <w:color w:val="auto"/>
              </w:rPr>
              <w:t>CAPT. THANASIS (5)(9)</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2005</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9294159</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2,824</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586</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center"/>
              <w:ind w:right="20"/>
              <w:spacing w:after="0"/>
              <w:rPr>
                <w:sz w:val="20"/>
                <w:szCs w:val="20"/>
                <w:color w:val="auto"/>
              </w:rPr>
            </w:pPr>
            <w:r>
              <w:rPr>
                <w:rFonts w:ascii="Arial" w:cs="Arial" w:eastAsia="Arial" w:hAnsi="Arial"/>
                <w:sz w:val="16"/>
                <w:szCs w:val="16"/>
                <w:color w:val="auto"/>
              </w:rPr>
              <w:t>728’ 10”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21.0</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6"/>
                <w:szCs w:val="16"/>
                <w:color w:val="auto"/>
              </w:rPr>
              <w:t>BOMAR BELLINI (5)(9)</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2007</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9338084</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2,824</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586</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center"/>
              <w:ind w:right="20"/>
              <w:spacing w:after="0"/>
              <w:rPr>
                <w:sz w:val="20"/>
                <w:szCs w:val="20"/>
                <w:color w:val="auto"/>
              </w:rPr>
            </w:pPr>
            <w:r>
              <w:rPr>
                <w:rFonts w:ascii="Arial" w:cs="Arial" w:eastAsia="Arial" w:hAnsi="Arial"/>
                <w:sz w:val="16"/>
                <w:szCs w:val="16"/>
                <w:color w:val="auto"/>
              </w:rPr>
              <w:t>788’ 10”</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22.0</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6"/>
                <w:szCs w:val="16"/>
                <w:color w:val="auto"/>
              </w:rPr>
              <w:t>MAUNALEI (3)(8)</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2006</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1181627</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1,992</w:t>
            </w:r>
          </w:p>
        </w:tc>
        <w:tc>
          <w:tcPr>
            <w:tcW w:w="1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328</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681’ 1”</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22.1</w:t>
            </w:r>
          </w:p>
        </w:tc>
        <w:tc>
          <w:tcPr>
            <w:tcW w:w="0" w:type="dxa"/>
            <w:vAlign w:val="bottom"/>
          </w:tcPr>
          <w:p>
            <w:pPr>
              <w:spacing w:after="0"/>
              <w:rPr>
                <w:sz w:val="1"/>
                <w:szCs w:val="1"/>
                <w:color w:val="auto"/>
              </w:rPr>
            </w:pPr>
          </w:p>
        </w:tc>
      </w:tr>
      <w:tr>
        <w:trPr>
          <w:trHeight w:val="220"/>
        </w:trPr>
        <w:tc>
          <w:tcPr>
            <w:tcW w:w="3280" w:type="dxa"/>
            <w:vAlign w:val="bottom"/>
          </w:tcPr>
          <w:p>
            <w:pPr>
              <w:ind w:left="220"/>
              <w:spacing w:after="0"/>
              <w:rPr>
                <w:sz w:val="20"/>
                <w:szCs w:val="20"/>
                <w:color w:val="auto"/>
              </w:rPr>
            </w:pPr>
            <w:r>
              <w:rPr>
                <w:rFonts w:ascii="Arial" w:cs="Arial" w:eastAsia="Arial" w:hAnsi="Arial"/>
                <w:sz w:val="16"/>
                <w:szCs w:val="16"/>
                <w:color w:val="auto"/>
              </w:rPr>
              <w:t>LILOA II (5)</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2004</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9184249</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630</w:t>
            </w:r>
          </w:p>
        </w:tc>
        <w:tc>
          <w:tcPr>
            <w:tcW w:w="1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90</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388’ 6”</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15.0</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0"/>
                <w:szCs w:val="20"/>
                <w:color w:val="auto"/>
              </w:rPr>
            </w:pPr>
            <w:r>
              <w:rPr>
                <w:rFonts w:ascii="Arial" w:cs="Arial" w:eastAsia="Arial" w:hAnsi="Arial"/>
                <w:sz w:val="16"/>
                <w:szCs w:val="16"/>
                <w:b w:val="1"/>
                <w:bCs w:val="1"/>
                <w:i w:val="1"/>
                <w:iCs w:val="1"/>
                <w:color w:val="auto"/>
              </w:rPr>
              <w:t>Barges-Owned:</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335</w:t>
            </w:r>
          </w:p>
        </w:tc>
        <w:tc>
          <w:tcPr>
            <w:tcW w:w="160" w:type="dxa"/>
            <w:vAlign w:val="bottom"/>
          </w:tcPr>
          <w:p>
            <w:pPr>
              <w:spacing w:after="0"/>
              <w:rPr>
                <w:sz w:val="24"/>
                <w:szCs w:val="24"/>
                <w:color w:val="auto"/>
              </w:rPr>
            </w:pPr>
          </w:p>
        </w:tc>
        <w:tc>
          <w:tcPr>
            <w:tcW w:w="420" w:type="dxa"/>
            <w:vAlign w:val="bottom"/>
            <w:vMerge w:val="restart"/>
          </w:tcPr>
          <w:p>
            <w:pPr>
              <w:jc w:val="center"/>
              <w:spacing w:after="0"/>
              <w:rPr>
                <w:sz w:val="20"/>
                <w:szCs w:val="20"/>
                <w:color w:val="auto"/>
              </w:rPr>
            </w:pPr>
            <w:r>
              <w:rPr>
                <w:rFonts w:ascii="Arial" w:cs="Arial" w:eastAsia="Arial" w:hAnsi="Arial"/>
                <w:sz w:val="16"/>
                <w:szCs w:val="16"/>
                <w:color w:val="auto"/>
                <w:w w:val="89"/>
              </w:rPr>
              <w:t>78</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280" w:type="dxa"/>
            <w:vAlign w:val="bottom"/>
          </w:tcPr>
          <w:p>
            <w:pPr>
              <w:ind w:left="220"/>
              <w:spacing w:after="0"/>
              <w:rPr>
                <w:sz w:val="20"/>
                <w:szCs w:val="20"/>
                <w:color w:val="auto"/>
              </w:rPr>
            </w:pPr>
            <w:r>
              <w:rPr>
                <w:rFonts w:ascii="Arial" w:cs="Arial" w:eastAsia="Arial" w:hAnsi="Arial"/>
                <w:sz w:val="16"/>
                <w:szCs w:val="16"/>
                <w:color w:val="auto"/>
              </w:rPr>
              <w:t>HALEAKALA (3)(6)</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1984</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676972</w:t>
            </w:r>
          </w:p>
        </w:tc>
        <w:tc>
          <w:tcPr>
            <w:tcW w:w="1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350’ 0”</w:t>
            </w:r>
          </w:p>
        </w:tc>
        <w:tc>
          <w:tcPr>
            <w:tcW w:w="6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0"/>
        </w:trPr>
        <w:tc>
          <w:tcPr>
            <w:tcW w:w="3280" w:type="dxa"/>
            <w:vAlign w:val="bottom"/>
          </w:tcPr>
          <w:p>
            <w:pPr>
              <w:ind w:left="220"/>
              <w:spacing w:after="0"/>
              <w:rPr>
                <w:sz w:val="20"/>
                <w:szCs w:val="20"/>
                <w:color w:val="auto"/>
              </w:rPr>
            </w:pPr>
            <w:r>
              <w:rPr>
                <w:rFonts w:ascii="Arial" w:cs="Arial" w:eastAsia="Arial" w:hAnsi="Arial"/>
                <w:sz w:val="16"/>
                <w:szCs w:val="16"/>
                <w:color w:val="auto"/>
              </w:rPr>
              <w:t>WAIALEALE (3)(7)</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1991</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978516</w:t>
            </w:r>
          </w:p>
        </w:tc>
        <w:tc>
          <w:tcPr>
            <w:tcW w:w="1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230</w:t>
            </w:r>
          </w:p>
        </w:tc>
        <w:tc>
          <w:tcPr>
            <w:tcW w:w="140" w:type="dxa"/>
            <w:vAlign w:val="bottom"/>
          </w:tcPr>
          <w:p>
            <w:pPr>
              <w:spacing w:after="0"/>
              <w:rPr>
                <w:sz w:val="19"/>
                <w:szCs w:val="19"/>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345’ 0”</w:t>
            </w:r>
          </w:p>
        </w:tc>
        <w:tc>
          <w:tcPr>
            <w:tcW w:w="6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6"/>
                <w:szCs w:val="16"/>
                <w:b w:val="1"/>
                <w:bCs w:val="1"/>
                <w:i w:val="1"/>
                <w:iCs w:val="1"/>
                <w:color w:val="auto"/>
              </w:rPr>
              <w:t>Barges-Chartered:</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500</w:t>
            </w:r>
          </w:p>
        </w:tc>
        <w:tc>
          <w:tcPr>
            <w:tcW w:w="160" w:type="dxa"/>
            <w:vAlign w:val="bottom"/>
          </w:tcPr>
          <w:p>
            <w:pPr>
              <w:spacing w:after="0"/>
              <w:rPr>
                <w:sz w:val="18"/>
                <w:szCs w:val="18"/>
                <w:color w:val="auto"/>
              </w:rPr>
            </w:pPr>
          </w:p>
        </w:tc>
        <w:tc>
          <w:tcPr>
            <w:tcW w:w="420" w:type="dxa"/>
            <w:vAlign w:val="bottom"/>
            <w:vMerge w:val="restart"/>
          </w:tcPr>
          <w:p>
            <w:pPr>
              <w:jc w:val="center"/>
              <w:spacing w:after="0"/>
              <w:rPr>
                <w:sz w:val="20"/>
                <w:szCs w:val="20"/>
                <w:color w:val="auto"/>
              </w:rPr>
            </w:pPr>
            <w:r>
              <w:rPr>
                <w:rFonts w:ascii="Arial" w:cs="Arial" w:eastAsia="Arial" w:hAnsi="Arial"/>
                <w:sz w:val="16"/>
                <w:szCs w:val="16"/>
                <w:color w:val="auto"/>
                <w:w w:val="89"/>
              </w:rPr>
              <w:t>78</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80" w:type="dxa"/>
            <w:vAlign w:val="bottom"/>
          </w:tcPr>
          <w:p>
            <w:pPr>
              <w:ind w:left="220"/>
              <w:spacing w:after="0"/>
              <w:rPr>
                <w:sz w:val="20"/>
                <w:szCs w:val="20"/>
                <w:color w:val="auto"/>
              </w:rPr>
            </w:pPr>
            <w:r>
              <w:rPr>
                <w:rFonts w:ascii="Arial" w:cs="Arial" w:eastAsia="Arial" w:hAnsi="Arial"/>
                <w:sz w:val="16"/>
                <w:szCs w:val="16"/>
                <w:color w:val="auto"/>
              </w:rPr>
              <w:t>MAUNA LOA (3)</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2013</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1247426</w:t>
            </w:r>
          </w:p>
        </w:tc>
        <w:tc>
          <w:tcPr>
            <w:tcW w:w="1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362’ 6”</w:t>
            </w:r>
          </w:p>
        </w:tc>
        <w:tc>
          <w:tcPr>
            <w:tcW w:w="6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0"/>
        </w:trPr>
        <w:tc>
          <w:tcPr>
            <w:tcW w:w="3280" w:type="dxa"/>
            <w:vAlign w:val="bottom"/>
          </w:tcPr>
          <w:p>
            <w:pPr>
              <w:ind w:left="220"/>
              <w:spacing w:after="0"/>
              <w:rPr>
                <w:sz w:val="20"/>
                <w:szCs w:val="20"/>
                <w:color w:val="auto"/>
              </w:rPr>
            </w:pPr>
            <w:r>
              <w:rPr>
                <w:rFonts w:ascii="Arial" w:cs="Arial" w:eastAsia="Arial" w:hAnsi="Arial"/>
                <w:sz w:val="16"/>
                <w:szCs w:val="16"/>
                <w:color w:val="auto"/>
              </w:rPr>
              <w:t>ILIULIUK BAY (3)(6)</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2013</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1249384</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178</w:t>
            </w:r>
          </w:p>
        </w:tc>
        <w:tc>
          <w:tcPr>
            <w:tcW w:w="160" w:type="dxa"/>
            <w:vAlign w:val="bottom"/>
          </w:tcPr>
          <w:p>
            <w:pPr>
              <w:spacing w:after="0"/>
              <w:rPr>
                <w:sz w:val="19"/>
                <w:szCs w:val="19"/>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6"/>
                <w:szCs w:val="16"/>
                <w:color w:val="auto"/>
                <w:w w:val="9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rPr>
              <w:t>250’ 0”</w:t>
            </w:r>
          </w:p>
        </w:tc>
        <w:tc>
          <w:tcPr>
            <w:tcW w:w="6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-4521835</wp:posOffset>
            </wp:positionV>
            <wp:extent cx="564896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-4247515</wp:posOffset>
            </wp:positionV>
            <wp:extent cx="56489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-3973195</wp:posOffset>
            </wp:positionV>
            <wp:extent cx="56489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-3698875</wp:posOffset>
            </wp:positionV>
            <wp:extent cx="56489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-3424555</wp:posOffset>
            </wp:positionV>
            <wp:extent cx="56489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-3150235</wp:posOffset>
            </wp:positionV>
            <wp:extent cx="56489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-2875915</wp:posOffset>
            </wp:positionV>
            <wp:extent cx="56489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-2601595</wp:posOffset>
            </wp:positionV>
            <wp:extent cx="56489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-2327275</wp:posOffset>
            </wp:positionV>
            <wp:extent cx="56489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-2052955</wp:posOffset>
            </wp:positionV>
            <wp:extent cx="56489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-1778635</wp:posOffset>
            </wp:positionV>
            <wp:extent cx="56489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-1504315</wp:posOffset>
            </wp:positionV>
            <wp:extent cx="56489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-1229995</wp:posOffset>
            </wp:positionV>
            <wp:extent cx="56489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-955675</wp:posOffset>
            </wp:positionV>
            <wp:extent cx="56489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-681355</wp:posOffset>
            </wp:positionV>
            <wp:extent cx="56489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-407035</wp:posOffset>
            </wp:positionV>
            <wp:extent cx="56489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-132715</wp:posOffset>
            </wp:positionV>
            <wp:extent cx="56489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72390</wp:posOffset>
            </wp:positionV>
            <wp:extent cx="14141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3" w:lineRule="exact"/>
        <w:rPr>
          <w:sz w:val="20"/>
          <w:szCs w:val="20"/>
          <w:color w:val="auto"/>
        </w:rPr>
      </w:pPr>
    </w:p>
    <w:p>
      <w:pPr>
        <w:ind w:left="380" w:hanging="330"/>
        <w:spacing w:after="0"/>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Twenty-foot Equivalent Units (“TEU”) is a standard measure of cargo volume correlated to a standard 20-foot dry cargo container.</w:t>
      </w:r>
    </w:p>
    <w:p>
      <w:pPr>
        <w:spacing w:after="0" w:line="11" w:lineRule="exact"/>
        <w:rPr>
          <w:rFonts w:ascii="Arial" w:cs="Arial" w:eastAsia="Arial" w:hAnsi="Arial"/>
          <w:sz w:val="13"/>
          <w:szCs w:val="13"/>
          <w:color w:val="auto"/>
        </w:rPr>
      </w:pPr>
    </w:p>
    <w:p>
      <w:pPr>
        <w:ind w:left="380" w:hanging="330"/>
        <w:spacing w:after="0" w:line="22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Vessel Design Speed may vary from the operating speed of the vessel.</w:t>
      </w:r>
    </w:p>
    <w:p>
      <w:pPr>
        <w:ind w:left="380" w:hanging="330"/>
        <w:spacing w:after="0" w:line="22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U.S. flagged and Jones Act qualified vessel or barge.</w:t>
      </w:r>
    </w:p>
    <w:p>
      <w:pPr>
        <w:ind w:left="380" w:hanging="330"/>
        <w:spacing w:after="0" w:line="22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U.S. flagged vessel.</w:t>
      </w:r>
    </w:p>
    <w:p>
      <w:pPr>
        <w:ind w:left="380" w:hanging="330"/>
        <w:spacing w:after="0" w:line="22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Foreign flagged vessel.</w:t>
      </w:r>
    </w:p>
    <w:p>
      <w:pPr>
        <w:ind w:left="380" w:hanging="330"/>
        <w:spacing w:after="0" w:line="22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Lift-on/lift-off barge equipped with a crane.</w:t>
      </w:r>
    </w:p>
    <w:p>
      <w:pPr>
        <w:ind w:left="380" w:hanging="330"/>
        <w:spacing w:after="0" w:line="22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Roll-on/roll-off barge.</w:t>
      </w:r>
    </w:p>
    <w:p>
      <w:pPr>
        <w:ind w:left="380" w:hanging="330"/>
        <w:spacing w:after="0" w:line="22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Vessel installed with exhaust gas cleaning systems (commonly referred to as “scrubbers”).</w:t>
      </w:r>
    </w:p>
    <w:p>
      <w:pPr>
        <w:ind w:left="380" w:hanging="330"/>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Vessels used in the CLX+ service are chartered and may be replaced by other similar vessels.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Fleet Renewal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right"/>
        <w:ind w:right="119"/>
        <w:spacing w:after="0"/>
        <w:rPr>
          <w:sz w:val="20"/>
          <w:szCs w:val="20"/>
          <w:color w:val="auto"/>
        </w:rPr>
      </w:pPr>
      <w:r>
        <w:rPr>
          <w:rFonts w:ascii="Arial" w:cs="Arial" w:eastAsia="Arial" w:hAnsi="Arial"/>
          <w:sz w:val="14"/>
          <w:szCs w:val="14"/>
          <w:color w:val="auto"/>
        </w:rPr>
        <w:t>50,794</w:t>
      </w:r>
    </w:p>
    <w:p>
      <w:pPr>
        <w:spacing w:after="0" w:line="55" w:lineRule="exact"/>
        <w:rPr>
          <w:sz w:val="20"/>
          <w:szCs w:val="20"/>
          <w:color w:val="auto"/>
        </w:rPr>
      </w:pPr>
    </w:p>
    <w:p>
      <w:pPr>
        <w:jc w:val="right"/>
        <w:ind w:right="119"/>
        <w:spacing w:after="0"/>
        <w:rPr>
          <w:sz w:val="20"/>
          <w:szCs w:val="20"/>
          <w:color w:val="auto"/>
        </w:rPr>
      </w:pPr>
      <w:r>
        <w:rPr>
          <w:rFonts w:ascii="Arial" w:cs="Arial" w:eastAsia="Arial" w:hAnsi="Arial"/>
          <w:sz w:val="14"/>
          <w:szCs w:val="14"/>
          <w:color w:val="auto"/>
        </w:rPr>
        <w:t>53,747</w:t>
      </w:r>
    </w:p>
    <w:p>
      <w:pPr>
        <w:spacing w:after="0" w:line="55" w:lineRule="exact"/>
        <w:rPr>
          <w:sz w:val="20"/>
          <w:szCs w:val="20"/>
          <w:color w:val="auto"/>
        </w:rPr>
      </w:pPr>
    </w:p>
    <w:p>
      <w:pPr>
        <w:jc w:val="right"/>
        <w:ind w:right="119"/>
        <w:spacing w:after="0"/>
        <w:rPr>
          <w:sz w:val="20"/>
          <w:szCs w:val="20"/>
          <w:color w:val="auto"/>
        </w:rPr>
      </w:pPr>
      <w:r>
        <w:rPr>
          <w:rFonts w:ascii="Arial" w:cs="Arial" w:eastAsia="Arial" w:hAnsi="Arial"/>
          <w:sz w:val="14"/>
          <w:szCs w:val="14"/>
          <w:color w:val="auto"/>
        </w:rPr>
        <w:t>30,187</w:t>
      </w:r>
    </w:p>
    <w:p>
      <w:pPr>
        <w:spacing w:after="0" w:line="55" w:lineRule="exact"/>
        <w:rPr>
          <w:sz w:val="20"/>
          <w:szCs w:val="20"/>
          <w:color w:val="auto"/>
        </w:rPr>
      </w:pPr>
    </w:p>
    <w:p>
      <w:pPr>
        <w:jc w:val="right"/>
        <w:ind w:right="119"/>
        <w:spacing w:after="0"/>
        <w:rPr>
          <w:sz w:val="20"/>
          <w:szCs w:val="20"/>
          <w:color w:val="auto"/>
        </w:rPr>
      </w:pPr>
      <w:r>
        <w:rPr>
          <w:rFonts w:ascii="Arial" w:cs="Arial" w:eastAsia="Arial" w:hAnsi="Arial"/>
          <w:sz w:val="14"/>
          <w:szCs w:val="14"/>
          <w:color w:val="auto"/>
        </w:rPr>
        <w:t>30,167</w:t>
      </w:r>
    </w:p>
    <w:p>
      <w:pPr>
        <w:spacing w:after="0" w:line="55" w:lineRule="exact"/>
        <w:rPr>
          <w:sz w:val="20"/>
          <w:szCs w:val="20"/>
          <w:color w:val="auto"/>
        </w:rPr>
      </w:pPr>
    </w:p>
    <w:p>
      <w:pPr>
        <w:jc w:val="right"/>
        <w:ind w:right="119"/>
        <w:spacing w:after="0"/>
        <w:rPr>
          <w:sz w:val="20"/>
          <w:szCs w:val="20"/>
          <w:color w:val="auto"/>
        </w:rPr>
      </w:pPr>
      <w:r>
        <w:rPr>
          <w:rFonts w:ascii="Arial" w:cs="Arial" w:eastAsia="Arial" w:hAnsi="Arial"/>
          <w:sz w:val="14"/>
          <w:szCs w:val="14"/>
          <w:color w:val="auto"/>
        </w:rPr>
        <w:t>50,562</w:t>
      </w:r>
    </w:p>
    <w:p>
      <w:pPr>
        <w:spacing w:after="0" w:line="55" w:lineRule="exact"/>
        <w:rPr>
          <w:sz w:val="20"/>
          <w:szCs w:val="20"/>
          <w:color w:val="auto"/>
        </w:rPr>
      </w:pPr>
    </w:p>
    <w:p>
      <w:pPr>
        <w:jc w:val="right"/>
        <w:ind w:right="119"/>
        <w:spacing w:after="0"/>
        <w:rPr>
          <w:sz w:val="20"/>
          <w:szCs w:val="20"/>
          <w:color w:val="auto"/>
        </w:rPr>
      </w:pPr>
      <w:r>
        <w:rPr>
          <w:rFonts w:ascii="Arial" w:cs="Arial" w:eastAsia="Arial" w:hAnsi="Arial"/>
          <w:sz w:val="14"/>
          <w:szCs w:val="14"/>
          <w:color w:val="auto"/>
        </w:rPr>
        <w:t>50,562</w:t>
      </w:r>
    </w:p>
    <w:p>
      <w:pPr>
        <w:spacing w:after="0" w:line="55" w:lineRule="exact"/>
        <w:rPr>
          <w:sz w:val="20"/>
          <w:szCs w:val="20"/>
          <w:color w:val="auto"/>
        </w:rPr>
      </w:pPr>
    </w:p>
    <w:p>
      <w:pPr>
        <w:jc w:val="right"/>
        <w:ind w:right="119"/>
        <w:spacing w:after="0"/>
        <w:rPr>
          <w:sz w:val="20"/>
          <w:szCs w:val="20"/>
          <w:color w:val="auto"/>
        </w:rPr>
      </w:pPr>
      <w:r>
        <w:rPr>
          <w:rFonts w:ascii="Arial" w:cs="Arial" w:eastAsia="Arial" w:hAnsi="Arial"/>
          <w:sz w:val="14"/>
          <w:szCs w:val="14"/>
          <w:color w:val="auto"/>
        </w:rPr>
        <w:t>29,517</w:t>
      </w:r>
    </w:p>
    <w:p>
      <w:pPr>
        <w:spacing w:after="0" w:line="55" w:lineRule="exact"/>
        <w:rPr>
          <w:sz w:val="20"/>
          <w:szCs w:val="20"/>
          <w:color w:val="auto"/>
        </w:rPr>
      </w:pPr>
    </w:p>
    <w:p>
      <w:pPr>
        <w:jc w:val="right"/>
        <w:ind w:right="119"/>
        <w:spacing w:after="0"/>
        <w:rPr>
          <w:sz w:val="20"/>
          <w:szCs w:val="20"/>
          <w:color w:val="auto"/>
        </w:rPr>
      </w:pPr>
      <w:r>
        <w:rPr>
          <w:rFonts w:ascii="Arial" w:cs="Arial" w:eastAsia="Arial" w:hAnsi="Arial"/>
          <w:sz w:val="14"/>
          <w:szCs w:val="14"/>
          <w:color w:val="auto"/>
        </w:rPr>
        <w:t>29,517</w:t>
      </w:r>
    </w:p>
    <w:p>
      <w:pPr>
        <w:spacing w:after="0" w:line="55" w:lineRule="exact"/>
        <w:rPr>
          <w:sz w:val="20"/>
          <w:szCs w:val="20"/>
          <w:color w:val="auto"/>
        </w:rPr>
      </w:pPr>
    </w:p>
    <w:p>
      <w:pPr>
        <w:jc w:val="right"/>
        <w:ind w:right="119"/>
        <w:spacing w:after="0"/>
        <w:rPr>
          <w:sz w:val="20"/>
          <w:szCs w:val="20"/>
          <w:color w:val="auto"/>
        </w:rPr>
      </w:pPr>
      <w:r>
        <w:rPr>
          <w:rFonts w:ascii="Arial" w:cs="Arial" w:eastAsia="Arial" w:hAnsi="Arial"/>
          <w:sz w:val="14"/>
          <w:szCs w:val="14"/>
          <w:color w:val="auto"/>
        </w:rPr>
        <w:t>29,517</w:t>
      </w:r>
    </w:p>
    <w:p>
      <w:pPr>
        <w:spacing w:after="0" w:line="55" w:lineRule="exact"/>
        <w:rPr>
          <w:sz w:val="20"/>
          <w:szCs w:val="20"/>
          <w:color w:val="auto"/>
        </w:rPr>
      </w:pPr>
    </w:p>
    <w:p>
      <w:pPr>
        <w:jc w:val="right"/>
        <w:ind w:right="119"/>
        <w:spacing w:after="0"/>
        <w:rPr>
          <w:sz w:val="20"/>
          <w:szCs w:val="20"/>
          <w:color w:val="auto"/>
        </w:rPr>
      </w:pPr>
      <w:r>
        <w:rPr>
          <w:rFonts w:ascii="Arial" w:cs="Arial" w:eastAsia="Arial" w:hAnsi="Arial"/>
          <w:sz w:val="14"/>
          <w:szCs w:val="14"/>
          <w:color w:val="auto"/>
        </w:rPr>
        <w:t>27,100</w:t>
      </w:r>
    </w:p>
    <w:p>
      <w:pPr>
        <w:spacing w:after="0" w:line="55" w:lineRule="exact"/>
        <w:rPr>
          <w:sz w:val="20"/>
          <w:szCs w:val="20"/>
          <w:color w:val="auto"/>
        </w:rPr>
      </w:pPr>
    </w:p>
    <w:p>
      <w:pPr>
        <w:jc w:val="right"/>
        <w:ind w:right="119"/>
        <w:spacing w:after="0"/>
        <w:rPr>
          <w:sz w:val="20"/>
          <w:szCs w:val="20"/>
          <w:color w:val="auto"/>
        </w:rPr>
      </w:pPr>
      <w:r>
        <w:rPr>
          <w:rFonts w:ascii="Arial" w:cs="Arial" w:eastAsia="Arial" w:hAnsi="Arial"/>
          <w:sz w:val="14"/>
          <w:szCs w:val="14"/>
          <w:color w:val="auto"/>
        </w:rPr>
        <w:t>29,484</w:t>
      </w:r>
    </w:p>
    <w:p>
      <w:pPr>
        <w:spacing w:after="0" w:line="55" w:lineRule="exact"/>
        <w:rPr>
          <w:sz w:val="20"/>
          <w:szCs w:val="20"/>
          <w:color w:val="auto"/>
        </w:rPr>
      </w:pPr>
    </w:p>
    <w:p>
      <w:pPr>
        <w:jc w:val="right"/>
        <w:ind w:right="119"/>
        <w:spacing w:after="0"/>
        <w:rPr>
          <w:sz w:val="20"/>
          <w:szCs w:val="20"/>
          <w:color w:val="auto"/>
        </w:rPr>
      </w:pPr>
      <w:r>
        <w:rPr>
          <w:rFonts w:ascii="Arial" w:cs="Arial" w:eastAsia="Arial" w:hAnsi="Arial"/>
          <w:sz w:val="14"/>
          <w:szCs w:val="14"/>
          <w:color w:val="auto"/>
        </w:rPr>
        <w:t>37,473</w:t>
      </w:r>
    </w:p>
    <w:p>
      <w:pPr>
        <w:spacing w:after="0" w:line="55" w:lineRule="exact"/>
        <w:rPr>
          <w:sz w:val="20"/>
          <w:szCs w:val="20"/>
          <w:color w:val="auto"/>
        </w:rPr>
      </w:pPr>
    </w:p>
    <w:p>
      <w:pPr>
        <w:jc w:val="right"/>
        <w:ind w:right="119"/>
        <w:spacing w:after="0"/>
        <w:rPr>
          <w:sz w:val="20"/>
          <w:szCs w:val="20"/>
          <w:color w:val="auto"/>
        </w:rPr>
      </w:pPr>
      <w:r>
        <w:rPr>
          <w:rFonts w:ascii="Arial" w:cs="Arial" w:eastAsia="Arial" w:hAnsi="Arial"/>
          <w:sz w:val="14"/>
          <w:szCs w:val="14"/>
          <w:color w:val="auto"/>
        </w:rPr>
        <w:t>37,473</w:t>
      </w:r>
    </w:p>
    <w:p>
      <w:pPr>
        <w:spacing w:after="0" w:line="55" w:lineRule="exact"/>
        <w:rPr>
          <w:sz w:val="20"/>
          <w:szCs w:val="20"/>
          <w:color w:val="auto"/>
        </w:rPr>
      </w:pPr>
    </w:p>
    <w:p>
      <w:pPr>
        <w:jc w:val="right"/>
        <w:ind w:right="119"/>
        <w:spacing w:after="0"/>
        <w:rPr>
          <w:sz w:val="20"/>
          <w:szCs w:val="20"/>
          <w:color w:val="auto"/>
        </w:rPr>
      </w:pPr>
      <w:r>
        <w:rPr>
          <w:rFonts w:ascii="Arial" w:cs="Arial" w:eastAsia="Arial" w:hAnsi="Arial"/>
          <w:sz w:val="14"/>
          <w:szCs w:val="14"/>
          <w:color w:val="auto"/>
        </w:rPr>
        <w:t>37,473</w:t>
      </w:r>
    </w:p>
    <w:p>
      <w:pPr>
        <w:spacing w:after="0" w:line="55" w:lineRule="exact"/>
        <w:rPr>
          <w:sz w:val="20"/>
          <w:szCs w:val="20"/>
          <w:color w:val="auto"/>
        </w:rPr>
      </w:pPr>
    </w:p>
    <w:p>
      <w:pPr>
        <w:jc w:val="right"/>
        <w:ind w:right="119"/>
        <w:spacing w:after="0"/>
        <w:rPr>
          <w:sz w:val="20"/>
          <w:szCs w:val="20"/>
          <w:color w:val="auto"/>
        </w:rPr>
      </w:pPr>
      <w:r>
        <w:rPr>
          <w:rFonts w:ascii="Arial" w:cs="Arial" w:eastAsia="Arial" w:hAnsi="Arial"/>
          <w:sz w:val="16"/>
          <w:szCs w:val="16"/>
          <w:color w:val="auto"/>
        </w:rPr>
        <w:t>8,509</w:t>
      </w:r>
    </w:p>
    <w:p>
      <w:pPr>
        <w:spacing w:after="0" w:line="32" w:lineRule="exact"/>
        <w:rPr>
          <w:sz w:val="20"/>
          <w:szCs w:val="20"/>
          <w:color w:val="auto"/>
        </w:rPr>
      </w:pPr>
    </w:p>
    <w:p>
      <w:pPr>
        <w:jc w:val="right"/>
        <w:ind w:right="119"/>
        <w:spacing w:after="0"/>
        <w:rPr>
          <w:sz w:val="20"/>
          <w:szCs w:val="20"/>
          <w:color w:val="auto"/>
        </w:rPr>
      </w:pPr>
      <w:r>
        <w:rPr>
          <w:rFonts w:ascii="Arial" w:cs="Arial" w:eastAsia="Arial" w:hAnsi="Arial"/>
          <w:sz w:val="16"/>
          <w:szCs w:val="16"/>
          <w:color w:val="auto"/>
        </w:rPr>
        <w:t>8,200</w:t>
      </w:r>
    </w:p>
    <w:p>
      <w:pPr>
        <w:spacing w:after="0" w:line="32" w:lineRule="exact"/>
        <w:rPr>
          <w:sz w:val="20"/>
          <w:szCs w:val="20"/>
          <w:color w:val="auto"/>
        </w:rPr>
      </w:pPr>
    </w:p>
    <w:p>
      <w:pPr>
        <w:jc w:val="right"/>
        <w:ind w:right="119"/>
        <w:spacing w:after="0"/>
        <w:rPr>
          <w:sz w:val="20"/>
          <w:szCs w:val="20"/>
          <w:color w:val="auto"/>
        </w:rPr>
      </w:pPr>
      <w:r>
        <w:rPr>
          <w:rFonts w:ascii="Arial" w:cs="Arial" w:eastAsia="Arial" w:hAnsi="Arial"/>
          <w:sz w:val="16"/>
          <w:szCs w:val="16"/>
          <w:color w:val="auto"/>
        </w:rPr>
        <w:t>8,071</w:t>
      </w:r>
    </w:p>
    <w:p>
      <w:pPr>
        <w:spacing w:after="0" w:line="32" w:lineRule="exact"/>
        <w:rPr>
          <w:sz w:val="20"/>
          <w:szCs w:val="20"/>
          <w:color w:val="auto"/>
        </w:rPr>
      </w:pPr>
    </w:p>
    <w:p>
      <w:pPr>
        <w:jc w:val="right"/>
        <w:ind w:right="119"/>
        <w:spacing w:after="0"/>
        <w:rPr>
          <w:sz w:val="20"/>
          <w:szCs w:val="20"/>
          <w:color w:val="auto"/>
        </w:rPr>
      </w:pPr>
      <w:r>
        <w:rPr>
          <w:rFonts w:ascii="Arial" w:cs="Arial" w:eastAsia="Arial" w:hAnsi="Arial"/>
          <w:sz w:val="16"/>
          <w:szCs w:val="16"/>
          <w:color w:val="auto"/>
        </w:rPr>
        <w:t>5,364</w:t>
      </w:r>
    </w:p>
    <w:p>
      <w:pPr>
        <w:spacing w:after="0" w:line="248" w:lineRule="exact"/>
        <w:rPr>
          <w:sz w:val="20"/>
          <w:szCs w:val="20"/>
          <w:color w:val="auto"/>
        </w:rPr>
      </w:pPr>
    </w:p>
    <w:p>
      <w:pPr>
        <w:jc w:val="right"/>
        <w:ind w:right="119"/>
        <w:spacing w:after="0"/>
        <w:rPr>
          <w:sz w:val="20"/>
          <w:szCs w:val="20"/>
          <w:color w:val="auto"/>
        </w:rPr>
      </w:pPr>
      <w:r>
        <w:rPr>
          <w:rFonts w:ascii="Arial" w:cs="Arial" w:eastAsia="Arial" w:hAnsi="Arial"/>
          <w:sz w:val="14"/>
          <w:szCs w:val="14"/>
          <w:color w:val="auto"/>
        </w:rPr>
        <w:t>50,554</w:t>
      </w:r>
    </w:p>
    <w:p>
      <w:pPr>
        <w:spacing w:after="0" w:line="55" w:lineRule="exact"/>
        <w:rPr>
          <w:sz w:val="20"/>
          <w:szCs w:val="20"/>
          <w:color w:val="auto"/>
        </w:rPr>
      </w:pPr>
    </w:p>
    <w:p>
      <w:pPr>
        <w:jc w:val="right"/>
        <w:ind w:right="119"/>
        <w:spacing w:after="0"/>
        <w:rPr>
          <w:sz w:val="20"/>
          <w:szCs w:val="20"/>
          <w:color w:val="auto"/>
        </w:rPr>
      </w:pPr>
      <w:r>
        <w:rPr>
          <w:rFonts w:ascii="Arial" w:cs="Arial" w:eastAsia="Arial" w:hAnsi="Arial"/>
          <w:sz w:val="14"/>
          <w:szCs w:val="14"/>
          <w:color w:val="auto"/>
        </w:rPr>
        <w:t>52,315</w:t>
      </w:r>
    </w:p>
    <w:p>
      <w:pPr>
        <w:spacing w:after="0" w:line="55" w:lineRule="exact"/>
        <w:rPr>
          <w:sz w:val="20"/>
          <w:szCs w:val="20"/>
          <w:color w:val="auto"/>
        </w:rPr>
      </w:pPr>
    </w:p>
    <w:p>
      <w:pPr>
        <w:jc w:val="right"/>
        <w:ind w:right="119"/>
        <w:spacing w:after="0"/>
        <w:rPr>
          <w:sz w:val="20"/>
          <w:szCs w:val="20"/>
          <w:color w:val="auto"/>
        </w:rPr>
      </w:pPr>
      <w:r>
        <w:rPr>
          <w:rFonts w:ascii="Arial" w:cs="Arial" w:eastAsia="Arial" w:hAnsi="Arial"/>
          <w:sz w:val="14"/>
          <w:szCs w:val="14"/>
          <w:color w:val="auto"/>
        </w:rPr>
        <w:t>50,629</w:t>
      </w:r>
    </w:p>
    <w:p>
      <w:pPr>
        <w:spacing w:after="0" w:line="55" w:lineRule="exact"/>
        <w:rPr>
          <w:sz w:val="20"/>
          <w:szCs w:val="20"/>
          <w:color w:val="auto"/>
        </w:rPr>
      </w:pPr>
    </w:p>
    <w:p>
      <w:pPr>
        <w:jc w:val="right"/>
        <w:ind w:right="119"/>
        <w:spacing w:after="0"/>
        <w:rPr>
          <w:sz w:val="20"/>
          <w:szCs w:val="20"/>
          <w:color w:val="auto"/>
        </w:rPr>
      </w:pPr>
      <w:r>
        <w:rPr>
          <w:rFonts w:ascii="Arial" w:cs="Arial" w:eastAsia="Arial" w:hAnsi="Arial"/>
          <w:sz w:val="14"/>
          <w:szCs w:val="14"/>
          <w:color w:val="auto"/>
        </w:rPr>
        <w:t>42,806</w:t>
      </w:r>
    </w:p>
    <w:p>
      <w:pPr>
        <w:spacing w:after="0" w:line="55" w:lineRule="exact"/>
        <w:rPr>
          <w:sz w:val="20"/>
          <w:szCs w:val="20"/>
          <w:color w:val="auto"/>
        </w:rPr>
      </w:pPr>
    </w:p>
    <w:p>
      <w:pPr>
        <w:jc w:val="right"/>
        <w:ind w:right="119"/>
        <w:spacing w:after="0"/>
        <w:rPr>
          <w:sz w:val="20"/>
          <w:szCs w:val="20"/>
          <w:color w:val="auto"/>
        </w:rPr>
      </w:pPr>
      <w:r>
        <w:rPr>
          <w:rFonts w:ascii="Arial" w:cs="Arial" w:eastAsia="Arial" w:hAnsi="Arial"/>
          <w:sz w:val="14"/>
          <w:szCs w:val="14"/>
          <w:color w:val="auto"/>
        </w:rPr>
        <w:t>39,383</w:t>
      </w:r>
    </w:p>
    <w:p>
      <w:pPr>
        <w:spacing w:after="0" w:line="55" w:lineRule="exact"/>
        <w:rPr>
          <w:sz w:val="20"/>
          <w:szCs w:val="20"/>
          <w:color w:val="auto"/>
        </w:rPr>
      </w:pPr>
    </w:p>
    <w:p>
      <w:pPr>
        <w:jc w:val="right"/>
        <w:ind w:right="119"/>
        <w:spacing w:after="0"/>
        <w:rPr>
          <w:sz w:val="20"/>
          <w:szCs w:val="20"/>
          <w:color w:val="auto"/>
        </w:rPr>
      </w:pPr>
      <w:r>
        <w:rPr>
          <w:rFonts w:ascii="Arial" w:cs="Arial" w:eastAsia="Arial" w:hAnsi="Arial"/>
          <w:sz w:val="14"/>
          <w:szCs w:val="14"/>
          <w:color w:val="auto"/>
        </w:rPr>
        <w:t>39,276</w:t>
      </w:r>
    </w:p>
    <w:p>
      <w:pPr>
        <w:spacing w:after="0" w:line="55" w:lineRule="exact"/>
        <w:rPr>
          <w:sz w:val="20"/>
          <w:szCs w:val="20"/>
          <w:color w:val="auto"/>
        </w:rPr>
      </w:pPr>
    </w:p>
    <w:p>
      <w:pPr>
        <w:jc w:val="right"/>
        <w:ind w:right="119"/>
        <w:spacing w:after="0"/>
        <w:rPr>
          <w:sz w:val="20"/>
          <w:szCs w:val="20"/>
          <w:color w:val="auto"/>
        </w:rPr>
      </w:pPr>
      <w:r>
        <w:rPr>
          <w:rFonts w:ascii="Arial" w:cs="Arial" w:eastAsia="Arial" w:hAnsi="Arial"/>
          <w:sz w:val="14"/>
          <w:szCs w:val="14"/>
          <w:color w:val="auto"/>
        </w:rPr>
        <w:t>33,771</w:t>
      </w:r>
    </w:p>
    <w:p>
      <w:pPr>
        <w:spacing w:after="0" w:line="55" w:lineRule="exact"/>
        <w:rPr>
          <w:sz w:val="20"/>
          <w:szCs w:val="20"/>
          <w:color w:val="auto"/>
        </w:rPr>
      </w:pPr>
    </w:p>
    <w:p>
      <w:pPr>
        <w:jc w:val="right"/>
        <w:ind w:right="119"/>
        <w:spacing w:after="0"/>
        <w:rPr>
          <w:sz w:val="20"/>
          <w:szCs w:val="20"/>
          <w:color w:val="auto"/>
        </w:rPr>
      </w:pPr>
      <w:r>
        <w:rPr>
          <w:rFonts w:ascii="Arial" w:cs="Arial" w:eastAsia="Arial" w:hAnsi="Arial"/>
          <w:sz w:val="16"/>
          <w:szCs w:val="16"/>
          <w:color w:val="auto"/>
        </w:rPr>
        <w:t>8,071</w:t>
      </w:r>
    </w:p>
    <w:p>
      <w:pPr>
        <w:spacing w:after="0" w:line="200" w:lineRule="exact"/>
        <w:rPr>
          <w:sz w:val="20"/>
          <w:szCs w:val="20"/>
          <w:color w:val="auto"/>
        </w:rPr>
      </w:pPr>
    </w:p>
    <w:p>
      <w:pPr>
        <w:spacing w:after="0" w:line="264" w:lineRule="exact"/>
        <w:rPr>
          <w:sz w:val="20"/>
          <w:szCs w:val="20"/>
          <w:color w:val="auto"/>
        </w:rPr>
      </w:pPr>
    </w:p>
    <w:p>
      <w:pPr>
        <w:jc w:val="right"/>
        <w:ind w:right="119"/>
        <w:spacing w:after="0"/>
        <w:rPr>
          <w:sz w:val="20"/>
          <w:szCs w:val="20"/>
          <w:color w:val="auto"/>
        </w:rPr>
      </w:pPr>
      <w:r>
        <w:rPr>
          <w:rFonts w:ascii="Arial" w:cs="Arial" w:eastAsia="Arial" w:hAnsi="Arial"/>
          <w:sz w:val="16"/>
          <w:szCs w:val="16"/>
          <w:color w:val="auto"/>
        </w:rPr>
        <w:t>4,658</w:t>
      </w:r>
    </w:p>
    <w:p>
      <w:pPr>
        <w:spacing w:after="0" w:line="32" w:lineRule="exact"/>
        <w:rPr>
          <w:sz w:val="20"/>
          <w:szCs w:val="20"/>
          <w:color w:val="auto"/>
        </w:rPr>
      </w:pPr>
    </w:p>
    <w:p>
      <w:pPr>
        <w:jc w:val="right"/>
        <w:ind w:right="119"/>
        <w:spacing w:after="0"/>
        <w:rPr>
          <w:sz w:val="20"/>
          <w:szCs w:val="20"/>
          <w:color w:val="auto"/>
        </w:rPr>
      </w:pPr>
      <w:r>
        <w:rPr>
          <w:rFonts w:ascii="Arial" w:cs="Arial" w:eastAsia="Arial" w:hAnsi="Arial"/>
          <w:sz w:val="16"/>
          <w:szCs w:val="16"/>
          <w:color w:val="auto"/>
        </w:rPr>
        <w:t>5,621</w:t>
      </w:r>
    </w:p>
    <w:p>
      <w:pPr>
        <w:spacing w:after="0" w:line="248" w:lineRule="exact"/>
        <w:rPr>
          <w:sz w:val="20"/>
          <w:szCs w:val="20"/>
          <w:color w:val="auto"/>
        </w:rPr>
      </w:pPr>
    </w:p>
    <w:p>
      <w:pPr>
        <w:jc w:val="right"/>
        <w:ind w:right="119"/>
        <w:spacing w:after="0"/>
        <w:rPr>
          <w:sz w:val="20"/>
          <w:szCs w:val="20"/>
          <w:color w:val="auto"/>
        </w:rPr>
      </w:pPr>
      <w:r>
        <w:rPr>
          <w:rFonts w:ascii="Arial" w:cs="Arial" w:eastAsia="Arial" w:hAnsi="Arial"/>
          <w:sz w:val="14"/>
          <w:szCs w:val="14"/>
          <w:color w:val="auto"/>
        </w:rPr>
        <w:t>12,678</w:t>
      </w:r>
    </w:p>
    <w:p>
      <w:pPr>
        <w:spacing w:after="0" w:line="55" w:lineRule="exact"/>
        <w:rPr>
          <w:sz w:val="20"/>
          <w:szCs w:val="20"/>
          <w:color w:val="auto"/>
        </w:rPr>
      </w:pPr>
    </w:p>
    <w:p>
      <w:pPr>
        <w:jc w:val="right"/>
        <w:ind w:right="119"/>
        <w:spacing w:after="0"/>
        <w:rPr>
          <w:sz w:val="20"/>
          <w:szCs w:val="20"/>
          <w:color w:val="auto"/>
        </w:rPr>
      </w:pPr>
      <w:r>
        <w:rPr>
          <w:rFonts w:ascii="Arial" w:cs="Arial" w:eastAsia="Arial" w:hAnsi="Arial"/>
          <w:sz w:val="16"/>
          <w:szCs w:val="16"/>
          <w:color w:val="auto"/>
        </w:rPr>
        <w:t>4,138</w:t>
      </w:r>
    </w:p>
    <w:p>
      <w:pPr>
        <w:spacing w:after="0" w:line="2189" w:lineRule="exact"/>
        <w:rPr>
          <w:sz w:val="20"/>
          <w:szCs w:val="20"/>
          <w:color w:val="auto"/>
        </w:rPr>
      </w:pPr>
    </w:p>
    <w:p>
      <w:pPr>
        <w:sectPr>
          <w:pgSz w:w="11900" w:h="16838" w:orient="portrait"/>
          <w:cols w:equalWidth="0" w:num="2">
            <w:col w:w="8020" w:space="440"/>
            <w:col w:w="559"/>
          </w:cols>
          <w:pgMar w:left="1440" w:top="517" w:right="1440" w:bottom="1440" w:gutter="0" w:footer="0" w:header="0"/>
          <w:type w:val="continuous"/>
        </w:sectPr>
      </w:pPr>
    </w:p>
    <w:p>
      <w:pPr>
        <w:spacing w:after="0" w:line="25"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 xml:space="preserve">Matson has completed its investment of $1,024 million in the construction of four new vessels, including owner’s items and capitalized interest. The two Aloha Class containerships, </w:t>
      </w:r>
      <w:r>
        <w:rPr>
          <w:rFonts w:ascii="Arial" w:cs="Arial" w:eastAsia="Arial" w:hAnsi="Arial"/>
          <w:sz w:val="16"/>
          <w:szCs w:val="16"/>
          <w:i w:val="1"/>
          <w:iCs w:val="1"/>
          <w:color w:val="auto"/>
        </w:rPr>
        <w:t>Daniel K. Inouye</w:t>
      </w:r>
      <w:r>
        <w:rPr>
          <w:rFonts w:ascii="Arial" w:cs="Arial" w:eastAsia="Arial" w:hAnsi="Arial"/>
          <w:sz w:val="16"/>
          <w:szCs w:val="16"/>
          <w:color w:val="auto"/>
        </w:rPr>
        <w:t xml:space="preserve"> and </w:t>
      </w:r>
      <w:r>
        <w:rPr>
          <w:rFonts w:ascii="Arial" w:cs="Arial" w:eastAsia="Arial" w:hAnsi="Arial"/>
          <w:sz w:val="16"/>
          <w:szCs w:val="16"/>
          <w:i w:val="1"/>
          <w:iCs w:val="1"/>
          <w:color w:val="auto"/>
        </w:rPr>
        <w:t>Kaimana Hila</w:t>
      </w:r>
      <w:r>
        <w:rPr>
          <w:rFonts w:ascii="Arial" w:cs="Arial" w:eastAsia="Arial" w:hAnsi="Arial"/>
          <w:sz w:val="16"/>
          <w:szCs w:val="16"/>
          <w:color w:val="auto"/>
        </w:rPr>
        <w:t xml:space="preserve">, commenced active service in November 2018 and April 2019, respectively. The two Kanaloa Class combination container and roll-on/roll-off vessels, </w:t>
      </w:r>
      <w:r>
        <w:rPr>
          <w:rFonts w:ascii="Arial" w:cs="Arial" w:eastAsia="Arial" w:hAnsi="Arial"/>
          <w:sz w:val="16"/>
          <w:szCs w:val="16"/>
          <w:i w:val="1"/>
          <w:iCs w:val="1"/>
          <w:color w:val="auto"/>
        </w:rPr>
        <w:t>Lurline</w:t>
      </w:r>
      <w:r>
        <w:rPr>
          <w:rFonts w:ascii="Arial" w:cs="Arial" w:eastAsia="Arial" w:hAnsi="Arial"/>
          <w:sz w:val="16"/>
          <w:szCs w:val="16"/>
          <w:color w:val="auto"/>
        </w:rPr>
        <w:t xml:space="preserve"> and </w:t>
      </w:r>
      <w:r>
        <w:rPr>
          <w:rFonts w:ascii="Arial" w:cs="Arial" w:eastAsia="Arial" w:hAnsi="Arial"/>
          <w:sz w:val="16"/>
          <w:szCs w:val="16"/>
          <w:i w:val="1"/>
          <w:iCs w:val="1"/>
          <w:color w:val="auto"/>
        </w:rPr>
        <w:t>Matsonia</w:t>
      </w:r>
      <w:r>
        <w:rPr>
          <w:rFonts w:ascii="Arial" w:cs="Arial" w:eastAsia="Arial" w:hAnsi="Arial"/>
          <w:sz w:val="16"/>
          <w:szCs w:val="16"/>
          <w:color w:val="auto"/>
        </w:rPr>
        <w:t xml:space="preserve"> commenced active service in January 2020 and December 2020, respectively.</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Vessel Emission Regulations:</w:t>
      </w:r>
    </w:p>
    <w:p>
      <w:pPr>
        <w:spacing w:after="0" w:line="225" w:lineRule="exact"/>
        <w:rPr>
          <w:sz w:val="20"/>
          <w:szCs w:val="20"/>
          <w:color w:val="auto"/>
        </w:rPr>
      </w:pPr>
    </w:p>
    <w:p>
      <w:pPr>
        <w:ind w:left="60" w:right="199"/>
        <w:spacing w:after="0" w:line="273" w:lineRule="auto"/>
        <w:rPr>
          <w:sz w:val="20"/>
          <w:szCs w:val="20"/>
          <w:color w:val="auto"/>
        </w:rPr>
      </w:pPr>
      <w:r>
        <w:rPr>
          <w:rFonts w:ascii="Arial" w:cs="Arial" w:eastAsia="Arial" w:hAnsi="Arial"/>
          <w:sz w:val="17"/>
          <w:szCs w:val="17"/>
          <w:color w:val="auto"/>
        </w:rPr>
        <w:t>Being a leader in environmental stewardship is one of Matson’s core values. Matson’s vessels transit through some of the most environmentally sensitive areas in the United States including the Hawaiian Islands and the coasts of California, Oregon, Washington and Alaska. Matson is focused in particular on reducing transportation emissions, including carbon dioxide, nitrous oxide, particulate matter and sulfur dioxide through improvements in vessel fuel consumption and the development of more fuel-efficient transportation solutions. Matson further contributes positively to the environment by testing and deploying leading technologies as the fleet is modernized.</w:t>
      </w:r>
    </w:p>
    <w:p>
      <w:pPr>
        <w:spacing w:after="0" w:line="178" w:lineRule="exact"/>
        <w:rPr>
          <w:sz w:val="20"/>
          <w:szCs w:val="20"/>
          <w:color w:val="auto"/>
        </w:rPr>
      </w:pPr>
    </w:p>
    <w:p>
      <w:pPr>
        <w:ind w:left="60" w:right="179"/>
        <w:spacing w:after="0" w:line="284" w:lineRule="auto"/>
        <w:rPr>
          <w:sz w:val="20"/>
          <w:szCs w:val="20"/>
          <w:color w:val="auto"/>
        </w:rPr>
      </w:pPr>
      <w:r>
        <w:rPr>
          <w:rFonts w:ascii="Arial" w:cs="Arial" w:eastAsia="Arial" w:hAnsi="Arial"/>
          <w:sz w:val="16"/>
          <w:szCs w:val="16"/>
          <w:color w:val="auto"/>
        </w:rPr>
        <w:t>The International Maritime Organization (“IMO”), to which the U.S. and over 100 other countries are signatories, is a specialized agency of the United Nations that sets international environmental standards applicable to vessels operating under the flag of any signatory country. Effective January 1, 2020, the IMO imposed regulations that generally require all vessels to burn fuel oil with a maximum sulfur content of ≤0.5 percent (“IMO 2020”). There are three main options for a vessel to meet the IMO 2020 requirements: (1) burn low sulfur fuel oil (“LSFO”), (2) install exhaust gas cleaning systems (commonly referred to as “scrubbers”) on vessels to reduce sulfur emissions from high sulfur fuel oil (“HSFO”), or</w:t>
      </w:r>
    </w:p>
    <w:p>
      <w:pPr>
        <w:spacing w:after="0" w:line="4" w:lineRule="exact"/>
        <w:rPr>
          <w:sz w:val="20"/>
          <w:szCs w:val="20"/>
          <w:color w:val="auto"/>
        </w:rPr>
      </w:pPr>
    </w:p>
    <w:p>
      <w:pPr>
        <w:ind w:left="60" w:right="139" w:hanging="10"/>
        <w:spacing w:after="0" w:line="268" w:lineRule="auto"/>
        <w:tabs>
          <w:tab w:leader="none" w:pos="315" w:val="left"/>
        </w:tabs>
        <w:numPr>
          <w:ilvl w:val="0"/>
          <w:numId w:val="8"/>
        </w:numPr>
        <w:rPr>
          <w:rFonts w:ascii="Arial" w:cs="Arial" w:eastAsia="Arial" w:hAnsi="Arial"/>
          <w:sz w:val="17"/>
          <w:szCs w:val="17"/>
          <w:color w:val="auto"/>
        </w:rPr>
      </w:pPr>
      <w:r>
        <w:rPr>
          <w:rFonts w:ascii="Arial" w:cs="Arial" w:eastAsia="Arial" w:hAnsi="Arial"/>
          <w:sz w:val="17"/>
          <w:szCs w:val="17"/>
          <w:color w:val="auto"/>
        </w:rPr>
        <w:t>switch to lower emission fuels such as liquefied natural gas (“LNG”), which requires converting existing vessels or constructing new vessels with LNG-compatible engines and fuel tanks. With respect to North America, all waters, with certain limited exceptions, within 200 nautical miles of U.S. and Canadian coastlines have been designated emission control areas (“ECAs”). Since January 1, 2015, U.S. Environmental Protection Agency regulations have reduced the fuel oil maximum sulfur content in designated ECAs to ≤0.1 percent or the equivalent emissions by the use of scrubbers. In addition, since August 1, 2012, the California Air Resource Board and U.S. Environmental Protection Agency under the Vessel General Permit regulations have reduced the fuel oil maximum sulfur content to ≤0.1 percent within 24 miles of the California coastline and within Puget Sound.</w:t>
      </w:r>
    </w:p>
    <w:p>
      <w:pPr>
        <w:spacing w:after="0" w:line="183"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All of Matson’s vessels in the Alaska and Hawaii services are operating in compliance with IMO 2020 and ECA regulations as applicable, and can use LSFO. In the Alaska and Hawaii services, Matson installed scrubbers on nine diesel-powered vessels to allow them to use HSFO and still comply with IMO 2020 and ECA regulations. Matson also maintains two reserve vessels which may operate as dry-dock relief or for emergency activation purposes under an approved ECA permit enabling the use of fuel oil with a maximum sulfur content of ≤0.5 percent within the North America ECA. Matson’s new Aloha and Kanaloa Class vessels burn compliant LSFO. These new vessels are also equipped with dual-fuel engines and can be converted to run on LNG. All of Matson’s other vessels use LSFO to meet IMO 2020 and ECA emission standards.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Hawaii Terminal Modernization and Expansion Program:</w:t>
      </w:r>
    </w:p>
    <w:p>
      <w:pPr>
        <w:spacing w:after="0" w:line="225"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Matson has completed the first phase of modernizing and renovating its terminal facility at Sand Island, Honolulu, Hawaii, an investment of approximately $60 million. In 2020, Matson completed the installation of three new 65 long-ton capacity gantry cranes, upgraded and renovated three existing cranes, demolished four outdated cranes, and installed upgrades to the electrical infrastructure at the terminal. As part of the second phase, Matson expects to install a new redundant main switchgear, complete the augmentation of its existing backup power generators, install new fuel storage tanks and a battery energy storage system, and perform other upgrades at the terminal. Matson expects to begin the second phase during the second half of 2021 and to complete it within two years. The final phase is expected to begin in 2024 as part of a broader terminal expansion and modernization program at the terminal.</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Ocean Transportation Equipment:</w:t>
      </w:r>
    </w:p>
    <w:p>
      <w:pPr>
        <w:spacing w:after="0" w:line="225" w:lineRule="exact"/>
        <w:rPr>
          <w:sz w:val="20"/>
          <w:szCs w:val="20"/>
          <w:color w:val="auto"/>
        </w:rPr>
      </w:pPr>
    </w:p>
    <w:p>
      <w:pPr>
        <w:ind w:left="60" w:right="339"/>
        <w:spacing w:after="0" w:line="286" w:lineRule="auto"/>
        <w:rPr>
          <w:sz w:val="20"/>
          <w:szCs w:val="20"/>
          <w:color w:val="auto"/>
        </w:rPr>
      </w:pPr>
      <w:r>
        <w:rPr>
          <w:rFonts w:ascii="Arial" w:cs="Arial" w:eastAsia="Arial" w:hAnsi="Arial"/>
          <w:sz w:val="17"/>
          <w:szCs w:val="17"/>
          <w:color w:val="auto"/>
        </w:rPr>
        <w:t>As a complement to its fleet of vessels, Matson owns a variety of equipment including cranes, terminal equipment, containers and chassis, which represents an investment of approximately $0.6 billion as of December 31, 2020. Matson also leases containers, chassis and other equipment under various operating lease agreements.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Major components of Matson’s Ocean Transportation operating costs are as follows:</w:t>
      </w:r>
    </w:p>
    <w:p>
      <w:pPr>
        <w:spacing w:after="0" w:line="22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i w:val="1"/>
          <w:iCs w:val="1"/>
          <w:color w:val="auto"/>
        </w:rPr>
        <w:t xml:space="preserve">Direct Cargo Expense </w:t>
      </w:r>
      <w:r>
        <w:rPr>
          <w:rFonts w:ascii="Arial" w:cs="Arial" w:eastAsia="Arial" w:hAnsi="Arial"/>
          <w:sz w:val="18"/>
          <w:szCs w:val="18"/>
          <w:color w:val="auto"/>
        </w:rPr>
        <w:t>includes terminal handling costs including labor, purchased outside transportation and other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6" w:lineRule="auto"/>
        <w:rPr>
          <w:sz w:val="20"/>
          <w:szCs w:val="20"/>
          <w:color w:val="auto"/>
        </w:rPr>
      </w:pPr>
      <w:r>
        <w:rPr>
          <w:rFonts w:ascii="Arial" w:cs="Arial" w:eastAsia="Arial" w:hAnsi="Arial"/>
          <w:sz w:val="17"/>
          <w:szCs w:val="17"/>
          <w:i w:val="1"/>
          <w:iCs w:val="1"/>
          <w:color w:val="auto"/>
        </w:rPr>
        <w:t xml:space="preserve">Vessel Operating Expense </w:t>
      </w:r>
      <w:r>
        <w:rPr>
          <w:rFonts w:ascii="Arial" w:cs="Arial" w:eastAsia="Arial" w:hAnsi="Arial"/>
          <w:sz w:val="17"/>
          <w:szCs w:val="17"/>
          <w:color w:val="auto"/>
        </w:rPr>
        <w:t>includes crew wages and related costs; fuel, pilots, tugs and line related costs; vessel charter</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other vessel operating related expenses. Matson purchases fuel oil, lubricants and gasoline for its operations and also pays fuel-related surcharges to other third party transportation providers.</w:t>
      </w:r>
    </w:p>
    <w:p>
      <w:pPr>
        <w:spacing w:after="0" w:line="165"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i w:val="1"/>
          <w:iCs w:val="1"/>
          <w:color w:val="auto"/>
        </w:rPr>
        <w:t xml:space="preserve">Operating Overhead </w:t>
      </w:r>
      <w:r>
        <w:rPr>
          <w:rFonts w:ascii="Arial" w:cs="Arial" w:eastAsia="Arial" w:hAnsi="Arial"/>
          <w:sz w:val="18"/>
          <w:szCs w:val="18"/>
          <w:color w:val="auto"/>
        </w:rPr>
        <w:t>includes equipment repair costs, equipment lease and repositioning expenses, vessel repair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costs, depreciation and dry-docking amortization, insurance, port engineers and other maintenance costs, and other vessel and shoreside related overhead.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major competitors in Matson’s Ocean Transportation segment:</w:t>
      </w:r>
    </w:p>
    <w:p>
      <w:pPr>
        <w:spacing w:after="0" w:line="225"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i w:val="1"/>
          <w:iCs w:val="1"/>
          <w:color w:val="auto"/>
        </w:rPr>
        <w:t xml:space="preserve">Hawaii Service: </w:t>
      </w:r>
      <w:r>
        <w:rPr>
          <w:rFonts w:ascii="Arial" w:cs="Arial" w:eastAsia="Arial" w:hAnsi="Arial"/>
          <w:sz w:val="18"/>
          <w:szCs w:val="18"/>
          <w:color w:val="auto"/>
        </w:rPr>
        <w:t>Matson’s Hawaii service has one major U.S. flagged Jones Act competitor, Pasha Hawaii (“Pasha”),</w:t>
      </w:r>
      <w:r>
        <w:rPr>
          <w:rFonts w:ascii="Arial" w:cs="Arial" w:eastAsia="Arial" w:hAnsi="Arial"/>
          <w:sz w:val="18"/>
          <w:szCs w:val="18"/>
          <w:i w:val="1"/>
          <w:iCs w:val="1"/>
          <w:color w:val="auto"/>
        </w:rPr>
        <w:t xml:space="preserve"> </w:t>
      </w:r>
      <w:r>
        <w:rPr>
          <w:rFonts w:ascii="Arial" w:cs="Arial" w:eastAsia="Arial" w:hAnsi="Arial"/>
          <w:sz w:val="18"/>
          <w:szCs w:val="18"/>
          <w:color w:val="auto"/>
        </w:rPr>
        <w:t>which operates container and roll-on/roll-off services between the ports of Long Beach, Oakland and San Diego, California to Hawaii. A U.S. flagged Jones Act barge operator, Aloha Marine Lines, also offers barge service between the Pacific Northwest and Hawaii.</w:t>
      </w:r>
    </w:p>
    <w:p>
      <w:pPr>
        <w:spacing w:after="0" w:line="187"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Foreign-flagged vessels carrying cargo to Hawaii from non-U.S. locations also provide alternatives for companies shipping to Hawaii. Other competitors in the Hawaii service include proprietary operators and contract carriers of bulk cargo. Airfreight competition for time-sensitive cargo exists; however, cargo volume has been limited primarily due to the cost of airfreight transportation.</w:t>
      </w:r>
    </w:p>
    <w:p>
      <w:pPr>
        <w:spacing w:after="0" w:line="187" w:lineRule="exact"/>
        <w:rPr>
          <w:sz w:val="20"/>
          <w:szCs w:val="20"/>
          <w:color w:val="auto"/>
        </w:rPr>
      </w:pPr>
    </w:p>
    <w:p>
      <w:pPr>
        <w:ind w:left="60" w:right="159"/>
        <w:spacing w:after="0" w:line="269" w:lineRule="auto"/>
        <w:rPr>
          <w:sz w:val="20"/>
          <w:szCs w:val="20"/>
          <w:color w:val="auto"/>
        </w:rPr>
      </w:pPr>
      <w:r>
        <w:rPr>
          <w:rFonts w:ascii="Arial" w:cs="Arial" w:eastAsia="Arial" w:hAnsi="Arial"/>
          <w:sz w:val="17"/>
          <w:szCs w:val="17"/>
          <w:color w:val="auto"/>
        </w:rPr>
        <w:t>Matson operates three strings of vessels to Hawaii. These strings provide customers an industry-leading five departures from ports on the U.S. West Coast to Hawaii every week – two each from Long Beach and Oakland, California and one from Tacoma, Washington. Each of these strings operates on a fixed day-of-the-week schedule. One of the vessel strings continues from Honolulu on to Guam, Japan and China before returning to Long Beach. The remaining two strings offer eastbound Hawaii shippers twice weekly departures from Honolulu to the U.S. Mainland, providing customers service to the same three U.S. West Coast ports. Matson’s frequent sailings and punctuality permit customers to reduce inventory carrying costs. Matson also competes by offering the most comprehensive service to customers, including: the only container service to and from the three largest U.S. West Coast ports; the most efficient terminal network on the U.S. West Coast provided by SSAT; a dedicated inter-island barge network which is integrated with Matson’s line haul schedule; weekly roll-on roll-off service from Long Beach and Oakland; a world-class customer service team; and efficiency and experience in handling cargo of all types.</w:t>
      </w:r>
    </w:p>
    <w:p>
      <w:pPr>
        <w:spacing w:after="0" w:line="182"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i w:val="1"/>
          <w:iCs w:val="1"/>
          <w:color w:val="auto"/>
        </w:rPr>
        <w:t xml:space="preserve">Alaska Service: </w:t>
      </w:r>
      <w:r>
        <w:rPr>
          <w:rFonts w:ascii="Arial" w:cs="Arial" w:eastAsia="Arial" w:hAnsi="Arial"/>
          <w:sz w:val="17"/>
          <w:szCs w:val="17"/>
          <w:color w:val="auto"/>
        </w:rPr>
        <w:t>Matson’s Alaska service has one major U.S. flagged Jones Act competitor, Totem Ocean Trailer</w:t>
      </w:r>
      <w:r>
        <w:rPr>
          <w:rFonts w:ascii="Arial" w:cs="Arial" w:eastAsia="Arial" w:hAnsi="Arial"/>
          <w:sz w:val="17"/>
          <w:szCs w:val="17"/>
          <w:i w:val="1"/>
          <w:iCs w:val="1"/>
          <w:color w:val="auto"/>
        </w:rPr>
        <w:t xml:space="preserve"> </w:t>
      </w:r>
      <w:r>
        <w:rPr>
          <w:rFonts w:ascii="Arial" w:cs="Arial" w:eastAsia="Arial" w:hAnsi="Arial"/>
          <w:sz w:val="17"/>
          <w:szCs w:val="17"/>
          <w:color w:val="auto"/>
        </w:rPr>
        <w:t>Express, Inc., which operates a roll-on/roll off service between Tacoma, Washington and Anchorage, Alaska. There are also two U.S. flagged Jones Act barge operators, Alaska Marine Lines, which mainly provides services from Seattle, Washington to the ports of Anchorage and Dutch Harbor, and other locations in Alaska, and Samson Tug &amp; Barge, which mainly serves Western Alaska and other locations. The barge operators have historically shipped lower value commodities that can accommodate a longer transit time, as well as construction materials and other cargo that are not conducive to movement in containers. Foreign-flagged vessels provide alternatives for companies shipping cargo (mainly seafood) from the Alaska ports of Kodiak and Dutch Harbor. Matson’s AAX service has two major competitors, CMA CGM and Maersk Lines, which provide services between Dutch Harbor, Alaska and Asia.</w:t>
      </w:r>
    </w:p>
    <w:p>
      <w:pPr>
        <w:spacing w:after="0" w:line="181"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Matson offers customers twice weekly scheduled service from Tacoma, Washington to Anchorage and Kodiak, Alaska and weekly service to Dutch Harbor, Alaska. The Company also provides a barge service between Dutch Harbor and Akutan in Alaska. Matson is the only Jones Act containership operator providing service to Kodiak and Dutch Harbor in Alaska, which are the primary loading ports for southbound seafood. Matson offers dedicated terminal services at the Alaska ports of Anchorage, Kodiak and Dutch Harbor performed by MatNav, and at the port of Tacoma, Washington performed by SSAT.</w:t>
      </w:r>
    </w:p>
    <w:p>
      <w:pPr>
        <w:spacing w:after="0" w:line="192"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i w:val="1"/>
          <w:iCs w:val="1"/>
          <w:color w:val="auto"/>
        </w:rPr>
        <w:t xml:space="preserve">China Service: </w:t>
      </w:r>
      <w:r>
        <w:rPr>
          <w:rFonts w:ascii="Arial" w:cs="Arial" w:eastAsia="Arial" w:hAnsi="Arial"/>
          <w:sz w:val="18"/>
          <w:szCs w:val="18"/>
          <w:color w:val="auto"/>
        </w:rPr>
        <w:t>Major competitors to Matson’s China service include large international carriers such as ONE (formerly</w:t>
      </w:r>
      <w:r>
        <w:rPr>
          <w:rFonts w:ascii="Arial" w:cs="Arial" w:eastAsia="Arial" w:hAnsi="Arial"/>
          <w:sz w:val="18"/>
          <w:szCs w:val="18"/>
          <w:i w:val="1"/>
          <w:iCs w:val="1"/>
          <w:color w:val="auto"/>
        </w:rPr>
        <w:t xml:space="preserve"> </w:t>
      </w:r>
      <w:r>
        <w:rPr>
          <w:rFonts w:ascii="Arial" w:cs="Arial" w:eastAsia="Arial" w:hAnsi="Arial"/>
          <w:sz w:val="18"/>
          <w:szCs w:val="18"/>
          <w:color w:val="auto"/>
        </w:rPr>
        <w:t>“K” Line, NYK Line and MOL), Maersk, CMA CGM, Evergreen, COSCO, and ZIM.</w:t>
      </w:r>
    </w:p>
    <w:p>
      <w:pPr>
        <w:spacing w:after="0" w:line="170" w:lineRule="exact"/>
        <w:rPr>
          <w:sz w:val="20"/>
          <w:szCs w:val="20"/>
          <w:color w:val="auto"/>
        </w:rPr>
      </w:pPr>
    </w:p>
    <w:p>
      <w:pPr>
        <w:ind w:left="60" w:right="259"/>
        <w:spacing w:after="0" w:line="311" w:lineRule="auto"/>
        <w:rPr>
          <w:sz w:val="20"/>
          <w:szCs w:val="20"/>
          <w:color w:val="auto"/>
        </w:rPr>
      </w:pPr>
      <w:r>
        <w:rPr>
          <w:rFonts w:ascii="Arial" w:cs="Arial" w:eastAsia="Arial" w:hAnsi="Arial"/>
          <w:sz w:val="16"/>
          <w:szCs w:val="16"/>
          <w:color w:val="auto"/>
        </w:rPr>
        <w:t>Matson’s China service competes by offering fast and reliable service from the ports of Ningbo and Shanghai in China to Long Beach, California, and providing fixed day arrivals and next-day cargo availability. Matson’s service is further differentiated by SSAT’s best-in-class stevedoring services, access to Shippers Transport Express and off-dock container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6" w:lineRule="auto"/>
        <w:rPr>
          <w:sz w:val="20"/>
          <w:szCs w:val="20"/>
          <w:color w:val="auto"/>
        </w:rPr>
      </w:pPr>
      <w:r>
        <w:rPr>
          <w:rFonts w:ascii="Arial" w:cs="Arial" w:eastAsia="Arial" w:hAnsi="Arial"/>
          <w:sz w:val="17"/>
          <w:szCs w:val="17"/>
          <w:color w:val="auto"/>
        </w:rPr>
        <w:t>yards enabling fast truck turn times, Matson-dedicated equipment including chassis to speed cargo availability, one-stop intermodal connections, and providing world-class customer service. Matson has offices located in Hong Kong, Shenzhen, Xiamen, Ningbo and Shanghai, and has contracted with terminal operators in Ningbo and Shanghai.</w:t>
      </w:r>
    </w:p>
    <w:p>
      <w:pPr>
        <w:spacing w:after="0" w:line="165"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i w:val="1"/>
          <w:iCs w:val="1"/>
          <w:color w:val="auto"/>
        </w:rPr>
        <w:t xml:space="preserve">Guam Service: </w:t>
      </w:r>
      <w:r>
        <w:rPr>
          <w:rFonts w:ascii="Arial" w:cs="Arial" w:eastAsia="Arial" w:hAnsi="Arial"/>
          <w:sz w:val="18"/>
          <w:szCs w:val="18"/>
          <w:color w:val="auto"/>
        </w:rPr>
        <w:t>Matson’s Guam service has one major competitor, APL, which operates a weekly U.S. flagged container</w:t>
      </w:r>
      <w:r>
        <w:rPr>
          <w:rFonts w:ascii="Arial" w:cs="Arial" w:eastAsia="Arial" w:hAnsi="Arial"/>
          <w:sz w:val="18"/>
          <w:szCs w:val="18"/>
          <w:i w:val="1"/>
          <w:iCs w:val="1"/>
          <w:color w:val="auto"/>
        </w:rPr>
        <w:t xml:space="preserve"> </w:t>
      </w:r>
      <w:r>
        <w:rPr>
          <w:rFonts w:ascii="Arial" w:cs="Arial" w:eastAsia="Arial" w:hAnsi="Arial"/>
          <w:sz w:val="18"/>
          <w:szCs w:val="18"/>
          <w:color w:val="auto"/>
        </w:rPr>
        <w:t>feeder service connecting the U.S. West Coast to Guam and Saipan, via transshipments primarily over Busan, South Korea. Waterman operates a roll-on/roll-off service, which periodically calls at Guam. There are also several foreign carriers, including CMA CGM, that call at Guam from foreign origin ports.</w:t>
      </w:r>
    </w:p>
    <w:p>
      <w:pPr>
        <w:spacing w:after="0" w:line="187"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i w:val="1"/>
          <w:iCs w:val="1"/>
          <w:color w:val="auto"/>
        </w:rPr>
        <w:t xml:space="preserve">Japan Service: </w:t>
      </w:r>
      <w:r>
        <w:rPr>
          <w:rFonts w:ascii="Arial" w:cs="Arial" w:eastAsia="Arial" w:hAnsi="Arial"/>
          <w:sz w:val="18"/>
          <w:szCs w:val="18"/>
          <w:color w:val="auto"/>
        </w:rPr>
        <w:t>Matson’s Japan service competes primarily with APL, which operates a weekly U.S. flagged containership</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from the U.S. West Coast to the port of Naha, Okinawa, Japan.</w:t>
      </w:r>
    </w:p>
    <w:p>
      <w:pPr>
        <w:spacing w:after="0" w:line="170"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i w:val="1"/>
          <w:iCs w:val="1"/>
          <w:color w:val="auto"/>
        </w:rPr>
        <w:t xml:space="preserve">Micronesia and South Pacific Services: </w:t>
      </w:r>
      <w:r>
        <w:rPr>
          <w:rFonts w:ascii="Arial" w:cs="Arial" w:eastAsia="Arial" w:hAnsi="Arial"/>
          <w:sz w:val="18"/>
          <w:szCs w:val="18"/>
          <w:color w:val="auto"/>
        </w:rPr>
        <w:t>Matson’s Micronesia and South Pacific services have competition from a variety</w:t>
      </w:r>
      <w:r>
        <w:rPr>
          <w:rFonts w:ascii="Arial" w:cs="Arial" w:eastAsia="Arial" w:hAnsi="Arial"/>
          <w:sz w:val="18"/>
          <w:szCs w:val="18"/>
          <w:i w:val="1"/>
          <w:iCs w:val="1"/>
          <w:color w:val="auto"/>
        </w:rPr>
        <w:t xml:space="preserve"> </w:t>
      </w:r>
      <w:r>
        <w:rPr>
          <w:rFonts w:ascii="Arial" w:cs="Arial" w:eastAsia="Arial" w:hAnsi="Arial"/>
          <w:sz w:val="18"/>
          <w:szCs w:val="18"/>
          <w:color w:val="auto"/>
        </w:rPr>
        <w:t>of local and international carriers that provide freight services to the area.</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225" w:lineRule="exact"/>
        <w:rPr>
          <w:sz w:val="20"/>
          <w:szCs w:val="20"/>
          <w:color w:val="auto"/>
        </w:rPr>
      </w:pPr>
    </w:p>
    <w:p>
      <w:pPr>
        <w:ind w:left="60" w:right="299"/>
        <w:spacing w:after="0" w:line="293" w:lineRule="auto"/>
        <w:rPr>
          <w:sz w:val="20"/>
          <w:szCs w:val="20"/>
          <w:color w:val="auto"/>
        </w:rPr>
      </w:pPr>
      <w:r>
        <w:rPr>
          <w:rFonts w:ascii="Arial" w:cs="Arial" w:eastAsia="Arial" w:hAnsi="Arial"/>
          <w:sz w:val="16"/>
          <w:szCs w:val="16"/>
          <w:color w:val="auto"/>
        </w:rPr>
        <w:t>Matson serves customers in numerous industries and carries a wide variety of cargo, mitigating its dependence upon any single customer or single type of cargo. In 2020, 2019 and 2018, the Company’s 10 largest Ocean Transportation customers accounted for approximately 22 percent, 23 percent and 24 percent of the Company’s Ocean Transportation revenue, respectively. None of these customers individually account for more than 10 percent of Matson’s Ocean Transportation operating revenues. For additional information on Ocean Transportation revenues for the years ended December 31, 2020, 2019 and 2018, see Note 2 to the Consolidated Financial Statements in Item 8 of Part II below.</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Matson’s Ocean Transportation services typically experience seasonality in volume, generally following a pattern of increasing volumes starting in the second quarter of each year, culminating in a peak season throughout the third quarter, with subsequent decline in demand during the fourth and first quarters. This seasonality trend is amplified in the Alaska service primarily due to winter weather and the timing of southbound seafood trade. As a result, earnings tend to follow a similar pattern, offset by periodic vessel dry-docking and other episodic cost factors, which can lead to earnings variability. In addition, in the China trade, volume is typically driven primarily by U.S. consumer demand for goods during key retail selling seasons. Freight rates are impacted mainly by macro supply and demand variables.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Maritime Laws and the Jones Act:</w:t>
      </w:r>
    </w:p>
    <w:p>
      <w:pPr>
        <w:spacing w:after="0" w:line="225"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i w:val="1"/>
          <w:iCs w:val="1"/>
          <w:color w:val="auto"/>
        </w:rPr>
        <w:t xml:space="preserve">Maritime Laws: </w:t>
      </w:r>
      <w:r>
        <w:rPr>
          <w:rFonts w:ascii="Arial" w:cs="Arial" w:eastAsia="Arial" w:hAnsi="Arial"/>
          <w:sz w:val="18"/>
          <w:szCs w:val="18"/>
          <w:color w:val="auto"/>
        </w:rPr>
        <w:t>All interstate and intrastate marine commerce within the U.S. falls under the Merchant Marine Act of</w:t>
      </w:r>
      <w:r>
        <w:rPr>
          <w:rFonts w:ascii="Arial" w:cs="Arial" w:eastAsia="Arial" w:hAnsi="Arial"/>
          <w:sz w:val="18"/>
          <w:szCs w:val="18"/>
          <w:i w:val="1"/>
          <w:iCs w:val="1"/>
          <w:color w:val="auto"/>
        </w:rPr>
        <w:t xml:space="preserve"> </w:t>
      </w:r>
      <w:r>
        <w:rPr>
          <w:rFonts w:ascii="Arial" w:cs="Arial" w:eastAsia="Arial" w:hAnsi="Arial"/>
          <w:sz w:val="18"/>
          <w:szCs w:val="18"/>
          <w:color w:val="auto"/>
        </w:rPr>
        <w:t>1920 (commonly referred to as the Jones Act).</w:t>
      </w:r>
    </w:p>
    <w:p>
      <w:pPr>
        <w:spacing w:after="0" w:line="170" w:lineRule="exact"/>
        <w:rPr>
          <w:sz w:val="20"/>
          <w:szCs w:val="20"/>
          <w:color w:val="auto"/>
        </w:rPr>
      </w:pPr>
    </w:p>
    <w:p>
      <w:pPr>
        <w:ind w:left="60" w:right="219"/>
        <w:spacing w:after="0" w:line="287" w:lineRule="auto"/>
        <w:rPr>
          <w:sz w:val="20"/>
          <w:szCs w:val="20"/>
          <w:color w:val="auto"/>
        </w:rPr>
      </w:pPr>
      <w:r>
        <w:rPr>
          <w:rFonts w:ascii="Arial" w:cs="Arial" w:eastAsia="Arial" w:hAnsi="Arial"/>
          <w:sz w:val="16"/>
          <w:szCs w:val="16"/>
          <w:color w:val="auto"/>
        </w:rPr>
        <w:t>The Jones Act is a long-standing cornerstone of U.S. maritime policy. Under the Jones Act, all vessels transporting cargo between covered U.S. ports must, subject to limited exceptions, be built in the U.S., registered under the U.S. flag, be manned predominantly by U.S. crews, and owned and operated by U.S.-organized companies that are controlled and</w:t>
      </w:r>
    </w:p>
    <w:p>
      <w:pPr>
        <w:spacing w:after="0" w:line="2"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75 percent owned by U.S. citizens. U.S. flagged vessels are generally required to be maintained at higher standards than foreign flagged vessels and are subject to rigorous supervision and inspections by, or on behalf of, the U.S. Coast Guard, which requires appropriate certifications and background checks of the crew members. Under Section 27 of the Jones Act, the carriage of cargo between the U.S. West Coast, Hawaii and Alaska on foreign-built or foreign-documented vessels is prohibited.</w:t>
      </w:r>
    </w:p>
    <w:p>
      <w:pPr>
        <w:spacing w:after="0" w:line="191"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During the years ended December 31, 2020, 2019 and 2018, approximately 62 percent, 72 percent and 72 percent, respectively, of Matson’s Ocean Transportation revenues came from the Hawaii and Alaska trades that were subject to the Jones Act. Matson’s Hawaii and Alaska trade routes are included within the non-contiguous Jones Act market. The commerce of both Hawaii, as an island economy, and Alaska, due to its geographical location, are dependent on ocean transportation. The Jones Act ensures frequent, reliable, roundtrip service to these locations. Matson’s vessels operating in these trade routes are Jones Act qualified.</w:t>
      </w:r>
    </w:p>
    <w:p>
      <w:pPr>
        <w:spacing w:after="0" w:line="192" w:lineRule="exact"/>
        <w:rPr>
          <w:sz w:val="20"/>
          <w:szCs w:val="20"/>
          <w:color w:val="auto"/>
        </w:rPr>
      </w:pPr>
    </w:p>
    <w:p>
      <w:pPr>
        <w:ind w:left="60" w:right="399"/>
        <w:spacing w:after="0" w:line="342" w:lineRule="auto"/>
        <w:rPr>
          <w:sz w:val="20"/>
          <w:szCs w:val="20"/>
          <w:color w:val="auto"/>
        </w:rPr>
      </w:pPr>
      <w:r>
        <w:rPr>
          <w:rFonts w:ascii="Arial" w:cs="Arial" w:eastAsia="Arial" w:hAnsi="Arial"/>
          <w:sz w:val="16"/>
          <w:szCs w:val="16"/>
          <w:color w:val="auto"/>
        </w:rPr>
        <w:t>Matson is a member of the American Maritime Partnership (“AMP”) which supports the retention of the Jones Act and similar cabotage laws. The Jones Act has broad support from both houses of Congress and the Executive Branch.</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color w:val="auto"/>
        </w:rPr>
        <w:t>Matson believes that the ongoing war on terrorism and geopolitical environment have further solidified political support for U.S. flagged vessels because a vital and dedicated U.S. merchant marine is a cornerstone for a strong homeland defense, as well as a critical source of trained U.S. mariners for wartime support. AMP seeks to inform elected officials and the public about the economic, national security, commercial, safety and environmental benefits of the Jones Act and similar cabotage laws. Repeal of the Jones Act would allow foreign-flagged vessel operators that do not have to abide by all U.S. laws and regulations to sail between U.S. ports in direct competition with Matson and other U.S. domestic operators that must comply with all such laws and regulations.</w:t>
      </w:r>
    </w:p>
    <w:p>
      <w:pPr>
        <w:spacing w:after="0" w:line="177"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Other U.S. maritime laws require vessels operating between Guam, a U.S. territory, and U.S. ports to be U.S. flagged and predominantly U.S. crewed, but not U.S. built.</w:t>
      </w:r>
    </w:p>
    <w:p>
      <w:pPr>
        <w:spacing w:after="0" w:line="170"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Cabotage laws are not unique to the United States, and similar laws exist around the world in over 90 countries, including regions in which Matson provides ocean transportation services. Any changes in such laws may have an impact on the services provided by Matson in those regions. For a discussion of the risks arising from the Jones Act and other regulations, see Part I, Item 1A of this Form 10-K.</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Rate Regulations and Fuel-Related Surcharges:</w:t>
      </w:r>
    </w:p>
    <w:p>
      <w:pPr>
        <w:spacing w:after="0" w:line="225"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Matson is subject to the jurisdiction of the Surface Transportation Board with respect to its domestic ocean rates. A rate in the non-contiguous domestic trade is presumed reasonable and will not be subject to investigation if the aggregate of increases and decreases is not more than 7.5 percent above, or more than 10 percent below, the rate in effect one year before the effective date of the proposed rate, subject to increase or decrease by the percentage change in the U.S. Producer Price Index. Matson generally provides a 30-day notice to customers of any increases in general rates and other charges, and passes along decreases as soon as possible.</w:t>
      </w:r>
    </w:p>
    <w:p>
      <w:pPr>
        <w:spacing w:after="0" w:line="178" w:lineRule="exact"/>
        <w:rPr>
          <w:sz w:val="20"/>
          <w:szCs w:val="20"/>
          <w:color w:val="auto"/>
        </w:rPr>
      </w:pPr>
    </w:p>
    <w:p>
      <w:pPr>
        <w:ind w:left="60" w:right="59"/>
        <w:spacing w:after="0" w:line="263" w:lineRule="auto"/>
        <w:rPr>
          <w:sz w:val="20"/>
          <w:szCs w:val="20"/>
          <w:color w:val="auto"/>
        </w:rPr>
      </w:pPr>
      <w:r>
        <w:rPr>
          <w:rFonts w:ascii="Arial" w:cs="Arial" w:eastAsia="Arial" w:hAnsi="Arial"/>
          <w:sz w:val="18"/>
          <w:szCs w:val="18"/>
          <w:color w:val="auto"/>
        </w:rPr>
        <w:t>Matson’s Ocean Transportation services engaged in U.S.-foreign commerce are subject to the jurisdiction of the Federal Maritime Commission (“FMC”). The FMC is a federal independent regulatory agency that is responsible for the regulation of international ocean-borne transportation to and from the U.S.</w:t>
      </w:r>
    </w:p>
    <w:p>
      <w:pPr>
        <w:spacing w:after="0" w:line="184" w:lineRule="exact"/>
        <w:rPr>
          <w:sz w:val="20"/>
          <w:szCs w:val="20"/>
          <w:color w:val="auto"/>
        </w:rPr>
      </w:pPr>
    </w:p>
    <w:p>
      <w:pPr>
        <w:ind w:left="60" w:right="219"/>
        <w:spacing w:after="0" w:line="342" w:lineRule="auto"/>
        <w:rPr>
          <w:sz w:val="20"/>
          <w:szCs w:val="20"/>
          <w:color w:val="auto"/>
        </w:rPr>
      </w:pPr>
      <w:r>
        <w:rPr>
          <w:rFonts w:ascii="Arial" w:cs="Arial" w:eastAsia="Arial" w:hAnsi="Arial"/>
          <w:sz w:val="16"/>
          <w:szCs w:val="16"/>
          <w:color w:val="auto"/>
        </w:rPr>
        <w:t>Matson applies a fuel-related surcharge rate to its Ocean Transportation customers. Changes in the fuel-related surcharge levels are correlated to market rates for bunker fuel prices along with other factors related to fuel expense recovery.</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Environmental Regulations:</w:t>
      </w:r>
    </w:p>
    <w:p>
      <w:pPr>
        <w:spacing w:after="0" w:line="225"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In addition to the vessel emission regulations discussed above, Matson’s operations are required to comply with other environmental regulations and requirements including the Oil Pollution Act of 1990, the Comprehensive Environmental Response Compensation &amp; Liability Act of 1980, the Rivers and Harbors Act of 1899, the Clean Water Act, the Invasive Species Act and the Clean Air Act. Matson is also subject to state regulations affecting terminal and vessel emissions, such as the requirement to shut down vessel auxiliary engines while at berth at California ports and switch to electrical power. The Company actively monitors its operations to address compliance with these and other regulations.</w:t>
      </w:r>
    </w:p>
    <w:p>
      <w:pPr>
        <w:spacing w:after="0" w:line="164"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For more information on Matson’s environmental stewardship initiatives, including its environmental goals, see Matson’s Sustainability Report and other information available at www.matson.com/sustainability. The website is provided for convenience only, and the contents of our website do not constitute a part of and are not incorporated by reference into this Form 10-K.</w:t>
      </w:r>
    </w:p>
    <w:p>
      <w:pPr>
        <w:spacing w:after="0" w:line="183" w:lineRule="exact"/>
        <w:rPr>
          <w:sz w:val="20"/>
          <w:szCs w:val="20"/>
          <w:color w:val="auto"/>
        </w:rPr>
      </w:pPr>
    </w:p>
    <w:p>
      <w:pPr>
        <w:ind w:left="1340" w:hanging="642"/>
        <w:spacing w:after="0"/>
        <w:tabs>
          <w:tab w:leader="none" w:pos="1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LOGISTICS SEGMENT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Logistics Services: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Matson Logistics provides the following services:</w:t>
      </w:r>
    </w:p>
    <w:p>
      <w:pPr>
        <w:spacing w:after="0" w:line="225" w:lineRule="exact"/>
        <w:rPr>
          <w:sz w:val="20"/>
          <w:szCs w:val="20"/>
          <w:color w:val="auto"/>
        </w:rPr>
      </w:pPr>
    </w:p>
    <w:p>
      <w:pPr>
        <w:jc w:val="both"/>
        <w:ind w:left="60" w:right="359"/>
        <w:spacing w:after="0" w:line="311" w:lineRule="auto"/>
        <w:rPr>
          <w:sz w:val="20"/>
          <w:szCs w:val="20"/>
          <w:color w:val="auto"/>
        </w:rPr>
      </w:pPr>
      <w:r>
        <w:rPr>
          <w:rFonts w:ascii="Arial" w:cs="Arial" w:eastAsia="Arial" w:hAnsi="Arial"/>
          <w:sz w:val="16"/>
          <w:szCs w:val="16"/>
          <w:i w:val="1"/>
          <w:iCs w:val="1"/>
          <w:color w:val="auto"/>
        </w:rPr>
        <w:t xml:space="preserve">Transportation Brokerage Services: </w:t>
      </w:r>
      <w:r>
        <w:rPr>
          <w:rFonts w:ascii="Arial" w:cs="Arial" w:eastAsia="Arial" w:hAnsi="Arial"/>
          <w:sz w:val="16"/>
          <w:szCs w:val="16"/>
          <w:color w:val="auto"/>
        </w:rPr>
        <w:t>Matson Logistics provides intermodal rail, highway, and other third-party logistics</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for North American customers and international ocean carrier customers, including MatNav. Matson Logistics strives to reduce transportation costs for its customers through volume purchases of rail, motor carrier and ocean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transportation services, augmented by services such as shipment tracking and tracing, and single-vendor invoicing. Matson Logistics operates customer service centers and has sales offices throughout North America.</w:t>
      </w:r>
    </w:p>
    <w:p>
      <w:pPr>
        <w:spacing w:after="0" w:line="170"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i w:val="1"/>
          <w:iCs w:val="1"/>
          <w:color w:val="auto"/>
        </w:rPr>
        <w:t xml:space="preserve">Freight Forwarding Services: </w:t>
      </w:r>
      <w:r>
        <w:rPr>
          <w:rFonts w:ascii="Arial" w:cs="Arial" w:eastAsia="Arial" w:hAnsi="Arial"/>
          <w:sz w:val="17"/>
          <w:szCs w:val="17"/>
          <w:color w:val="auto"/>
        </w:rPr>
        <w:t>Matson Logistics provides LCL consolidation and freight forwarding services primarily to</w:t>
      </w:r>
      <w:r>
        <w:rPr>
          <w:rFonts w:ascii="Arial" w:cs="Arial" w:eastAsia="Arial" w:hAnsi="Arial"/>
          <w:sz w:val="17"/>
          <w:szCs w:val="17"/>
          <w:i w:val="1"/>
          <w:iCs w:val="1"/>
          <w:color w:val="auto"/>
        </w:rPr>
        <w:t xml:space="preserve"> </w:t>
      </w:r>
      <w:r>
        <w:rPr>
          <w:rFonts w:ascii="Arial" w:cs="Arial" w:eastAsia="Arial" w:hAnsi="Arial"/>
          <w:sz w:val="17"/>
          <w:szCs w:val="17"/>
          <w:color w:val="auto"/>
        </w:rPr>
        <w:t>the Alaska market through its wholly owned subsidiary, Span Intermediate, LLC (“Span Alaska”). Span Alaska’s business aggregates LCL freight at its cross-dock facility in Auburn, Washington for consolidation and shipment to its service center in Anchorage and a network of other facilities in Alaska. Span Alaska also provides trucking services to its Auburn cross-dock facility and from its Alaska based cross-dock facilities to final customer destinations in Alaska.</w:t>
      </w:r>
    </w:p>
    <w:p>
      <w:pPr>
        <w:spacing w:after="0" w:line="176" w:lineRule="exact"/>
        <w:rPr>
          <w:sz w:val="20"/>
          <w:szCs w:val="20"/>
          <w:color w:val="auto"/>
        </w:rPr>
      </w:pPr>
    </w:p>
    <w:p>
      <w:pPr>
        <w:ind w:left="60" w:right="419"/>
        <w:spacing w:after="0" w:line="308" w:lineRule="auto"/>
        <w:rPr>
          <w:sz w:val="20"/>
          <w:szCs w:val="20"/>
          <w:color w:val="auto"/>
        </w:rPr>
      </w:pPr>
      <w:r>
        <w:rPr>
          <w:rFonts w:ascii="Arial" w:cs="Arial" w:eastAsia="Arial" w:hAnsi="Arial"/>
          <w:sz w:val="17"/>
          <w:szCs w:val="17"/>
          <w:i w:val="1"/>
          <w:iCs w:val="1"/>
          <w:color w:val="auto"/>
        </w:rPr>
        <w:t xml:space="preserve">Warehousing and Distribution Services: </w:t>
      </w:r>
      <w:r>
        <w:rPr>
          <w:rFonts w:ascii="Arial" w:cs="Arial" w:eastAsia="Arial" w:hAnsi="Arial"/>
          <w:sz w:val="17"/>
          <w:szCs w:val="17"/>
          <w:color w:val="auto"/>
        </w:rPr>
        <w:t>Matson Logistics operates two warehouses in Georgia and two warehouses in</w:t>
      </w:r>
      <w:r>
        <w:rPr>
          <w:rFonts w:ascii="Arial" w:cs="Arial" w:eastAsia="Arial" w:hAnsi="Arial"/>
          <w:sz w:val="17"/>
          <w:szCs w:val="17"/>
          <w:i w:val="1"/>
          <w:iCs w:val="1"/>
          <w:color w:val="auto"/>
        </w:rPr>
        <w:t xml:space="preserve"> </w:t>
      </w:r>
      <w:r>
        <w:rPr>
          <w:rFonts w:ascii="Arial" w:cs="Arial" w:eastAsia="Arial" w:hAnsi="Arial"/>
          <w:sz w:val="17"/>
          <w:szCs w:val="17"/>
          <w:color w:val="auto"/>
        </w:rPr>
        <w:t>Northern California providing warehousing, value-added packaging and distribution services.</w:t>
      </w:r>
    </w:p>
    <w:p>
      <w:pPr>
        <w:spacing w:after="0" w:line="146" w:lineRule="exact"/>
        <w:rPr>
          <w:sz w:val="20"/>
          <w:szCs w:val="20"/>
          <w:color w:val="auto"/>
        </w:rPr>
      </w:pPr>
    </w:p>
    <w:p>
      <w:pPr>
        <w:ind w:left="60" w:right="259"/>
        <w:spacing w:after="0" w:line="286" w:lineRule="auto"/>
        <w:rPr>
          <w:sz w:val="20"/>
          <w:szCs w:val="20"/>
          <w:color w:val="auto"/>
        </w:rPr>
      </w:pPr>
      <w:r>
        <w:rPr>
          <w:rFonts w:ascii="Arial" w:cs="Arial" w:eastAsia="Arial" w:hAnsi="Arial"/>
          <w:sz w:val="17"/>
          <w:szCs w:val="17"/>
          <w:i w:val="1"/>
          <w:iCs w:val="1"/>
          <w:color w:val="auto"/>
        </w:rPr>
        <w:t xml:space="preserve">Supply Chain Management and Other Services: </w:t>
      </w:r>
      <w:r>
        <w:rPr>
          <w:rFonts w:ascii="Arial" w:cs="Arial" w:eastAsia="Arial" w:hAnsi="Arial"/>
          <w:sz w:val="17"/>
          <w:szCs w:val="17"/>
          <w:color w:val="auto"/>
        </w:rPr>
        <w:t>Matson Logistics provides customers with a variety of logistics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purchase order management, customs brokerage, LCL and full container load NVOCC freight forwarding services. Matson Logistics has supply chain operations in North America, China and other locations.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w:t>
      </w:r>
    </w:p>
    <w:p>
      <w:pPr>
        <w:spacing w:after="0" w:line="225" w:lineRule="exact"/>
        <w:rPr>
          <w:sz w:val="20"/>
          <w:szCs w:val="20"/>
          <w:color w:val="auto"/>
        </w:rPr>
      </w:pPr>
    </w:p>
    <w:p>
      <w:pPr>
        <w:ind w:left="60" w:right="279"/>
        <w:spacing w:after="0" w:line="308" w:lineRule="auto"/>
        <w:rPr>
          <w:sz w:val="20"/>
          <w:szCs w:val="20"/>
          <w:color w:val="auto"/>
        </w:rPr>
      </w:pPr>
      <w:r>
        <w:rPr>
          <w:rFonts w:ascii="Arial" w:cs="Arial" w:eastAsia="Arial" w:hAnsi="Arial"/>
          <w:sz w:val="17"/>
          <w:szCs w:val="17"/>
          <w:color w:val="auto"/>
        </w:rPr>
        <w:t>Matson Logistics’ operating costs primarily consist of the costs of purchased transportation, leases of warehouses, cross-dock and other facility operating costs, salaries and benefits, and other operating overhead.</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left="60" w:right="299"/>
        <w:spacing w:after="0" w:line="263" w:lineRule="auto"/>
        <w:rPr>
          <w:sz w:val="20"/>
          <w:szCs w:val="20"/>
          <w:color w:val="auto"/>
        </w:rPr>
      </w:pPr>
      <w:r>
        <w:rPr>
          <w:rFonts w:ascii="Arial" w:cs="Arial" w:eastAsia="Arial" w:hAnsi="Arial"/>
          <w:sz w:val="18"/>
          <w:szCs w:val="18"/>
          <w:color w:val="auto"/>
        </w:rPr>
        <w:t>Matson Logistics competes with hundreds of local, regional, national and international companies that provide transportation and third-party logistics services. The industry is highly fragmented and, therefore, competition varies by geography and areas of service.</w:t>
      </w:r>
    </w:p>
    <w:p>
      <w:pPr>
        <w:spacing w:after="0" w:line="184"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Matson Logistics’ transportation brokerage services compete most directly with C.H. Robinson Worldwide, the Hub Group, XPO and other freight brokers and intermodal marketing companies, and asset-invested market leaders such as J.B. Hunt. Competition is differentiated by the depth, scale and scope of customer relationships; vendor relationships and rates; network capacity; real-time visibility into the movement of customers’ goods; and other technology solutions. Additionally, while Matson Logistics primarily provides surface transportation brokerage, it also competes to a lesser degree with other forms of transportation for the movement of cargo.</w:t>
      </w:r>
    </w:p>
    <w:p>
      <w:pPr>
        <w:spacing w:after="0" w:line="178" w:lineRule="exact"/>
        <w:rPr>
          <w:sz w:val="20"/>
          <w:szCs w:val="20"/>
          <w:color w:val="auto"/>
        </w:rPr>
      </w:pPr>
    </w:p>
    <w:p>
      <w:pPr>
        <w:ind w:left="60" w:right="299"/>
        <w:spacing w:after="0" w:line="308" w:lineRule="auto"/>
        <w:rPr>
          <w:sz w:val="20"/>
          <w:szCs w:val="20"/>
          <w:color w:val="auto"/>
        </w:rPr>
      </w:pPr>
      <w:r>
        <w:rPr>
          <w:rFonts w:ascii="Arial" w:cs="Arial" w:eastAsia="Arial" w:hAnsi="Arial"/>
          <w:sz w:val="17"/>
          <w:szCs w:val="17"/>
          <w:color w:val="auto"/>
        </w:rPr>
        <w:t>Matson Logistics’ freight forwarding services compete most directly with a variety of freight forwarding companies that operate within Alaska including Carlile, Lynden, American Fast Freight and Alaska Traffic Company.</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225" w:lineRule="exact"/>
        <w:rPr>
          <w:sz w:val="20"/>
          <w:szCs w:val="20"/>
          <w:color w:val="auto"/>
        </w:rPr>
      </w:pPr>
    </w:p>
    <w:p>
      <w:pPr>
        <w:ind w:left="60" w:right="259"/>
        <w:spacing w:after="0" w:line="296" w:lineRule="auto"/>
        <w:rPr>
          <w:sz w:val="20"/>
          <w:szCs w:val="20"/>
          <w:color w:val="auto"/>
        </w:rPr>
      </w:pPr>
      <w:r>
        <w:rPr>
          <w:rFonts w:ascii="Arial" w:cs="Arial" w:eastAsia="Arial" w:hAnsi="Arial"/>
          <w:sz w:val="16"/>
          <w:szCs w:val="16"/>
          <w:color w:val="auto"/>
        </w:rPr>
        <w:t>Matson Logistics serves customers in numerous industries and geographical locations. In 2020, 2019 and 2018, the Company’s 10 largest logistics customers accounted for approximately 19 percent, 21 percent and 23 percent of Matson Logistics’ revenue, respectively. None of these customers individually accounts for more than 10 percent of Matson Logistics’ operating revenues. For additional information on Logistics revenues for the years ended December 31, 2020, 2019 and 2018, see Note 2 to the Consolidated Financial Statements in Item 8 of Part II below.</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color w:val="auto"/>
        </w:rPr>
        <w:t>In general, Matson Logistics’ services are not significantly impacted by seasonality factors, with the exception of its freight forwarding service to Alaska which may be affected by winter weather and the seasonal nature of the tourism industry.</w:t>
      </w:r>
    </w:p>
    <w:p>
      <w:pPr>
        <w:spacing w:after="0" w:line="120" w:lineRule="exact"/>
        <w:rPr>
          <w:sz w:val="20"/>
          <w:szCs w:val="20"/>
          <w:color w:val="auto"/>
        </w:rPr>
      </w:pPr>
    </w:p>
    <w:p>
      <w:pPr>
        <w:ind w:left="700" w:hanging="650"/>
        <w:spacing w:after="0"/>
        <w:tabs>
          <w:tab w:leader="none" w:pos="7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EMPLOYEES AND LABOR RELATIONS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Human Capital Strategy:</w:t>
      </w:r>
    </w:p>
    <w:p>
      <w:pPr>
        <w:spacing w:after="0" w:line="225" w:lineRule="exact"/>
        <w:rPr>
          <w:sz w:val="20"/>
          <w:szCs w:val="20"/>
          <w:color w:val="auto"/>
        </w:rPr>
      </w:pPr>
    </w:p>
    <w:p>
      <w:pPr>
        <w:ind w:left="60" w:right="339"/>
        <w:spacing w:after="0" w:line="342" w:lineRule="auto"/>
        <w:rPr>
          <w:sz w:val="20"/>
          <w:szCs w:val="20"/>
          <w:color w:val="auto"/>
        </w:rPr>
      </w:pPr>
      <w:r>
        <w:rPr>
          <w:rFonts w:ascii="Arial" w:cs="Arial" w:eastAsia="Arial" w:hAnsi="Arial"/>
          <w:sz w:val="16"/>
          <w:szCs w:val="16"/>
          <w:color w:val="auto"/>
        </w:rPr>
        <w:t>In support of Matson’s vision to be a great place to work for all employees, the Company focuses on a variety of human capital programs that have been developed to attract, retain and motivate its employee workforce. As a company that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operates in various global locations, the Company’s human capital programs are designed to reflect the unique market practices in each geographic location. The Company’s success depends on employing a diverse, talented and engaged workforce that reflects its local communities, supports an environment of high standards and performance, and thrives in the Company’s collaborative and respectful culture.</w:t>
      </w:r>
    </w:p>
    <w:p>
      <w:pPr>
        <w:spacing w:after="0" w:line="187"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During 2020, Matson had 4,149 employees worldwide, of which 128 employees were based in international locations and 2,953 employees were covered by collective bargaining agreements with unions. These numbers include seagoing personnel who rotate through billets (as described below) and temporary employees, but do not include employees of SSAT or other non-employee affiliates such as agents and contractors. In prior years, Matson reported the number of regular shoreside employees only and excluded seagoing personnel and temporary employees. The composition of Matson’s workforce by geography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71120</wp:posOffset>
            </wp:positionV>
            <wp:extent cx="1097280" cy="908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9728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Matson’s fleet of active vessels requires 317 billets to operate. Each billet corresponds to a position on a vessel that typically is filled by two or more employees because seagoing personnel rotate between active sea-duty and time ashore. These amounts exclude billets related to Matson’s foreign flagged chartered vessels where the vessel owner is responsible for its seagoing personnel. Matson’s vessel management services also employed personnel in 32 billets to manage three U.S. government vessels.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0D0D0D"/>
        </w:rPr>
        <w:t>Diversity, Equity and Inclusion:</w:t>
      </w:r>
    </w:p>
    <w:p>
      <w:pPr>
        <w:spacing w:after="0" w:line="225" w:lineRule="exact"/>
        <w:rPr>
          <w:sz w:val="20"/>
          <w:szCs w:val="20"/>
          <w:color w:val="auto"/>
        </w:rPr>
      </w:pPr>
    </w:p>
    <w:p>
      <w:pPr>
        <w:ind w:left="60" w:right="179"/>
        <w:spacing w:after="0" w:line="301" w:lineRule="auto"/>
        <w:rPr>
          <w:sz w:val="20"/>
          <w:szCs w:val="20"/>
          <w:color w:val="auto"/>
        </w:rPr>
      </w:pPr>
      <w:r>
        <w:rPr>
          <w:rFonts w:ascii="Arial" w:cs="Arial" w:eastAsia="Arial" w:hAnsi="Arial"/>
          <w:sz w:val="16"/>
          <w:szCs w:val="16"/>
          <w:color w:val="auto"/>
        </w:rPr>
        <w:t>For many years, Matson has been committed to improving diversity, providing equal pay for equal work and creating an inclusive culture. According to the U.S. Bureau of Labor Statistics, traditionally the shipping industry's workforce has been predominately represented by white males. While Matson’s workforce is representative of many of the communities where it operates, the Company believes it can do more to change the status quo within the Company and industry.</w:t>
      </w:r>
    </w:p>
    <w:p>
      <w:pPr>
        <w:spacing w:after="0" w:line="157"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The composition of Matson’s domestic shoreside workforce by gender and race in 2020 is as follows (data for seagoing personnel is not available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1591310</wp:posOffset>
            </wp:positionH>
            <wp:positionV relativeFrom="paragraph">
              <wp:posOffset>57150</wp:posOffset>
            </wp:positionV>
            <wp:extent cx="2537460" cy="908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3746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 composition of management positions within Matson’s domestic shoreside workforce by gender and race in 2020 is as follows (data for seagoing personnel is not available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57150</wp:posOffset>
            </wp:positionV>
            <wp:extent cx="2588895" cy="908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8889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In 2020, the Company continued to advance many of its diversity, equity and inclusion efforts. This includes continuing its efforts to analyze pay among various employee groups to confirm pay equity across the Company. Externally, the Company is supporting programs intended to help build a diverse talent pool for Matson and its industry. In 2020, the Company committed $100,000 toward creation of new Matson scholarships to be offered in conjunction with</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approximately 15 higher education institutions and maritime academies in its communities with the goal of increasing diversity among those pursuing studies in transportation and logistics. Separately, the Company has committed more than $200,000 to expand its paid internship program with the goal of increasing exposure to the Company and industry among a diverse group of students in its various regional locations.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0D0D0D"/>
        </w:rPr>
        <w:t>Total Rewards Programs:</w:t>
      </w:r>
    </w:p>
    <w:p>
      <w:pPr>
        <w:spacing w:after="0" w:line="225"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Matson provides a highly competitive and balanced total rewards program designed to attract, retain and motivate its employees. While factors such as job, location and business unit ultimately determine which plans an employee may be eligible for participation, the Company’s total rewards offering includes market competitive base salaries, cash and equity incentives, recognition awards, health and welfare benefits, and employee and employer funded retirement plans. The Company believes that management level positions should have a portion of pay aligned with its short- and long-term business objectives. Accordingly, the Company’s total rewards program contains several pay-for-performance components tied to individual, business unit and company performance, as well as Matson stock price performance.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0D0D0D"/>
        </w:rPr>
        <w:t>Succession and Career Planning:</w:t>
      </w:r>
    </w:p>
    <w:p>
      <w:pPr>
        <w:spacing w:after="0" w:line="225"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Matson’s workforce is characterized by uniquely skilled, long-tenured employees. To create career pathways for future leaders while planning for the loss of retiring employees, the Company takes a proactive approach to succession and career planning. The Company focuses on providing the next generation of promising talent with the tools they need to build their own careers at Matson. In 2019 and 2020, 40 percent and 53 percent of open positions, respectively, were filled through internal promotions. The Company also provided more than 2,250 hours of employee training and development, while giving regular performance reviews to its non-union workforce.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7"/>
          <w:szCs w:val="17"/>
          <w:color w:val="141412"/>
        </w:rPr>
        <w:t>For more information on Matson’s human capital programs, please see our Sustainability Report which is available</w:t>
      </w:r>
    </w:p>
    <w:p>
      <w:pPr>
        <w:spacing w:after="0" w:line="35" w:lineRule="exact"/>
        <w:rPr>
          <w:sz w:val="20"/>
          <w:szCs w:val="20"/>
          <w:color w:val="auto"/>
        </w:rPr>
      </w:pPr>
    </w:p>
    <w:p>
      <w:pPr>
        <w:ind w:left="60" w:right="199"/>
        <w:spacing w:after="0" w:line="260" w:lineRule="auto"/>
        <w:rPr>
          <w:sz w:val="20"/>
          <w:szCs w:val="20"/>
          <w:color w:val="auto"/>
        </w:rPr>
      </w:pPr>
      <w:r>
        <w:rPr>
          <w:rFonts w:ascii="Arial" w:cs="Arial" w:eastAsia="Arial" w:hAnsi="Arial"/>
          <w:sz w:val="18"/>
          <w:szCs w:val="18"/>
          <w:color w:val="141412"/>
        </w:rPr>
        <w:t xml:space="preserve">at </w:t>
      </w:r>
      <w:r>
        <w:rPr>
          <w:rFonts w:ascii="Arial" w:cs="Arial" w:eastAsia="Arial" w:hAnsi="Arial"/>
          <w:sz w:val="18"/>
          <w:szCs w:val="18"/>
          <w:color w:val="000000"/>
        </w:rPr>
        <w:t>www.matson.com/sustainability</w:t>
      </w:r>
      <w:r>
        <w:rPr>
          <w:rFonts w:ascii="Arial" w:cs="Arial" w:eastAsia="Arial" w:hAnsi="Arial"/>
          <w:sz w:val="18"/>
          <w:szCs w:val="18"/>
          <w:color w:val="141412"/>
        </w:rPr>
        <w:t xml:space="preserve">. This website is provided for convenience only, and </w:t>
      </w:r>
      <w:r>
        <w:rPr>
          <w:rFonts w:ascii="Arial" w:cs="Arial" w:eastAsia="Arial" w:hAnsi="Arial"/>
          <w:sz w:val="18"/>
          <w:szCs w:val="18"/>
          <w:color w:val="000000"/>
        </w:rPr>
        <w:t>the contents of our website do not</w:t>
      </w:r>
      <w:r>
        <w:rPr>
          <w:rFonts w:ascii="Arial" w:cs="Arial" w:eastAsia="Arial" w:hAnsi="Arial"/>
          <w:sz w:val="18"/>
          <w:szCs w:val="18"/>
          <w:color w:val="141412"/>
        </w:rPr>
        <w:t xml:space="preserve"> </w:t>
      </w:r>
      <w:r>
        <w:rPr>
          <w:rFonts w:ascii="Arial" w:cs="Arial" w:eastAsia="Arial" w:hAnsi="Arial"/>
          <w:sz w:val="18"/>
          <w:szCs w:val="18"/>
          <w:color w:val="000000"/>
        </w:rPr>
        <w:t>constitute a part of and are not incorporated by reference into this Form 10-K.</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Bargaining Agreements:</w:t>
      </w:r>
    </w:p>
    <w:p>
      <w:pPr>
        <w:spacing w:after="0" w:line="225"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Matson’s shoreside and seagoing employees are represented by a variety of unions. As shown in the chart below, union employees comprise 71% of Matson’s global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40005</wp:posOffset>
            </wp:positionV>
            <wp:extent cx="1114425" cy="908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442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96" w:lineRule="auto"/>
        <w:rPr>
          <w:sz w:val="20"/>
          <w:szCs w:val="20"/>
          <w:color w:val="auto"/>
        </w:rPr>
      </w:pPr>
      <w:r>
        <w:rPr>
          <w:rFonts w:ascii="Arial" w:cs="Arial" w:eastAsia="Arial" w:hAnsi="Arial"/>
          <w:sz w:val="16"/>
          <w:szCs w:val="16"/>
          <w:color w:val="auto"/>
        </w:rPr>
        <w:t>Matson has collective bargaining agreements with these unions that expire at various dates in the future. While Matson believes that it will be able to renegotiate these collective bargaining agreements with its various unions as they expire without any significant impact on its operations, no assurance can be given that such agreements will be reached without slow-downs, strikes, lockouts or other disruptions that may adversely impact Matson’s operations. For a discussion of the risks arising from the negotiation of collective bargaining agreements, see Part I, Item 1A of this Form 10-K.</w:t>
      </w:r>
    </w:p>
    <w:p>
      <w:pPr>
        <w:spacing w:after="0" w:line="161"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color w:val="auto"/>
        </w:rPr>
        <w:t>Additionally, Matson and SSAT are members of the Pacific Maritime Association (“PMA”), which on behalf of its members negotiates collective bargaining agreements with the International Longshore and Warehouse Union (“ILWU”) on the U.S. West Coast. The PMA/ILWU collective bargaining agreements cover substantially all U.S. West Coast longshore labor. In August 2017, the ILWU agreed to extend its contract with the PMA to July 1, 2022.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Multi-employer Pension and Post-retirement Plans:</w:t>
      </w:r>
    </w:p>
    <w:p>
      <w:pPr>
        <w:spacing w:after="0" w:line="225"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Matson contributes to a number of multi-employer pension and post-retirement plans. Matson has no present intention of withdrawing from, and does not anticipate the termination of any of the multi-employer pension plans to which it contributes (see Notes 11 and 12 to the Consolidated Financial Statements in Item 8 of Part II below for a discussion of withdrawal liabilities under certain multi-employer pension plans).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00" w:hanging="650"/>
        <w:spacing w:after="0"/>
        <w:tabs>
          <w:tab w:leader="none" w:pos="7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Matson makes available, free of charge on or through its Internet website, Matson’s annual reports on Form 10-K, quarterly reports on Form 10-Q, current reports on Form 8-K and amendments to those reports filed or furnished pursuant to Section 13(a) or 15(d) of the Securities Exchange Act of 1934 as soon as reasonably practicable after it electronically files such material with, or furnishes them to, the U.S. Securities and Exchange Commission (“SEC”). The address of Matson’s Internet website is www.matson.com. This website is provided for convenience only, and the contents of our website do not constitute a part of and are not incorporated by reference into this Form 10-K.</w:t>
      </w:r>
    </w:p>
    <w:p>
      <w:pPr>
        <w:spacing w:after="0" w:line="178" w:lineRule="exact"/>
        <w:rPr>
          <w:sz w:val="20"/>
          <w:szCs w:val="20"/>
          <w:color w:val="auto"/>
        </w:rPr>
      </w:pPr>
    </w:p>
    <w:p>
      <w:pPr>
        <w:jc w:val="both"/>
        <w:ind w:left="60" w:right="479"/>
        <w:spacing w:after="0" w:line="263" w:lineRule="auto"/>
        <w:rPr>
          <w:sz w:val="20"/>
          <w:szCs w:val="20"/>
          <w:color w:val="auto"/>
        </w:rPr>
      </w:pPr>
      <w:r>
        <w:rPr>
          <w:rFonts w:ascii="Arial" w:cs="Arial" w:eastAsia="Arial" w:hAnsi="Arial"/>
          <w:sz w:val="18"/>
          <w:szCs w:val="18"/>
          <w:color w:val="auto"/>
        </w:rPr>
        <w:t>The SEC maintains an Internet website that contains reports, proxy and information statements, and other information regarding Matson and other issuers that file electronically with the SEC. The address of the SEC’s Internet website is www.sec.gov.</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The following material factors, events and uncertainties may make an investment in the Company speculative or risky and should be reviewed carefully. The Company’s business faces the material risks set forth below; however, these risk factors do not identify all risks the Company faces, and additional risks or uncertainties that are currently unknown or are not currently believed to be material may occur or become material. The occurrence of these or the events and uncertainties described below may, in ways the Company may not be able to accurately predict, recognize, or control, adversely affect the Company’s business, financial condition, operating results, cash flows, liquidity, demand, revenue, growth, prospects, reputation, or stock price. All forward-looking statements made by the Company or on the Company’s behalf are qualified by the risks described below.</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the Jones Act</w:t>
      </w:r>
    </w:p>
    <w:p>
      <w:pPr>
        <w:spacing w:after="0" w:line="221" w:lineRule="exact"/>
        <w:rPr>
          <w:sz w:val="20"/>
          <w:szCs w:val="20"/>
          <w:color w:val="auto"/>
        </w:rPr>
      </w:pPr>
    </w:p>
    <w:p>
      <w:pPr>
        <w:ind w:left="60" w:right="339"/>
        <w:spacing w:after="0" w:line="282" w:lineRule="auto"/>
        <w:rPr>
          <w:sz w:val="20"/>
          <w:szCs w:val="20"/>
          <w:color w:val="auto"/>
        </w:rPr>
      </w:pPr>
      <w:r>
        <w:rPr>
          <w:rFonts w:ascii="Arial" w:cs="Arial" w:eastAsia="Arial" w:hAnsi="Arial"/>
          <w:sz w:val="18"/>
          <w:szCs w:val="18"/>
          <w:b w:val="1"/>
          <w:bCs w:val="1"/>
          <w:color w:val="auto"/>
        </w:rPr>
        <w:t>Repeal, substantial amendment, or waiver of the Jones Act or its application would have an adverse effect on the Company’s business.</w:t>
      </w:r>
    </w:p>
    <w:p>
      <w:pPr>
        <w:spacing w:after="0" w:line="166"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The Merchant Marine Act of 1920 (commonly referred to as the Jones Act) regulates all interstate and intrastate marine commerce within the U.S. If the Jones Act was to be repealed, substantially amended, or waived and, as a consequence, competitors were to enter the Hawaii or Alaska markets with lower operating costs by utilizing their ability to acquire and operate foreign-flagged and foreign-built vessels and/or being exempt from other U.S. regulations, the Company’s business would be adversely affected. In addition, the Company’s position as a U.S. citizen operator of Jones Act vessels would be negatively impacted if periodic efforts and attempts by foreign interests to circumvent certain aspects of the Jones Act were ever successful. If maritime cabotage services were included in the General Agreement on Trade in Services, the United States-Mexico-Canada Agreement, the U.S.-EU Trade Agreement or other international trade agreements, or if the restrictions contained in the Jones Act were otherwise altered, the shipping of cargo between covered U.S. ports could be opened to foreign-flagged or foreign-built vessels and could have other adverse impacts. In the past, the Prime Minister of the United Kingdom has suggested that the Jones Act should be a topic of trade negotiations between the U.S. and European Union.</w:t>
      </w:r>
    </w:p>
    <w:p>
      <w:pPr>
        <w:spacing w:after="0" w:line="175" w:lineRule="exact"/>
        <w:rPr>
          <w:sz w:val="20"/>
          <w:szCs w:val="20"/>
          <w:color w:val="auto"/>
        </w:rPr>
      </w:pPr>
    </w:p>
    <w:p>
      <w:pPr>
        <w:ind w:left="60" w:right="59"/>
        <w:spacing w:after="0" w:line="282" w:lineRule="auto"/>
        <w:rPr>
          <w:sz w:val="20"/>
          <w:szCs w:val="20"/>
          <w:color w:val="auto"/>
        </w:rPr>
      </w:pPr>
      <w:r>
        <w:rPr>
          <w:rFonts w:ascii="Arial" w:cs="Arial" w:eastAsia="Arial" w:hAnsi="Arial"/>
          <w:sz w:val="18"/>
          <w:szCs w:val="18"/>
          <w:b w:val="1"/>
          <w:bCs w:val="1"/>
          <w:color w:val="auto"/>
        </w:rPr>
        <w:t>The Company’s business would be adversely affected if the Company were determined not to be a U.S. citizen under the Jones Act.</w:t>
      </w:r>
    </w:p>
    <w:p>
      <w:pPr>
        <w:spacing w:after="0" w:line="166"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color w:val="auto"/>
        </w:rPr>
        <w:t>Certain provisions of the Company’s articles of incorporation protect the Company’s ability to maintain its status as a U.S. citizen under the Jones Act. If non-U.S. citizens were able to defeat such articles of incorporation restrictions and own in the aggregate more than 25 percent of the Company’s common stock, the Company would no longer be considered as a U.S. citizen under the Jones Act. Such an event could result in the Company’s ineligibility to engage in coastwise trade and the imposition of substantial penalties against it, including seizure or forfeiture of its vessels.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the Company’s Operations</w:t>
      </w:r>
    </w:p>
    <w:p>
      <w:pPr>
        <w:spacing w:after="0" w:line="221" w:lineRule="exact"/>
        <w:rPr>
          <w:sz w:val="20"/>
          <w:szCs w:val="20"/>
          <w:color w:val="auto"/>
        </w:rPr>
      </w:pPr>
    </w:p>
    <w:p>
      <w:pPr>
        <w:ind w:left="60" w:right="279"/>
        <w:spacing w:after="0" w:line="282" w:lineRule="auto"/>
        <w:rPr>
          <w:sz w:val="20"/>
          <w:szCs w:val="20"/>
          <w:color w:val="auto"/>
        </w:rPr>
      </w:pPr>
      <w:r>
        <w:rPr>
          <w:rFonts w:ascii="Arial" w:cs="Arial" w:eastAsia="Arial" w:hAnsi="Arial"/>
          <w:sz w:val="18"/>
          <w:szCs w:val="18"/>
          <w:b w:val="1"/>
          <w:bCs w:val="1"/>
          <w:color w:val="auto"/>
        </w:rPr>
        <w:t>The Company’s results of operations have been adversely affected and could in the future be materially adversely impacted by the COVID-19 pandemic and its related economic effects.</w:t>
      </w:r>
    </w:p>
    <w:p>
      <w:pPr>
        <w:spacing w:after="0" w:line="166"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The COVID-19 pandemic has harmed the U.S. and global economies, shut down or limited many business operations and disrupted manufacturing, supply chains, travel, drayage of containers, and transportation of goods. In the United States and in many other countries worldwide, public health officials and state and local governments have recommended or mandated precautions to mitigate the spread of COVID-19. The full impact of such disruptions on the Company’s business remains uncertain.</w:t>
      </w:r>
    </w:p>
    <w:p>
      <w:pPr>
        <w:spacing w:after="0" w:line="188"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The pandemic has severely reduced tourism and is expected to continue to limit tourism in the markets the Company serves, including Hawaii, Guam and Alaska, and has led to reduced demand for freight that the Company would otherwise carry. In addition, the global macroeconomic effects of the pandemic and related impacts on the Company’s customers’ business operations, including financial difficulties or bankruptcies, may persist for an indefinite period, even after the pandemic has subsided.</w:t>
      </w:r>
    </w:p>
    <w:p>
      <w:pPr>
        <w:spacing w:after="0" w:line="188" w:lineRule="exact"/>
        <w:rPr>
          <w:sz w:val="20"/>
          <w:szCs w:val="20"/>
          <w:color w:val="auto"/>
        </w:rPr>
      </w:pPr>
    </w:p>
    <w:p>
      <w:pPr>
        <w:ind w:left="60" w:right="159"/>
        <w:spacing w:after="0" w:line="285" w:lineRule="auto"/>
        <w:rPr>
          <w:sz w:val="20"/>
          <w:szCs w:val="20"/>
          <w:color w:val="auto"/>
        </w:rPr>
      </w:pPr>
      <w:r>
        <w:rPr>
          <w:rFonts w:ascii="Arial" w:cs="Arial" w:eastAsia="Arial" w:hAnsi="Arial"/>
          <w:sz w:val="16"/>
          <w:szCs w:val="16"/>
          <w:color w:val="auto"/>
        </w:rPr>
        <w:t>In the Company’s China service, as a result of the pandemic, the Company has experienced increased demand for its expedited ocean services; however, as the pandemic subsides and supply and demand trends normalize, it is uncertain whether the high volumes and rates the Company has seen can be maintained in the future. In addition, the high volumes of freight from China have contributed to an industry-wide shortage of containers and chassis and congestion at U.S. West Coast ports. There have also been labor shortages at U.S. ports related to record cargo volume and outbreaks of COVID-</w:t>
      </w:r>
    </w:p>
    <w:p>
      <w:pPr>
        <w:spacing w:after="0" w:line="2" w:lineRule="exact"/>
        <w:rPr>
          <w:sz w:val="20"/>
          <w:szCs w:val="20"/>
          <w:color w:val="auto"/>
        </w:rPr>
      </w:pPr>
    </w:p>
    <w:p>
      <w:pPr>
        <w:ind w:left="60" w:right="179" w:hanging="10"/>
        <w:spacing w:after="0" w:line="255" w:lineRule="auto"/>
        <w:tabs>
          <w:tab w:leader="none" w:pos="3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Company cannot secure sufficient equipment or unload vessels on a timely basis to meet customer’ needs and schedules, customers may seek to have their transportation and logistics needs met by others on a temporary or permanent basis.</w:t>
      </w:r>
    </w:p>
    <w:p>
      <w:pPr>
        <w:spacing w:after="0" w:line="190" w:lineRule="exact"/>
        <w:rPr>
          <w:sz w:val="20"/>
          <w:szCs w:val="20"/>
          <w:color w:val="auto"/>
        </w:rPr>
      </w:pPr>
    </w:p>
    <w:p>
      <w:pPr>
        <w:ind w:left="60" w:right="59"/>
        <w:spacing w:after="0" w:line="275" w:lineRule="auto"/>
        <w:rPr>
          <w:sz w:val="20"/>
          <w:szCs w:val="20"/>
          <w:color w:val="auto"/>
        </w:rPr>
      </w:pPr>
      <w:r>
        <w:rPr>
          <w:rFonts w:ascii="Arial" w:cs="Arial" w:eastAsia="Arial" w:hAnsi="Arial"/>
          <w:sz w:val="17"/>
          <w:szCs w:val="17"/>
          <w:color w:val="auto"/>
        </w:rPr>
        <w:t>The Company’s operations have also been impacted. The Company’s employees are also restricted in their ability to travel. The Company may be further impacted if its employees are otherwise unable to perform their duties, including mariners aboard our vessels, or if the Company’s terminals are temporarily closed due to a COVID-19 outbreak. Some vessel dry-dockings could also be delayed or become more expensive if shipyards are unable to accommodate demand or obtain parts or if necessary personnel are not allowed to travel to the shipyards.</w:t>
      </w:r>
    </w:p>
    <w:p>
      <w:pPr>
        <w:spacing w:after="0" w:line="176"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Due to the continuing uncertainty around the duration, breadth and severity of the COVID-19 pandemic, including the potential for resurgences or mutations of the virus, the actions taken to contain the virus or treat its impact, including the availability, distribution, efficacy and public acceptance of vaccines, and the impact of economic stimulus measures, the ultimate impact on the Company’s business, financial condition, operating results or cash flows cannot be reasonably estimated at this time. Additional or unforeseen effects from the COVID-19 pandemic may give rise to additional risks or instigate or amplify the other risks described throughout these Risk Factors.</w:t>
      </w:r>
    </w:p>
    <w:p>
      <w:pPr>
        <w:spacing w:after="0" w:line="174" w:lineRule="exact"/>
        <w:rPr>
          <w:sz w:val="20"/>
          <w:szCs w:val="20"/>
          <w:color w:val="auto"/>
        </w:rPr>
      </w:pPr>
    </w:p>
    <w:p>
      <w:pPr>
        <w:ind w:left="60" w:right="299"/>
        <w:spacing w:after="0" w:line="289" w:lineRule="auto"/>
        <w:rPr>
          <w:sz w:val="20"/>
          <w:szCs w:val="20"/>
          <w:color w:val="auto"/>
        </w:rPr>
      </w:pPr>
      <w:r>
        <w:rPr>
          <w:rFonts w:ascii="Arial" w:cs="Arial" w:eastAsia="Arial" w:hAnsi="Arial"/>
          <w:sz w:val="17"/>
          <w:szCs w:val="17"/>
          <w:b w:val="1"/>
          <w:bCs w:val="1"/>
          <w:color w:val="auto"/>
        </w:rPr>
        <w:t>Changes in economic conditions or governmental policies have resulted in a decrease in consumer confidence and market demand for the Company’s services and products in certain markets and have adversely affected the Company’s financial position, results of operations, liquidity, or cash flows.</w:t>
      </w:r>
    </w:p>
    <w:p>
      <w:pPr>
        <w:spacing w:after="0" w:line="162"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Within the U.S., a weakening of economic drivers in Hawaii and Alaska, which include tourism, military spending, construction starts, personal income growth and employment, the weakening of consumer confidence, market demand, and the economy in the U.S. Mainland, and the effect of a change in the strength of the U.S. dollar against other foreign currencies, have reduced the demand for goods, adversely affecting inland and ocean transportation volumes or rates. For example, the uncertainties regarding the COVID-19 pandemic and other restrictions have severely decreased tourism, weakened consumer demand in certain segments, increased unemployment, and contributed to an economic downturn in the U.S., impacting freight volumes and revenues. The decline in the price of oil due to the oil trade wars and reduced demand from the decline in air or car travel in response to COVID-19 will further impact the Alaska economy, which in turn could impact the Company’s business. In addition, overcapacity in the global or transpacific ocean transportation markets, a change in the cost of goods or currency exchange rates, imposition of tariffs and uncertainties regarding tariff rates, or a change in international trade policies could adversely affect freight volumes and rates in the Company’s China service.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The shipping industry is competitive and the Company has been impacted by new or increased competition.</w:t>
      </w:r>
    </w:p>
    <w:p>
      <w:pPr>
        <w:spacing w:after="0" w:line="241"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The Company may face new competition by established or start-up shipping operators that enter the Company’s markets. The shipping industry is competitive with limited barriers to entry as ocean carriers can shift vessels in and out of tradelanes or charter vessels to manage capacity and meet customer demands. For example, in May 2020, the Company’s major competitor in the China service upsized its expedited service from China to the U.S. West Coast. The entry of a new competitor or the addition of new vessels or capacity by existing competition on any of the Company’s routes could result in a significant increase in available shipping capacity that could have an adverse effect on the Company’s volumes and rates.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The loss of or damage to key customer or agent relationships may adversely affect the Company’s business.</w:t>
      </w:r>
    </w:p>
    <w:p>
      <w:pPr>
        <w:spacing w:after="0" w:line="241"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The Company’s businesses are dependent on their relationships with customers and agents, and derive a significant portion of their revenues from the Company’s largest customers. The Company’s business relies on its relationships with the U.S. military, freight forwarders, large retailers and consumer goods and automobile manufacturers, as well as other larger customers. For more information regarding the Company’s significant customers, see the discussion in Part I, Item 1 of this Annual Report.</w:t>
      </w:r>
    </w:p>
    <w:p>
      <w:pPr>
        <w:spacing w:after="0" w:line="188"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color w:val="auto"/>
        </w:rPr>
        <w:t>The Company could also be adversely affected by any changes in the services, or changes to the costs of services, provided by third party vendors such as railroads, terminals, agents and shipping companies, including charter vessel owners. Service structures and relationships with these parties are important in the Company’s intermodal business, as well as in the China, Guam, Micronesia, Japan, Alaska export and South Pacific services.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loss of or damage to any of these key relationships may adversely affect the Company’s business and revenue.</w:t>
      </w:r>
    </w:p>
    <w:p>
      <w:pPr>
        <w:spacing w:after="0" w:line="233" w:lineRule="exact"/>
        <w:rPr>
          <w:sz w:val="20"/>
          <w:szCs w:val="20"/>
          <w:color w:val="auto"/>
        </w:rPr>
      </w:pPr>
    </w:p>
    <w:p>
      <w:pPr>
        <w:ind w:left="60" w:right="359"/>
        <w:spacing w:after="0" w:line="266" w:lineRule="auto"/>
        <w:rPr>
          <w:sz w:val="20"/>
          <w:szCs w:val="20"/>
          <w:color w:val="auto"/>
        </w:rPr>
      </w:pPr>
      <w:r>
        <w:rPr>
          <w:rFonts w:ascii="Arial" w:cs="Arial" w:eastAsia="Arial" w:hAnsi="Arial"/>
          <w:sz w:val="18"/>
          <w:szCs w:val="18"/>
          <w:b w:val="1"/>
          <w:bCs w:val="1"/>
          <w:color w:val="auto"/>
        </w:rPr>
        <w:t>The Company is dependent upon key vendors and third-parties for equipment, capacity and services essential to operate its business, and if the Company fails to secure sufficient third-party services, its business could be adversely affected.</w:t>
      </w:r>
    </w:p>
    <w:p>
      <w:pPr>
        <w:spacing w:after="0" w:line="180"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The Company’s businesses are dependent upon key vendors who provide rail, truck and ocean transportation services. If the Company cannot secure sufficient transportation equipment, capacity or services from these third-parties at reasonable prices or rates to meet its or its customers’ needs and schedules, customers may seek to have their transportation and logistics needs met by others on a temporary or permanent basis. If this were to occur, the Company’s business, results of operations and financial condition could be adversely affected.</w:t>
      </w:r>
    </w:p>
    <w:p>
      <w:pPr>
        <w:spacing w:after="0" w:line="172" w:lineRule="exact"/>
        <w:rPr>
          <w:sz w:val="20"/>
          <w:szCs w:val="20"/>
          <w:color w:val="auto"/>
        </w:rPr>
      </w:pPr>
    </w:p>
    <w:p>
      <w:pPr>
        <w:ind w:left="60" w:right="419"/>
        <w:spacing w:after="0" w:line="347" w:lineRule="auto"/>
        <w:rPr>
          <w:sz w:val="20"/>
          <w:szCs w:val="20"/>
          <w:color w:val="auto"/>
        </w:rPr>
      </w:pPr>
      <w:r>
        <w:rPr>
          <w:rFonts w:ascii="Arial" w:cs="Arial" w:eastAsia="Arial" w:hAnsi="Arial"/>
          <w:sz w:val="16"/>
          <w:szCs w:val="16"/>
          <w:b w:val="1"/>
          <w:bCs w:val="1"/>
          <w:color w:val="auto"/>
        </w:rPr>
        <w:t>An increase in fuel prices, changes in the Company’s ability to collect fuel-related surcharges, and/or the cost or limited availability of required fuels on the U.S. West Coast may adversely affect the Company’s profits.</w:t>
      </w:r>
    </w:p>
    <w:p>
      <w:pPr>
        <w:spacing w:after="0" w:line="120"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Fuel is a significant operating expense for the Company’s Ocean Transportation business. The price and supply of fuel are unpredictable and fluctuate based on events beyond the Company’s control. Increases in the price of fuel may adversely affect the Company’s results of operations. Increases in fuel costs also can lead to increases in other expenses, such as energy costs and costs to purchase outside transportation services. In the Company’s Ocean Transportation and Logistics services segments, the Company utilizes fuel-related surcharges, although increases in the fuel-related surcharge may adversely affect the Company’s competitive position and may not correspond exactly with the timing of increases in fuel expense. Changes in the Company’s ability to collect fuel-related surcharges also may adversely affect its results of operations.</w:t>
      </w:r>
    </w:p>
    <w:p>
      <w:pPr>
        <w:spacing w:after="0" w:line="192"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Effective January 1, 2020, the IMO imposed a world-wide regulation generally requiring that all ships burn compliant fuel oil with a maximum sulfur content of less than or equal to 0.5 percent. Currently, LSFO is typically priced higher than HSFO due to the need for further oil refinement. In some market instances, the prices between the two products could be inverted. There is no guarantee that the Company’s contracts to secure LSFO on the U.S. West Coast will secure quantities in sufficient amounts and at a reasonable cost. In addition, prolonged use of LSFO on some Matson vessels could degrade engine performance or lead to higher maintenance costs. There may also be delays or other unexpected complications in connection with Matson’s announced plans to install a scrubber on at least one additional vessel. The Company’s ability to recover the higher costs of IMO 2020 compliant fuel through fuel-related surcharges, the availability of LSFO, and the potential impact on vessel performance may adversely affect the Company’s operations, business and profit.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219"/>
        <w:spacing w:after="0" w:line="282" w:lineRule="auto"/>
        <w:rPr>
          <w:sz w:val="20"/>
          <w:szCs w:val="20"/>
          <w:color w:val="auto"/>
        </w:rPr>
      </w:pPr>
      <w:r>
        <w:rPr>
          <w:rFonts w:ascii="Arial" w:cs="Arial" w:eastAsia="Arial" w:hAnsi="Arial"/>
          <w:sz w:val="18"/>
          <w:szCs w:val="18"/>
          <w:b w:val="1"/>
          <w:bCs w:val="1"/>
          <w:color w:val="auto"/>
        </w:rPr>
        <w:t>The Company’s operations are susceptible to weather, natural disasters, maritime accidents, spill events and other operating risks.</w:t>
      </w:r>
    </w:p>
    <w:p>
      <w:pPr>
        <w:spacing w:after="0" w:line="166" w:lineRule="exact"/>
        <w:rPr>
          <w:sz w:val="20"/>
          <w:szCs w:val="20"/>
          <w:color w:val="auto"/>
        </w:rPr>
      </w:pPr>
    </w:p>
    <w:p>
      <w:pPr>
        <w:ind w:left="60" w:right="139"/>
        <w:spacing w:after="0" w:line="270" w:lineRule="auto"/>
        <w:rPr>
          <w:sz w:val="20"/>
          <w:szCs w:val="20"/>
          <w:color w:val="auto"/>
        </w:rPr>
      </w:pPr>
      <w:r>
        <w:rPr>
          <w:rFonts w:ascii="Arial" w:cs="Arial" w:eastAsia="Arial" w:hAnsi="Arial"/>
          <w:sz w:val="17"/>
          <w:szCs w:val="17"/>
          <w:color w:val="auto"/>
        </w:rPr>
        <w:t>The Company’s operations are vulnerable to disruption as a result of weather, natural disasters and other climate-driven events, such as bad weather at sea, hurricanes, typhoons, tsunamis, floods and earthquakes, as well as a maritime accident, oil or other spill, or other environmental mishap. Climate change has increased and may continue to increase the frequency, severity and uncertainty of such events. Such events interfere with the Company’s ability to provide on-time scheduled service, resulting in increased expenses and potential loss of business associated with such events. In addition, severe weather and natural disasters can result in interference with the Company’s terminal operations and may cause serious damage to its vessels and cranes. These impacts could be particularly acute in certain ports in Alaska where the Company is dependent on a single crane. The Company’s vessels and their cargoes are also subject to operating risks such as mechanical failure, collisions and human error.</w:t>
      </w:r>
    </w:p>
    <w:p>
      <w:pPr>
        <w:spacing w:after="0" w:line="181"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The occurrence of any of these events may result in damage to or loss of vessels, containers, cargo and other equipment, loss of life or physical injury to its employees or people, pollution and suspension of operations. These events can expose the Company to reputational harm and liability for resulting damages and possible penalties that, pursuant to typical maritime industry policies, it must pay and then seek reimbursement from its insurer. Affected vessels may also be removed from service and thus would be unavailable for income-generating activity.</w:t>
      </w:r>
    </w:p>
    <w:p>
      <w:pPr>
        <w:spacing w:after="0" w:line="176"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The Company’s casualty and liability insurance policies are generally subject to large retentions and deductibles and may not cover all losses the Company may incur. Some types of losses, such as losses resulting from a port blockage, generally, are not insured. In some cases the Company retains the entire risk of loss because it is not economically prudent to purchase insurance coverage or because of the perceived remoteness of the risk. Other risks are uninsured because insurance coverage may not be commercially available. Finally, the Company retains all risk of loss that exceeds the limits of its insurance.</w:t>
      </w:r>
    </w:p>
    <w:p>
      <w:pPr>
        <w:spacing w:after="0" w:line="188" w:lineRule="exact"/>
        <w:rPr>
          <w:sz w:val="20"/>
          <w:szCs w:val="20"/>
          <w:color w:val="auto"/>
        </w:rPr>
      </w:pPr>
    </w:p>
    <w:p>
      <w:pPr>
        <w:ind w:left="60" w:right="239"/>
        <w:spacing w:after="0" w:line="347" w:lineRule="auto"/>
        <w:rPr>
          <w:sz w:val="20"/>
          <w:szCs w:val="20"/>
          <w:color w:val="auto"/>
        </w:rPr>
      </w:pPr>
      <w:r>
        <w:rPr>
          <w:rFonts w:ascii="Arial" w:cs="Arial" w:eastAsia="Arial" w:hAnsi="Arial"/>
          <w:sz w:val="16"/>
          <w:szCs w:val="16"/>
          <w:b w:val="1"/>
          <w:bCs w:val="1"/>
          <w:color w:val="auto"/>
        </w:rPr>
        <w:t>In addition to the COVID-19 pandemic, the Company faces risks related to actual or threatened health epidemics, pandemics or other major health crises, which could significantly disrupt the Company’s business.</w:t>
      </w:r>
    </w:p>
    <w:p>
      <w:pPr>
        <w:spacing w:after="0" w:line="120" w:lineRule="exact"/>
        <w:rPr>
          <w:sz w:val="20"/>
          <w:szCs w:val="20"/>
          <w:color w:val="auto"/>
        </w:rPr>
      </w:pPr>
    </w:p>
    <w:p>
      <w:pPr>
        <w:ind w:left="60" w:right="179"/>
        <w:spacing w:after="0" w:line="272" w:lineRule="auto"/>
        <w:rPr>
          <w:sz w:val="20"/>
          <w:szCs w:val="20"/>
          <w:color w:val="auto"/>
        </w:rPr>
      </w:pPr>
      <w:r>
        <w:rPr>
          <w:rFonts w:ascii="Arial" w:cs="Arial" w:eastAsia="Arial" w:hAnsi="Arial"/>
          <w:sz w:val="17"/>
          <w:szCs w:val="17"/>
          <w:color w:val="auto"/>
        </w:rPr>
        <w:t>The Company’s business could be impacted adversely by the effects of public health epidemics, pandemics or other major heath crises (which the Company refers to collectively as public health crises). Actual or threatened public health crises may have a number of adverse impacts, including volatility in the global economy, impacts to the Company’s customers’ business operations, reduced tourism in the markets the Company serves, or significant disruptions in ocean-borne transportation of goods, logistics demand and supply chain activity, caused by a variety of factors such as quarantines, factory and office closures, port closures, or other government-imposed restrictions, any of which could adversely impact the Company’s business, financial condition, operating results and cash flows.</w:t>
      </w:r>
    </w:p>
    <w:p>
      <w:pPr>
        <w:spacing w:after="0" w:line="173" w:lineRule="exact"/>
        <w:rPr>
          <w:sz w:val="20"/>
          <w:szCs w:val="20"/>
          <w:color w:val="auto"/>
        </w:rPr>
      </w:pPr>
    </w:p>
    <w:p>
      <w:pPr>
        <w:ind w:left="60" w:right="79"/>
        <w:spacing w:after="0" w:line="282" w:lineRule="auto"/>
        <w:rPr>
          <w:sz w:val="20"/>
          <w:szCs w:val="20"/>
          <w:color w:val="auto"/>
        </w:rPr>
      </w:pPr>
      <w:r>
        <w:rPr>
          <w:rFonts w:ascii="Arial" w:cs="Arial" w:eastAsia="Arial" w:hAnsi="Arial"/>
          <w:sz w:val="18"/>
          <w:szCs w:val="18"/>
          <w:b w:val="1"/>
          <w:bCs w:val="1"/>
          <w:color w:val="auto"/>
        </w:rPr>
        <w:t>The Company’s significant operating agreements and leases could be replaced on less favorable terms or may not be replaced when they expire.</w:t>
      </w:r>
    </w:p>
    <w:p>
      <w:pPr>
        <w:spacing w:after="0" w:line="166"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 xml:space="preserve">The significant operating agreements and leases entered into by the Company in its businesses, including those related to terminals, chartered vessels and warehouses as well as those with SSAT, expire at various points in the future and may not be replaced or could be replaced on less favorable terms, thereby adversely affecting the Company’s future financial position, results of operations and cash flows. For example, on November 26, 2018, a wholly-owned subsidiary of the Company entered into agreements whereby </w:t>
      </w:r>
      <w:r>
        <w:rPr>
          <w:rFonts w:ascii="Arial" w:cs="Arial" w:eastAsia="Arial" w:hAnsi="Arial"/>
          <w:sz w:val="16"/>
          <w:szCs w:val="16"/>
          <w:i w:val="1"/>
          <w:iCs w:val="1"/>
          <w:color w:val="auto"/>
        </w:rPr>
        <w:t>Maunalei</w:t>
      </w:r>
      <w:r>
        <w:rPr>
          <w:rFonts w:ascii="Arial" w:cs="Arial" w:eastAsia="Arial" w:hAnsi="Arial"/>
          <w:sz w:val="16"/>
          <w:szCs w:val="16"/>
          <w:color w:val="auto"/>
        </w:rPr>
        <w:t xml:space="preserve">, a U.S. flagged and Jones Act qualified vessel, was sold for $106.0 million and leased back from the buyer under an operating lease agreement. The customary representations, warranties and covenants contained in the agreements do not eliminate the risks that (a) the lessor could lose its Jones Act status, (b) the Company could not replace </w:t>
      </w:r>
      <w:r>
        <w:rPr>
          <w:rFonts w:ascii="Arial" w:cs="Arial" w:eastAsia="Arial" w:hAnsi="Arial"/>
          <w:sz w:val="16"/>
          <w:szCs w:val="16"/>
          <w:i w:val="1"/>
          <w:iCs w:val="1"/>
          <w:color w:val="auto"/>
        </w:rPr>
        <w:t>Maunalei</w:t>
      </w:r>
      <w:r>
        <w:rPr>
          <w:rFonts w:ascii="Arial" w:cs="Arial" w:eastAsia="Arial" w:hAnsi="Arial"/>
          <w:sz w:val="16"/>
          <w:szCs w:val="16"/>
          <w:color w:val="auto"/>
        </w:rPr>
        <w:t xml:space="preserve"> in the event it is no longer Jones Act eligible, or (c) if the repurchase option is elected, the Company would not be able to consummate the repurchase of </w:t>
      </w:r>
      <w:r>
        <w:rPr>
          <w:rFonts w:ascii="Arial" w:cs="Arial" w:eastAsia="Arial" w:hAnsi="Arial"/>
          <w:sz w:val="16"/>
          <w:szCs w:val="16"/>
          <w:i w:val="1"/>
          <w:iCs w:val="1"/>
          <w:color w:val="auto"/>
        </w:rPr>
        <w:t>Maunalei</w:t>
      </w:r>
      <w:r>
        <w:rPr>
          <w:rFonts w:ascii="Arial" w:cs="Arial" w:eastAsia="Arial" w:hAnsi="Arial"/>
          <w:sz w:val="16"/>
          <w:szCs w:val="16"/>
          <w:color w:val="auto"/>
        </w:rPr>
        <w:t xml:space="preserve"> at the end of the lease term.</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 may face unexpected dry-docking or repair costs for its vessels.</w:t>
      </w:r>
    </w:p>
    <w:p>
      <w:pPr>
        <w:spacing w:after="0" w:line="229" w:lineRule="exact"/>
        <w:rPr>
          <w:sz w:val="20"/>
          <w:szCs w:val="20"/>
          <w:color w:val="auto"/>
        </w:rPr>
      </w:pPr>
    </w:p>
    <w:p>
      <w:pPr>
        <w:ind w:left="60" w:right="219"/>
        <w:spacing w:after="0" w:line="301" w:lineRule="auto"/>
        <w:rPr>
          <w:sz w:val="20"/>
          <w:szCs w:val="20"/>
          <w:color w:val="auto"/>
        </w:rPr>
      </w:pPr>
      <w:r>
        <w:rPr>
          <w:rFonts w:ascii="Arial" w:cs="Arial" w:eastAsia="Arial" w:hAnsi="Arial"/>
          <w:sz w:val="16"/>
          <w:szCs w:val="16"/>
          <w:color w:val="auto"/>
        </w:rPr>
        <w:t>The Company routinely engage shipyards to dry-dock its vessels for regulatory compliance and to provide repair and maintenance. Vessels may also have to be dry-docked or repaired at sea in the event of accidents or other unforeseen damage. Unexpected dry-dockings or repairs could require the Company to activate a reserve vessel, purchase additional fuel and operate a less-efficient, smaller vessel for a period of time. The Company also operates a number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96" w:lineRule="auto"/>
        <w:rPr>
          <w:sz w:val="20"/>
          <w:szCs w:val="20"/>
          <w:color w:val="auto"/>
        </w:rPr>
      </w:pPr>
      <w:r>
        <w:rPr>
          <w:rFonts w:ascii="Arial" w:cs="Arial" w:eastAsia="Arial" w:hAnsi="Arial"/>
          <w:sz w:val="16"/>
          <w:szCs w:val="16"/>
          <w:color w:val="auto"/>
        </w:rPr>
        <w:t>older active and reserve vessels that may require more frequent and extensive maintenance. The cost of repairs are difficult to predict with certainty and can be substantial. In addition, the time when a vessel is out of service for maintenance is determined by a number of factors, including regulatory deadlines, market conditions, shipyard availability and customer requirements, and accordingly, the length of time that a vessel may be out of service may be longer than anticipated, which could adversely affect the Company’s business, financial condition, results of operations and cash flows.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The Company is involved in a joint venture and is subject to risks associated with joint venture relationships.</w:t>
      </w:r>
    </w:p>
    <w:p>
      <w:pPr>
        <w:spacing w:after="0" w:line="241"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color w:val="auto"/>
        </w:rPr>
        <w:t>The Company is involved in a terminal joint venture with SSAT (and through SSAT, other joint ventures at various U.S. West Coast terminals), and may initiate future joint venture projects. A joint venture involves certain risks for the Company such as:</w:t>
      </w:r>
    </w:p>
    <w:p>
      <w:pPr>
        <w:spacing w:after="0" w:line="184" w:lineRule="exact"/>
        <w:rPr>
          <w:sz w:val="20"/>
          <w:szCs w:val="20"/>
          <w:color w:val="auto"/>
        </w:rPr>
      </w:pPr>
    </w:p>
    <w:p>
      <w:pPr>
        <w:ind w:left="380" w:right="459" w:hanging="330"/>
        <w:spacing w:after="0" w:line="258"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lack of voting control over the joint venture, including the risk that the joint venture takes actions resulting in reputational harm to the Company;</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Misalignment or inconsistency of interests between the Company and the joint venture partner;</w:t>
      </w:r>
    </w:p>
    <w:p>
      <w:pPr>
        <w:spacing w:after="0" w:line="9" w:lineRule="exact"/>
        <w:rPr>
          <w:rFonts w:ascii="Arial" w:cs="Arial" w:eastAsia="Arial" w:hAnsi="Arial"/>
          <w:sz w:val="18"/>
          <w:szCs w:val="18"/>
          <w:color w:val="auto"/>
        </w:rPr>
      </w:pPr>
    </w:p>
    <w:p>
      <w:pPr>
        <w:ind w:left="380" w:right="119" w:hanging="330"/>
        <w:spacing w:after="0" w:line="250"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Reliance on the joint venture partner to fund its share of capital or fulfill its other commitments, including the risk that the joint venture partner could become bankrupt; and</w:t>
      </w:r>
    </w:p>
    <w:p>
      <w:pPr>
        <w:ind w:left="380" w:right="159" w:hanging="330"/>
        <w:spacing w:after="0" w:line="260"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difficulties and financial losses at the joint venture, which may lead to the Company writing down assets or incurring impairment charges.</w:t>
      </w:r>
    </w:p>
    <w:p>
      <w:pPr>
        <w:spacing w:after="0" w:line="185"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In addition, the Company relies on SSAT for its stevedoring services at the ports of Long Beach and Oakland, California and Tacoma, Washington on the U.S. West Coast. The Company could be adversely affected by any changes in the services provided, or to the costs of such services provided by SSAT.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 is subject to risks associated with conducting business in foreign shipping markets.</w:t>
      </w:r>
    </w:p>
    <w:p>
      <w:pPr>
        <w:spacing w:after="0" w:line="229" w:lineRule="exact"/>
        <w:rPr>
          <w:sz w:val="20"/>
          <w:szCs w:val="20"/>
          <w:color w:val="auto"/>
        </w:rPr>
      </w:pPr>
    </w:p>
    <w:p>
      <w:pPr>
        <w:ind w:left="60" w:right="859"/>
        <w:spacing w:after="0" w:line="277" w:lineRule="auto"/>
        <w:rPr>
          <w:sz w:val="20"/>
          <w:szCs w:val="20"/>
          <w:color w:val="auto"/>
        </w:rPr>
      </w:pPr>
      <w:r>
        <w:rPr>
          <w:rFonts w:ascii="Arial" w:cs="Arial" w:eastAsia="Arial" w:hAnsi="Arial"/>
          <w:sz w:val="18"/>
          <w:szCs w:val="18"/>
          <w:color w:val="auto"/>
        </w:rPr>
        <w:t>Matson’s China, Alaska export, Micronesia, Japan and South Pacific services are subject to risks associated with conducting business in a foreign shipping market, which include:</w:t>
      </w:r>
    </w:p>
    <w:p>
      <w:pPr>
        <w:spacing w:after="0" w:line="170" w:lineRule="exact"/>
        <w:rPr>
          <w:sz w:val="20"/>
          <w:szCs w:val="20"/>
          <w:color w:val="auto"/>
        </w:rPr>
      </w:pPr>
    </w:p>
    <w:p>
      <w:pPr>
        <w:ind w:left="380" w:right="619" w:hanging="330"/>
        <w:spacing w:after="0" w:line="258"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associated with operating in foreign countries and developing relationships with foreign companies, business associates and governments, including as a result of cultural differences;</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in staffing and managing foreign operations, including dynamic employment and immigration laws;</w:t>
      </w:r>
    </w:p>
    <w:p>
      <w:pPr>
        <w:spacing w:after="0" w:line="20" w:lineRule="exact"/>
        <w:rPr>
          <w:rFonts w:ascii="Arial" w:cs="Arial" w:eastAsia="Arial" w:hAnsi="Arial"/>
          <w:sz w:val="17"/>
          <w:szCs w:val="17"/>
          <w:color w:val="auto"/>
        </w:rPr>
      </w:pPr>
    </w:p>
    <w:p>
      <w:pPr>
        <w:ind w:left="380" w:right="399" w:hanging="330"/>
        <w:spacing w:after="0" w:line="25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ability to comply with U.S. and foreign legal and regulatory restrictions, including anti-corruption laws such as the Foreign Corrupt Practices Act;</w:t>
      </w:r>
    </w:p>
    <w:p>
      <w:pPr>
        <w:ind w:left="380" w:hanging="330"/>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having continued access to existing port facilities or feeder vessels;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ability to manage changes in the cost of goods or currency exchange rate fluctuations;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and economic instability; and</w:t>
      </w:r>
    </w:p>
    <w:p>
      <w:pPr>
        <w:spacing w:after="0" w:line="9" w:lineRule="exact"/>
        <w:rPr>
          <w:rFonts w:ascii="Arial" w:cs="Arial" w:eastAsia="Arial" w:hAnsi="Arial"/>
          <w:sz w:val="18"/>
          <w:szCs w:val="18"/>
          <w:color w:val="auto"/>
        </w:rPr>
      </w:pPr>
    </w:p>
    <w:p>
      <w:pPr>
        <w:ind w:left="380" w:right="379" w:hanging="330"/>
        <w:spacing w:after="0" w:line="26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Dynamics involving U.S. trade relations with other countries, including the imposition of or uncertainty associated with the level of tariffs or other governmental actions.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Company’s terminals in Hawaii and Alaska require modernization.</w:t>
      </w:r>
    </w:p>
    <w:p>
      <w:pPr>
        <w:spacing w:after="0" w:line="229"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The Company has completed the first phase of renovating and modernizing its Sand Island terminal in Honolulu Harbor. Significant additional upgrades and projects remain. The Company has also begun discussions with state and local authorities in Anchorage, Alaska regarding upgrades to those terminal and port facilities. Regulatory, construction or other delays or cost overruns related to the expansion and modernization of the terminals could have an adverse impact on the Company’s business plans, financial condition and results of operations. In addition, the terminal modernization programs may not result in improved operational productivity or generate expected returns.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99"/>
        <w:spacing w:after="0" w:line="312" w:lineRule="auto"/>
        <w:rPr>
          <w:sz w:val="20"/>
          <w:szCs w:val="20"/>
          <w:color w:val="auto"/>
        </w:rPr>
      </w:pPr>
      <w:r>
        <w:rPr>
          <w:rFonts w:ascii="Arial" w:cs="Arial" w:eastAsia="Arial" w:hAnsi="Arial"/>
          <w:sz w:val="17"/>
          <w:szCs w:val="17"/>
          <w:b w:val="1"/>
          <w:bCs w:val="1"/>
          <w:color w:val="auto"/>
        </w:rPr>
        <w:t>Heightened security measures, war, actual or threatened terrorist attacks, efforts to combat terrorism and other acts of violence may adversely impact the Company’s operations and profitability.</w:t>
      </w:r>
    </w:p>
    <w:p>
      <w:pPr>
        <w:spacing w:after="0" w:line="144"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War, terrorist attacks and other acts of violence may cause consumer confidence and spending to decrease, or may affect the ability or willingness of tourists to travel to Hawaii, Guam or Alaska, thereby adversely affecting those economies and the Company. Additionally, future terrorist attacks could increase volatility in the U.S. and worldwide financial markets. Acts of war or terrorism may be directed at the Company’s shipping operations, or may cause the U.S. government to take control of Matson’s vessels for military operation. Heightened security measures, including customs inspections and related procedures in countries of origin and destination, potentially slow the movement and increase the cost of freight through U.S. or foreign ports, across borders or on U.S. or foreign railroads or highways.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Acquisitions may have an adverse effect on the Company’s business.</w:t>
      </w:r>
    </w:p>
    <w:p>
      <w:pPr>
        <w:spacing w:after="0" w:line="229"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The Company’s growth strategy includes expansion through acquisitions, including, for example, the Company’s acquisitions of Horizon Lines, Inc. (“Horizon”) in 2015 and Span Intermediate, LLC (“Span Alaska”) in 2016. There is no assurance that the Company will be successful in identifying, negotiating, or consummating any future acquisitions. Even if suitable candidates are identified, such transactions may result in difficulties in assimilating acquired assets or companies, and may result in the diversion of the Company’s capital and its management attention from other business issues and opportunities. The Company may not be able to integrate companies that it acquires successfully, including their personnel, financial systems, distribution, operations and general operating procedures. The Company may also encounter challenges in achieving appropriate internal control over financial reporting in connection with the integration of an acquired company. The Company may pay a premium for an acquisition, resulting in goodwill that may later be determined to be impaired.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Employees</w:t>
      </w:r>
    </w:p>
    <w:p>
      <w:pPr>
        <w:spacing w:after="0" w:line="221" w:lineRule="exact"/>
        <w:rPr>
          <w:sz w:val="20"/>
          <w:szCs w:val="20"/>
          <w:color w:val="auto"/>
        </w:rPr>
      </w:pPr>
    </w:p>
    <w:p>
      <w:pPr>
        <w:ind w:left="60" w:right="119"/>
        <w:spacing w:after="0" w:line="282" w:lineRule="auto"/>
        <w:rPr>
          <w:sz w:val="20"/>
          <w:szCs w:val="20"/>
          <w:color w:val="auto"/>
        </w:rPr>
      </w:pPr>
      <w:r>
        <w:rPr>
          <w:rFonts w:ascii="Arial" w:cs="Arial" w:eastAsia="Arial" w:hAnsi="Arial"/>
          <w:sz w:val="18"/>
          <w:szCs w:val="18"/>
          <w:b w:val="1"/>
          <w:bCs w:val="1"/>
          <w:color w:val="auto"/>
        </w:rPr>
        <w:t>Work stoppages or other labor disruptions caused by the Company’s unionized workers and other workers or their unions in related industries could adversely affect the Company’s operations.</w:t>
      </w:r>
    </w:p>
    <w:p>
      <w:pPr>
        <w:spacing w:after="0" w:line="166"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A significant portion of Matson’s employees are covered by collective bargaining agreements. Furthermore, the Company relies on the services of third-parties, including SSAT, that employ persons covered by collective bargaining agreements. For additional information on collective bargaining agreements with unions, see Item 1.C. Employees and Labor Relations of Part I of this Annual Report.</w:t>
      </w:r>
    </w:p>
    <w:p>
      <w:pPr>
        <w:spacing w:after="0" w:line="187" w:lineRule="exact"/>
        <w:rPr>
          <w:sz w:val="20"/>
          <w:szCs w:val="20"/>
          <w:color w:val="auto"/>
        </w:rPr>
      </w:pPr>
    </w:p>
    <w:p>
      <w:pPr>
        <w:ind w:left="60" w:right="319"/>
        <w:spacing w:after="0" w:line="301" w:lineRule="auto"/>
        <w:rPr>
          <w:sz w:val="20"/>
          <w:szCs w:val="20"/>
          <w:color w:val="auto"/>
        </w:rPr>
      </w:pPr>
      <w:r>
        <w:rPr>
          <w:rFonts w:ascii="Arial" w:cs="Arial" w:eastAsia="Arial" w:hAnsi="Arial"/>
          <w:sz w:val="16"/>
          <w:szCs w:val="16"/>
          <w:color w:val="auto"/>
        </w:rPr>
        <w:t>The Company has been adversely affected by actions taken by employees of the Company or other companies in related industries against efforts by management of the Company or other companies to control labor costs, restrain wage or benefit increases or modify work practices. Strikes and disruptions have occurred as a result of the failure of Matson or other companies in its industry to negotiate collective bargaining agreements with such unions successfully.</w:t>
      </w:r>
    </w:p>
    <w:p>
      <w:pPr>
        <w:spacing w:after="0" w:line="157" w:lineRule="exact"/>
        <w:rPr>
          <w:sz w:val="20"/>
          <w:szCs w:val="20"/>
          <w:color w:val="auto"/>
        </w:rPr>
      </w:pPr>
    </w:p>
    <w:p>
      <w:pPr>
        <w:ind w:left="60" w:right="359"/>
        <w:spacing w:after="0" w:line="342" w:lineRule="auto"/>
        <w:rPr>
          <w:sz w:val="20"/>
          <w:szCs w:val="20"/>
          <w:color w:val="auto"/>
        </w:rPr>
      </w:pPr>
      <w:r>
        <w:rPr>
          <w:rFonts w:ascii="Arial" w:cs="Arial" w:eastAsia="Arial" w:hAnsi="Arial"/>
          <w:sz w:val="16"/>
          <w:szCs w:val="16"/>
          <w:color w:val="auto"/>
        </w:rPr>
        <w:t>In addition, any slow-downs, strikes, lock-outs or other disruptions, including limits on the availability of labor through trade union hiring halls have had and in the future could have an adverse impact on Matson’s or SSAT’s operations.</w:t>
      </w:r>
    </w:p>
    <w:p>
      <w:pPr>
        <w:spacing w:after="0" w:line="120" w:lineRule="exact"/>
        <w:rPr>
          <w:sz w:val="20"/>
          <w:szCs w:val="20"/>
          <w:color w:val="auto"/>
        </w:rPr>
      </w:pPr>
    </w:p>
    <w:p>
      <w:pPr>
        <w:ind w:left="60" w:right="539"/>
        <w:spacing w:after="0" w:line="282" w:lineRule="auto"/>
        <w:rPr>
          <w:sz w:val="20"/>
          <w:szCs w:val="20"/>
          <w:color w:val="auto"/>
        </w:rPr>
      </w:pPr>
      <w:r>
        <w:rPr>
          <w:rFonts w:ascii="Arial" w:cs="Arial" w:eastAsia="Arial" w:hAnsi="Arial"/>
          <w:sz w:val="18"/>
          <w:szCs w:val="18"/>
          <w:b w:val="1"/>
          <w:bCs w:val="1"/>
          <w:color w:val="auto"/>
        </w:rPr>
        <w:t>Loss of the Company’s key personnel or failure to adequately manage human capital could adversely affect its business.</w:t>
      </w:r>
    </w:p>
    <w:p>
      <w:pPr>
        <w:spacing w:after="0" w:line="166" w:lineRule="exact"/>
        <w:rPr>
          <w:sz w:val="20"/>
          <w:szCs w:val="20"/>
          <w:color w:val="auto"/>
        </w:rPr>
      </w:pPr>
    </w:p>
    <w:p>
      <w:pPr>
        <w:ind w:left="60" w:right="139"/>
        <w:spacing w:after="0" w:line="289" w:lineRule="auto"/>
        <w:rPr>
          <w:sz w:val="20"/>
          <w:szCs w:val="20"/>
          <w:color w:val="auto"/>
        </w:rPr>
      </w:pPr>
      <w:r>
        <w:rPr>
          <w:rFonts w:ascii="Arial" w:cs="Arial" w:eastAsia="Arial" w:hAnsi="Arial"/>
          <w:sz w:val="16"/>
          <w:szCs w:val="16"/>
          <w:color w:val="auto"/>
        </w:rPr>
        <w:t>The Company’s future success will depend, in significant part, upon the continued services of its key personnel and skilled employees, including its senior management, as well as key personnel at its joint venture partners. The permanent or temporary loss of the services of key personnel could adversely affect the Company’s future operating results because of such employees’ experience and knowledge of the Company’s business and customer relationships. If key employees depart or are unable to work, the Company may incur significant costs to replace them. Additionally, the Company’s ability to execute its business model could be impaired if it cannot replace such personnel in a timely manner. The Company’s investments in and efforts to manage its human capital, including to maintain a desirable workplace culture, may not be successful in identifying, attracting, developing, motivating, retaining, competing for or replacing qualified personnel. The Company does not maintain key person insurance on any of its key personnel.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Information Technology</w:t>
      </w:r>
    </w:p>
    <w:p>
      <w:pPr>
        <w:spacing w:after="0" w:line="221" w:lineRule="exact"/>
        <w:rPr>
          <w:sz w:val="20"/>
          <w:szCs w:val="20"/>
          <w:color w:val="auto"/>
        </w:rPr>
      </w:pPr>
    </w:p>
    <w:p>
      <w:pPr>
        <w:ind w:left="60" w:right="259"/>
        <w:spacing w:after="0" w:line="282" w:lineRule="auto"/>
        <w:rPr>
          <w:sz w:val="20"/>
          <w:szCs w:val="20"/>
          <w:color w:val="auto"/>
        </w:rPr>
      </w:pPr>
      <w:r>
        <w:rPr>
          <w:rFonts w:ascii="Arial" w:cs="Arial" w:eastAsia="Arial" w:hAnsi="Arial"/>
          <w:sz w:val="18"/>
          <w:szCs w:val="18"/>
          <w:b w:val="1"/>
          <w:bCs w:val="1"/>
          <w:color w:val="auto"/>
        </w:rPr>
        <w:t>If the Company is not able to use the Company’s information technology and communications systems effectively, the Company’s ability to conduct business might be negatively impacted.</w:t>
      </w:r>
    </w:p>
    <w:p>
      <w:pPr>
        <w:spacing w:after="0" w:line="166" w:lineRule="exact"/>
        <w:rPr>
          <w:sz w:val="20"/>
          <w:szCs w:val="20"/>
          <w:color w:val="auto"/>
        </w:rPr>
      </w:pPr>
    </w:p>
    <w:p>
      <w:pPr>
        <w:ind w:left="60" w:right="159"/>
        <w:spacing w:after="0" w:line="293" w:lineRule="auto"/>
        <w:rPr>
          <w:sz w:val="20"/>
          <w:szCs w:val="20"/>
          <w:color w:val="auto"/>
        </w:rPr>
      </w:pPr>
      <w:r>
        <w:rPr>
          <w:rFonts w:ascii="Arial" w:cs="Arial" w:eastAsia="Arial" w:hAnsi="Arial"/>
          <w:sz w:val="16"/>
          <w:szCs w:val="16"/>
          <w:color w:val="auto"/>
        </w:rPr>
        <w:t>The Company is highly dependent on the proper functioning of our information technology systems to enable operations and compete effectively. The Company regularly updates its information technology systems or implements new systems, which could cause substantial business interruption. There is no assurance that the systems upgrades or new systems will meet our current or future business needs, or that they will operate as designed. For example, the Company is in the midst of a multi-year process to implement a new enterprise resource planning, or ERP, system intended to enhance operating efficiencies and provide more effective management of its business operations.</w:t>
      </w:r>
    </w:p>
    <w:p>
      <w:pPr>
        <w:spacing w:after="0" w:line="164"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The Company’s information technology systems also rely on third-party service providers for access to the Internet, satellite-based communications systems, the electric grid, database storage facilities and telecommunications providers. The Company has no control over the operations of these third-party service providers. In the past, disruptions in the Company’s third-party service providers have impacted the Company’s operations, including the Company’s ability to book and manage freight, stow vessels, and process customs declarations. In response to the COVID-19 pandemic and in compliance with guidance from public health officials and state and local governments, many of the Company’s employees are working from home or remotely, increasing the Company’s dependence on its information technology systems and third-party providers. If the Company’s information technology and communications systems experience reliability issues, integration or compatibility concerns or if the Company’s third-party providers are unable to perform effectively or experience disruptions or failures, there could be an adverse impact on the availability and functioning of the Company’s information technology and communications systems, which could lead to business disruption or inefficiencies, reputational harm or loss of customers.</w:t>
      </w:r>
    </w:p>
    <w:p>
      <w:pPr>
        <w:spacing w:after="0" w:line="175" w:lineRule="exact"/>
        <w:rPr>
          <w:sz w:val="20"/>
          <w:szCs w:val="20"/>
          <w:color w:val="auto"/>
        </w:rPr>
      </w:pPr>
    </w:p>
    <w:p>
      <w:pPr>
        <w:ind w:left="60" w:right="159"/>
        <w:spacing w:after="0" w:line="386" w:lineRule="auto"/>
        <w:rPr>
          <w:sz w:val="20"/>
          <w:szCs w:val="20"/>
          <w:color w:val="auto"/>
        </w:rPr>
      </w:pPr>
      <w:r>
        <w:rPr>
          <w:rFonts w:ascii="Arial" w:cs="Arial" w:eastAsia="Arial" w:hAnsi="Arial"/>
          <w:sz w:val="15"/>
          <w:szCs w:val="15"/>
          <w:b w:val="1"/>
          <w:bCs w:val="1"/>
          <w:color w:val="auto"/>
        </w:rPr>
        <w:t>The Company’s information technology systems have in the past and may in the future be exposed to cybersecurity risks and other disruptions that could impair the Company’s ability to operate and adversely affect its business.</w:t>
      </w:r>
    </w:p>
    <w:p>
      <w:pPr>
        <w:spacing w:after="0" w:line="97"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The shipping industry is a more frequent target of cyber attacks than some other industries because of the essential nature of these services. The Company relies extensively on its information technology systems and third-party service providers in many aspects of its business, including cloud services for accounting, billing, disbursement, cargo booking and tracking, vessel scheduling and stowage, equipment tracking, customer service, banking, payroll and employee communication systems. The Company also collects, stores and transmits sensitive data, including its proprietary business information and that of its customers, and personally identifiable information of its customers and employees. Despite the Company’s continuous efforts to make investments in the Company’s information technology systems and system-wide data security program, the implementation of security measures to protect the Company’s data and infrastructure against breaches and other cyber threats, and the Company’s use of internal processes and controls designed to protect the security and availability of the Company’s systems, the Company has in the past experienced and may in the future experience cybersecurity risks, such as computer viruses, hacking, malware, denial of service attacks, cyber terrorism, circumvention of security systems, malfeasance, breaches due to employee error, natural disasters, telecommunications failure, or other catastrophic events at the Company’s facilities, aboard its vessels or at third-party locations.</w:t>
      </w:r>
    </w:p>
    <w:p>
      <w:pPr>
        <w:spacing w:after="0" w:line="174"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Any failure, breach or unauthorized access to the Company’s systems or those of third-parties on which the Company relies could result in the loss of confidential, sensitive or proprietary information, interruptions in its service or production or otherwise impact the Company’s ability to conduct business operations, and could result in potential reductions in revenue and profits, damage to its reputation or liability.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Financial Matters</w:t>
      </w:r>
    </w:p>
    <w:p>
      <w:pPr>
        <w:spacing w:after="0" w:line="221" w:lineRule="exact"/>
        <w:rPr>
          <w:sz w:val="20"/>
          <w:szCs w:val="20"/>
          <w:color w:val="auto"/>
        </w:rPr>
      </w:pPr>
    </w:p>
    <w:p>
      <w:pPr>
        <w:ind w:left="60" w:right="359"/>
        <w:spacing w:after="0" w:line="282" w:lineRule="auto"/>
        <w:rPr>
          <w:sz w:val="20"/>
          <w:szCs w:val="20"/>
          <w:color w:val="auto"/>
        </w:rPr>
      </w:pPr>
      <w:r>
        <w:rPr>
          <w:rFonts w:ascii="Arial" w:cs="Arial" w:eastAsia="Arial" w:hAnsi="Arial"/>
          <w:sz w:val="18"/>
          <w:szCs w:val="18"/>
          <w:b w:val="1"/>
          <w:bCs w:val="1"/>
          <w:color w:val="auto"/>
        </w:rPr>
        <w:t>The Company may be required to record a significant charge to earnings if recorded intangible assets associated with the Span Alaska acquisition become impaired.</w:t>
      </w:r>
    </w:p>
    <w:p>
      <w:pPr>
        <w:spacing w:after="0" w:line="166"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color w:val="auto"/>
        </w:rPr>
        <w:t>The Company recorded significant intangible assets related to goodwill, customer relationships and trade name arising from the Span Alaska acquisition. The Company is required to test goodwill for impairment annually, or whenever events or changes in circumstances indicate that it is more likely than not that the fair value of a reporting unit is less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than its carrying amount. Factors that could lead to an impairment of goodwill or intangible customer relationships include any significant adverse changes affecting the reporting unit’s financial condition, results of operations, and future cash flows.</w:t>
      </w:r>
    </w:p>
    <w:p>
      <w:pPr>
        <w:spacing w:after="0" w:line="180" w:lineRule="exact"/>
        <w:rPr>
          <w:sz w:val="20"/>
          <w:szCs w:val="20"/>
          <w:color w:val="auto"/>
        </w:rPr>
      </w:pPr>
    </w:p>
    <w:p>
      <w:pPr>
        <w:ind w:left="60" w:right="459"/>
        <w:spacing w:after="0" w:line="282" w:lineRule="auto"/>
        <w:rPr>
          <w:sz w:val="20"/>
          <w:szCs w:val="20"/>
          <w:color w:val="auto"/>
        </w:rPr>
      </w:pPr>
      <w:r>
        <w:rPr>
          <w:rFonts w:ascii="Arial" w:cs="Arial" w:eastAsia="Arial" w:hAnsi="Arial"/>
          <w:sz w:val="18"/>
          <w:szCs w:val="18"/>
          <w:b w:val="1"/>
          <w:bCs w:val="1"/>
          <w:color w:val="auto"/>
        </w:rPr>
        <w:t>A deterioration of the Company’s credit profile, disruptions of the credit markets or higher interest rates could restrict its ability to access the debt capital markets or increase the cost of debt.</w:t>
      </w:r>
    </w:p>
    <w:p>
      <w:pPr>
        <w:spacing w:after="0" w:line="166" w:lineRule="exact"/>
        <w:rPr>
          <w:sz w:val="20"/>
          <w:szCs w:val="20"/>
          <w:color w:val="auto"/>
        </w:rPr>
      </w:pPr>
    </w:p>
    <w:p>
      <w:pPr>
        <w:ind w:left="60" w:right="59"/>
        <w:spacing w:after="0" w:line="285" w:lineRule="auto"/>
        <w:rPr>
          <w:sz w:val="20"/>
          <w:szCs w:val="20"/>
          <w:color w:val="auto"/>
        </w:rPr>
      </w:pPr>
      <w:r>
        <w:rPr>
          <w:rFonts w:ascii="Arial" w:cs="Arial" w:eastAsia="Arial" w:hAnsi="Arial"/>
          <w:sz w:val="16"/>
          <w:szCs w:val="16"/>
          <w:color w:val="auto"/>
        </w:rPr>
        <w:t>Deterioration in the Company’s credit profile may have an adverse effect on the Company’s ability to access the private or public debt markets and also may increase its borrowing costs. If the Company’s credit profile deteriorates significantly, its access to the debt capital markets or its ability to renew its committed lines of credit may become restricted, or the Company may not be able to refinance debt at the same levels or on the same terms. Because the Company relies on its ability to draw on its revolving credit facilities to support its operations when required, any volatility in the credit and financial markets that prevents the Company from accessing funds (for example, a lender that does not fulfill its lending obligation) could have an adverse effect on the Company’s financial condition and cash flows. Additionally, the Company’s credit agreements generally include an increase in borrowing rates if the Company’s credit profile deteriorates. Furthermore, the Company incurs interest under its revolving credit facilities based on floating rates. Floating rate debt creates higher debt service requirements if market interest rates increase, as was the case in connection with the U.S. Federal Reserve’s interest rate increases in 2018, which would adversely affect the Company’s cash flow and results of operations. In addition, as the floating rate on certain borrowings under the Company’s revolving credit facility is tied to LIBOR, the uncertainty regarding the future of LIBOR as well as the transition from LIBOR to an alternate benchmark rate or rates could pose funding risks for the Company and adversely affect the Company’s financing costs. Disruptions to the credit markets as a result of the COVID-19 pandemic or other macroeconomic or financial market developments could increase the Company’s cost of capital and limit the Company’s access to capital.</w:t>
      </w:r>
    </w:p>
    <w:p>
      <w:pPr>
        <w:spacing w:after="0" w:line="172" w:lineRule="exact"/>
        <w:rPr>
          <w:sz w:val="20"/>
          <w:szCs w:val="20"/>
          <w:color w:val="auto"/>
        </w:rPr>
      </w:pPr>
    </w:p>
    <w:p>
      <w:pPr>
        <w:ind w:left="60" w:right="319"/>
        <w:spacing w:after="0" w:line="266" w:lineRule="auto"/>
        <w:rPr>
          <w:sz w:val="20"/>
          <w:szCs w:val="20"/>
          <w:color w:val="auto"/>
        </w:rPr>
      </w:pPr>
      <w:r>
        <w:rPr>
          <w:rFonts w:ascii="Arial" w:cs="Arial" w:eastAsia="Arial" w:hAnsi="Arial"/>
          <w:sz w:val="18"/>
          <w:szCs w:val="18"/>
          <w:b w:val="1"/>
          <w:bCs w:val="1"/>
          <w:color w:val="auto"/>
        </w:rPr>
        <w:t>Failure to comply with certain restrictive financial covenants contained in the Company’s credit facilities could preclude the payment of dividends, impose restrictions on the Company’s business segments, capital resources or other activities or otherwise adversely affect the Company.</w:t>
      </w:r>
    </w:p>
    <w:p>
      <w:pPr>
        <w:spacing w:after="0" w:line="180" w:lineRule="exact"/>
        <w:rPr>
          <w:sz w:val="20"/>
          <w:szCs w:val="20"/>
          <w:color w:val="auto"/>
        </w:rPr>
      </w:pPr>
    </w:p>
    <w:p>
      <w:pPr>
        <w:ind w:left="60" w:right="179"/>
        <w:spacing w:after="0" w:line="271" w:lineRule="auto"/>
        <w:rPr>
          <w:sz w:val="20"/>
          <w:szCs w:val="20"/>
          <w:color w:val="auto"/>
        </w:rPr>
      </w:pPr>
      <w:r>
        <w:rPr>
          <w:rFonts w:ascii="Arial" w:cs="Arial" w:eastAsia="Arial" w:hAnsi="Arial"/>
          <w:sz w:val="17"/>
          <w:szCs w:val="17"/>
          <w:color w:val="auto"/>
        </w:rPr>
        <w:t>The Company’s credit facilities contain certain restrictive financial covenants, the most restrictive of which include a maximum ratio of debt to earnings before interest, taxes, depreciation and amortization (“EBITDA”), a minimum ratio of EBITDA to interest expense, certain prohibitions on additional priority debt, certain prohibitions on sale leaseback transactions, and the maintenance of minimum shareholders’ equity. If the Company does not maintain these and other required covenants, and a breach of such covenants is not cured timely or waived by the lenders, resulting in a default, the Company’s access to credit may be limited or terminated, dividends may be suspended, and the lenders could declare any outstanding amounts due and payable. The Company’s continued ability to borrow under its credit facilities is subject to compliance with these financial and other non-financial covenants.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Company’s effective income tax rate may vary.</w:t>
      </w:r>
    </w:p>
    <w:p>
      <w:pPr>
        <w:spacing w:after="0" w:line="229"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Various internal and external factors may have favorable or unfavorable material or immaterial effects on the Company’s effective income tax rate and, therefore, impact the Company’s net income and earnings per share. These factors include, but are not limited to changes in tax rates; changes in tax laws, regulations, and rulings; changes in interpretations of existing tax laws, regulations and rulings; changes in the evaluation of the Company’s ability to realize deferred tax assets, and changes in uncertain tax positions; changes in accounting principles; changes in current pre-tax income as well as changes in forecasted pre-tax income; changes in the level of Capital Construction Fund (“CCF”) deductions, non-deductible expenses, and expenses eligible for tax credits; changes in the mix of earnings among countries with varying tax rates; and acquisitions and changes in the Company’s corporate structure. These factors may result in periodic revisions to the Company’s effective income tax rate, which could affect the Company’s cash flow and results of operations.</w:t>
      </w:r>
    </w:p>
    <w:p>
      <w:pPr>
        <w:spacing w:after="0" w:line="162" w:lineRule="exact"/>
        <w:rPr>
          <w:sz w:val="20"/>
          <w:szCs w:val="20"/>
          <w:color w:val="auto"/>
        </w:rPr>
      </w:pPr>
    </w:p>
    <w:p>
      <w:pPr>
        <w:ind w:left="60" w:right="459"/>
        <w:spacing w:after="0" w:line="282" w:lineRule="auto"/>
        <w:rPr>
          <w:sz w:val="20"/>
          <w:szCs w:val="20"/>
          <w:color w:val="auto"/>
        </w:rPr>
      </w:pPr>
      <w:r>
        <w:rPr>
          <w:rFonts w:ascii="Arial" w:cs="Arial" w:eastAsia="Arial" w:hAnsi="Arial"/>
          <w:sz w:val="18"/>
          <w:szCs w:val="18"/>
          <w:b w:val="1"/>
          <w:bCs w:val="1"/>
          <w:color w:val="auto"/>
        </w:rPr>
        <w:t>Changes in the value of pension assets, or a change in pension law or key assumptions, may adversely affect the Company’s financial performance.</w:t>
      </w:r>
    </w:p>
    <w:p>
      <w:pPr>
        <w:spacing w:after="0" w:line="166"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color w:val="auto"/>
        </w:rPr>
        <w:t>The amount of the Company’s employee pension and post-retirement benefit costs and obligations is calculated on assumptions used in the relevant actuarial calculations. Adverse changes in any of these assumptions due to economic or other factors, changes in discount rates, higher health care costs, or lower actual or expected returns on plan assets, may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adversely affect the Company’s operating results, cash flows, and financial condition. In addition, a change in federal law, including changes to the Employee Retirement Income Security Act or Pension Benefit Guaranty Corporation premiums, may adversely affect the Company’s single-employer and multi-employer pension plans and plan funding. These factors, as well as a decline in the fair value of pension plan assets, may put upward pressure on the cost of providing pension and medical benefits and may increase future pension expense and required funding contributions. There can be no assurance that the Company will be successful in limiting future cost and expense increases, and continued upward pressure in costs and expenses could further reduce the profitability of the Company’s businesses.</w:t>
      </w:r>
    </w:p>
    <w:p>
      <w:pPr>
        <w:spacing w:after="0" w:line="173" w:lineRule="exact"/>
        <w:rPr>
          <w:sz w:val="20"/>
          <w:szCs w:val="20"/>
          <w:color w:val="auto"/>
        </w:rPr>
      </w:pPr>
    </w:p>
    <w:p>
      <w:pPr>
        <w:ind w:left="60" w:right="879"/>
        <w:spacing w:after="0" w:line="347" w:lineRule="auto"/>
        <w:rPr>
          <w:sz w:val="20"/>
          <w:szCs w:val="20"/>
          <w:color w:val="auto"/>
        </w:rPr>
      </w:pPr>
      <w:r>
        <w:rPr>
          <w:rFonts w:ascii="Arial" w:cs="Arial" w:eastAsia="Arial" w:hAnsi="Arial"/>
          <w:sz w:val="16"/>
          <w:szCs w:val="16"/>
          <w:b w:val="1"/>
          <w:bCs w:val="1"/>
          <w:color w:val="auto"/>
        </w:rPr>
        <w:t>The Company may have exposure under its multi-employer pension and post-retirement plans in which it participates that extends beyond its funding obligation with respect to the Company’s employees.</w:t>
      </w:r>
    </w:p>
    <w:p>
      <w:pPr>
        <w:spacing w:after="0" w:line="120"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The Company contributes to various multi-employer pension plans. In the event of a partial or complete withdrawal by the Company from any plan that is underfunded, the Company would be liable for a proportionate share of such plan’s unfunded vested benefits (see Note 11 to the Consolidated Financial Statements in Item 8 of Part II of this Annual Report). Based on the limited information available from plan administrators, which the Company cannot independently validate, the Company believes that its portion of the contingent liability in the case of a full withdrawal or termination may be material to its financial position and results of operations. If any other contributing employer withdraws from any plan that is underfunded, and such employer (or any member of its controlled group) cannot satisfy its obligations under the plan at the time of withdrawal, then the Company, along with the other remaining contributing employers, would be liable for its proportionate share of such plan’s unfunded vested benefits. In addition, if any of the multi-employer plans to which the Company contributes fails to satisfy the minimum funding requirements, the Internal Revenue Service will impose certain penalties and taxes on the Company and other contributing employers.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Legal, Regulatory and Compliance Matters</w:t>
      </w:r>
    </w:p>
    <w:p>
      <w:pPr>
        <w:spacing w:after="0" w:line="221" w:lineRule="exact"/>
        <w:rPr>
          <w:sz w:val="20"/>
          <w:szCs w:val="20"/>
          <w:color w:val="auto"/>
        </w:rPr>
      </w:pPr>
    </w:p>
    <w:p>
      <w:pPr>
        <w:ind w:left="60" w:right="359"/>
        <w:spacing w:after="0" w:line="266" w:lineRule="auto"/>
        <w:rPr>
          <w:sz w:val="20"/>
          <w:szCs w:val="20"/>
          <w:color w:val="auto"/>
        </w:rPr>
      </w:pPr>
      <w:r>
        <w:rPr>
          <w:rFonts w:ascii="Arial" w:cs="Arial" w:eastAsia="Arial" w:hAnsi="Arial"/>
          <w:sz w:val="18"/>
          <w:szCs w:val="18"/>
          <w:b w:val="1"/>
          <w:bCs w:val="1"/>
          <w:color w:val="auto"/>
        </w:rPr>
        <w:t>As an ocean transportation and logistics services company, the Company is subject to numerous safety, environmental, and other laws and regulations that impact the Company’s operations, are costly to comply with and expose us to liability.</w:t>
      </w:r>
    </w:p>
    <w:p>
      <w:pPr>
        <w:spacing w:after="0" w:line="180"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The Company, including its vessels and terminals, is subject to numerous federal, state and local laws and regulations, including those related to safety, cabotage, equipment standards and government rates. In addition, the Company is subject to environmental laws and regulations, including those relating to air quality initiatives at port locations; air emissions; wastewater discharges; the transportation, handling and disposal of solid and hazardous materials, oil and oil-related products, hazardous substances and wastes; the investigation and remediation of contamination; health, safety and the protection of the environment and natural resources; and climate change, including any regulations, mandates or restrictions related to greenhouse gas emissions, such as a “cap and trade” system of allowances and credits, and energy use. For a discussion of specific laws and regulations, see Part I, Item 1, of this Annual Report. Any changes in applicable laws and regulations, including their enforcement or interpretation, as well as any new laws and regulations that are adopted, including as a result of the recent change in U.S. Presidential Administration, could impose significant additional costs and limitations on the Company’s ability to operate. Such costs may not be recoverable through increased payments from customers.</w:t>
      </w:r>
    </w:p>
    <w:p>
      <w:pPr>
        <w:spacing w:after="0" w:line="179"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These laws and regulations require us to obtain certificates of financial responsibility and to adopt procedures for oil and hazardous substance spill prevention, response and clean up, among other requirements impacting the Company’s business. In complying with applicable laws and regulations, the Company has incurred expenses and may incur material future costs and expenses related to vessel and equipment modifications, new equipment, higher-priced fuel, changes in operating practices and procedures, tracking emissions, changing routes, installing scrubbers, adopting or modifying energy sources and undergoing additional oversight inspections, all of which could adversely affect the Company’s business and financial condition. For example, Matson’s vessels operate within emissions control areas, and the Company’s U.S. flagged vessels generally must be maintained “in class” and are subject to periodic inspections by the American Bureau of Shipping or similar classification societies. They also must be periodically inspected by, or on behalf of, the United States Coast Guard. The Company’s vessels’ operating certificates and licenses are renewed periodically during the required annual surveys of the vessels, but there is no assurance that the Company’s programs and policies will be sufficient to have such certificates and licenses renewed. The EPA also requires vessels to obtain coverage under a general permit and to comply with inspection, monitoring, discharge, recordkeeping and reporting requirements.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301" w:lineRule="auto"/>
        <w:rPr>
          <w:sz w:val="20"/>
          <w:szCs w:val="20"/>
          <w:color w:val="auto"/>
        </w:rPr>
      </w:pPr>
      <w:r>
        <w:rPr>
          <w:rFonts w:ascii="Arial" w:cs="Arial" w:eastAsia="Arial" w:hAnsi="Arial"/>
          <w:sz w:val="16"/>
          <w:szCs w:val="16"/>
          <w:color w:val="auto"/>
        </w:rPr>
        <w:t>These laws and regulations provide for substantial fines, as well as criminal and civil penalties, in the event of any violations of, or non-compliance with, their requirements (including any waivers, permits or recordkeeping and other reporting requirements). Any vessel-generated pollution from incidents in U.S. waters within three nautical miles, and in some cases, within the 200-mile exclusive economic zone, for example, could expose us to such fines or penalties.</w:t>
      </w:r>
    </w:p>
    <w:p>
      <w:pPr>
        <w:spacing w:after="0" w:line="153" w:lineRule="exact"/>
        <w:rPr>
          <w:sz w:val="20"/>
          <w:szCs w:val="20"/>
          <w:color w:val="auto"/>
        </w:rPr>
      </w:pPr>
    </w:p>
    <w:p>
      <w:pPr>
        <w:ind w:left="60" w:right="959"/>
        <w:spacing w:after="0" w:line="347" w:lineRule="auto"/>
        <w:rPr>
          <w:sz w:val="20"/>
          <w:szCs w:val="20"/>
          <w:color w:val="auto"/>
        </w:rPr>
      </w:pPr>
      <w:r>
        <w:rPr>
          <w:rFonts w:ascii="Arial" w:cs="Arial" w:eastAsia="Arial" w:hAnsi="Arial"/>
          <w:sz w:val="16"/>
          <w:szCs w:val="16"/>
          <w:b w:val="1"/>
          <w:bCs w:val="1"/>
          <w:color w:val="auto"/>
        </w:rPr>
        <w:t>The Company is subject to, and may in the future be subject to, disputes, legal or other proceedings, and government inquiries or investigations that could have an adverse effect on the Company.</w:t>
      </w:r>
    </w:p>
    <w:p>
      <w:pPr>
        <w:spacing w:after="0" w:line="120" w:lineRule="exact"/>
        <w:rPr>
          <w:sz w:val="20"/>
          <w:szCs w:val="20"/>
          <w:color w:val="auto"/>
        </w:rPr>
      </w:pPr>
    </w:p>
    <w:p>
      <w:pPr>
        <w:ind w:left="60" w:right="179"/>
        <w:spacing w:after="0" w:line="290" w:lineRule="auto"/>
        <w:rPr>
          <w:sz w:val="20"/>
          <w:szCs w:val="20"/>
          <w:color w:val="auto"/>
        </w:rPr>
      </w:pPr>
      <w:r>
        <w:rPr>
          <w:rFonts w:ascii="Arial" w:cs="Arial" w:eastAsia="Arial" w:hAnsi="Arial"/>
          <w:sz w:val="16"/>
          <w:szCs w:val="16"/>
          <w:color w:val="auto"/>
        </w:rPr>
        <w:t>The nature of the Company’s business exposes it to the potential for disputes, legal or other proceedings, and government inquiries or investigations relating to antitrust matters, labor and employment matters, personal injury and property damage, environmental and other matters, as discussed in the other risk factors disclosed in this section or in other Company filings with the SEC. For example, Matson is a common carrier, whose tariffs, rates, rules and practices in dealing with its customers are governed by extensive and complex foreign, federal, state and local regulations, which may be the subject of disputes or administrative or judicial proceedings. If these disputes develop into proceedings, these proceedings, individually or collectively, could involve or result in significant expenditures or losses by the Company, or result in significant changes to Matson’s tariffs, rates, rules and practices in dealing with its customers.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The Company may continue to be exposed to risks and unknown liabilities related to the Horizon acquisition.</w:t>
      </w:r>
    </w:p>
    <w:p>
      <w:pPr>
        <w:spacing w:after="0" w:line="241"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The Company acquired Horizon subject to all of the liabilities and obligations of its non-Hawaii business, including any remaining liabilities and obligations associated with its Puerto Rico operations, which Horizon ceased during the first quarter of 2015. The disposition of these liabilities, and any other obligations that are unknown to the Company, including contingent liabilities, could have an adverse effect on the Company’s financial condition and results of operations.</w:t>
      </w:r>
    </w:p>
    <w:p>
      <w:pPr>
        <w:spacing w:after="0" w:line="157"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Pasha acquired Horizon’s former Hawaii business immediately before the Company acquired Horizon, and Pasha assumed substantially all liabilities and obligations related to Horizon’s Hawaii business and agreed to perform various covenants. In some cases, however, Horizon, as the original contracting party, may remain primarily responsible for such assumed Hawaii liabilities and obligations. The Company may incur losses related to such assumed Hawaii liabilities and obligations.</w:t>
      </w: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Matson leases terminal facilities including office and storage space. Material terminal facilities, which are used by the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Company’s Ocean Transportation segment, include the following locations:</w:t>
      </w:r>
    </w:p>
    <w:p>
      <w:pPr>
        <w:spacing w:after="0" w:line="9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100" w:type="dxa"/>
            <w:vAlign w:val="bottom"/>
            <w:gridSpan w:val="2"/>
          </w:tcPr>
          <w:p>
            <w:pPr>
              <w:spacing w:after="0"/>
              <w:rPr>
                <w:sz w:val="20"/>
                <w:szCs w:val="20"/>
                <w:color w:val="auto"/>
              </w:rPr>
            </w:pPr>
            <w:r>
              <w:rPr>
                <w:rFonts w:ascii="Arial" w:cs="Arial" w:eastAsia="Arial" w:hAnsi="Arial"/>
                <w:sz w:val="14"/>
                <w:szCs w:val="14"/>
                <w:b w:val="1"/>
                <w:bCs w:val="1"/>
                <w:color w:val="auto"/>
              </w:rPr>
              <w:t>Terminal Location</w:t>
            </w:r>
          </w:p>
        </w:tc>
        <w:tc>
          <w:tcPr>
            <w:tcW w:w="1800" w:type="dxa"/>
            <w:vAlign w:val="bottom"/>
            <w:gridSpan w:val="2"/>
          </w:tcPr>
          <w:p>
            <w:pPr>
              <w:ind w:left="560"/>
              <w:spacing w:after="0"/>
              <w:rPr>
                <w:sz w:val="20"/>
                <w:szCs w:val="20"/>
                <w:color w:val="auto"/>
              </w:rPr>
            </w:pPr>
            <w:r>
              <w:rPr>
                <w:rFonts w:ascii="Arial" w:cs="Arial" w:eastAsia="Arial" w:hAnsi="Arial"/>
                <w:sz w:val="14"/>
                <w:szCs w:val="14"/>
                <w:b w:val="1"/>
                <w:bCs w:val="1"/>
                <w:color w:val="auto"/>
              </w:rPr>
              <w:t>Acreage</w:t>
            </w:r>
          </w:p>
        </w:tc>
      </w:tr>
      <w:tr>
        <w:trPr>
          <w:trHeight w:val="209"/>
        </w:trPr>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Honolulu, Hawaii</w:t>
            </w:r>
          </w:p>
        </w:tc>
        <w:tc>
          <w:tcPr>
            <w:tcW w:w="1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Anchorage, Alaska</w:t>
            </w:r>
          </w:p>
        </w:tc>
        <w:tc>
          <w:tcPr>
            <w:tcW w:w="166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Dutch Harbor, Alaska</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Kodiak, Alaska</w:t>
            </w: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Tacoma, Washington</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Polaris Point, Guam</w:t>
            </w:r>
          </w:p>
        </w:tc>
        <w:tc>
          <w:tcPr>
            <w:tcW w:w="166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r>
    </w:tbl>
    <w:p>
      <w:pPr>
        <w:spacing w:after="0" w:line="106"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The Company is currently renewing certain terminal leases which expired during 2020. The Company expects to be able to renew these leases on similar terms to those that existed within the previous lease agreements. The Company’s other primary terminal facilities located at the ports of Oakland and Long Beach, California, and Tacoma, Washington are leased by SSAT.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color w:val="auto"/>
        </w:rPr>
        <w:t>Other material facilities used in the Company’s operations by both of the Company’s segments include the following:</w:t>
      </w:r>
    </w:p>
    <w:p>
      <w:pPr>
        <w:spacing w:after="0" w:line="16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Other Material Facilities</w:t>
            </w:r>
          </w:p>
        </w:tc>
        <w:tc>
          <w:tcPr>
            <w:tcW w:w="2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Description of Facility</w:t>
            </w: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Square Footage</w:t>
            </w:r>
          </w:p>
        </w:tc>
      </w:tr>
      <w:tr>
        <w:trPr>
          <w:trHeight w:val="209"/>
        </w:trPr>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Pooler, Georgia</w:t>
            </w:r>
          </w:p>
        </w:tc>
        <w:tc>
          <w:tcPr>
            <w:tcW w:w="16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Warehouse</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710,844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Oakland, California</w:t>
            </w:r>
          </w:p>
        </w:tc>
        <w:tc>
          <w:tcPr>
            <w:tcW w:w="24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Warehouse</w:t>
            </w:r>
          </w:p>
        </w:tc>
        <w:tc>
          <w:tcPr>
            <w:tcW w:w="1200" w:type="dxa"/>
            <w:vAlign w:val="bottom"/>
          </w:tcPr>
          <w:p>
            <w:pPr>
              <w:jc w:val="right"/>
              <w:spacing w:after="0"/>
              <w:rPr>
                <w:sz w:val="20"/>
                <w:szCs w:val="20"/>
                <w:color w:val="auto"/>
              </w:rPr>
            </w:pPr>
            <w:r>
              <w:rPr>
                <w:rFonts w:ascii="Arial" w:cs="Arial" w:eastAsia="Arial" w:hAnsi="Arial"/>
                <w:sz w:val="18"/>
                <w:szCs w:val="18"/>
                <w:color w:val="auto"/>
              </w:rPr>
              <w:t>406,463</w:t>
            </w:r>
          </w:p>
        </w:tc>
        <w:tc>
          <w:tcPr>
            <w:tcW w:w="8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Pooler, Georgia</w:t>
            </w:r>
          </w:p>
        </w:tc>
        <w:tc>
          <w:tcPr>
            <w:tcW w:w="24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6"/>
              </w:rPr>
              <w:t>Warehouse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324,832</w:t>
            </w:r>
          </w:p>
        </w:tc>
        <w:tc>
          <w:tcPr>
            <w:tcW w:w="8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Oakland, California</w:t>
            </w:r>
          </w:p>
        </w:tc>
        <w:tc>
          <w:tcPr>
            <w:tcW w:w="24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Warehouse</w:t>
            </w:r>
          </w:p>
        </w:tc>
        <w:tc>
          <w:tcPr>
            <w:tcW w:w="1200" w:type="dxa"/>
            <w:vAlign w:val="bottom"/>
          </w:tcPr>
          <w:p>
            <w:pPr>
              <w:jc w:val="right"/>
              <w:spacing w:after="0"/>
              <w:rPr>
                <w:sz w:val="20"/>
                <w:szCs w:val="20"/>
                <w:color w:val="auto"/>
              </w:rPr>
            </w:pPr>
            <w:r>
              <w:rPr>
                <w:rFonts w:ascii="Arial" w:cs="Arial" w:eastAsia="Arial" w:hAnsi="Arial"/>
                <w:sz w:val="18"/>
                <w:szCs w:val="18"/>
                <w:color w:val="auto"/>
              </w:rPr>
              <w:t>132,000</w:t>
            </w:r>
          </w:p>
        </w:tc>
        <w:tc>
          <w:tcPr>
            <w:tcW w:w="8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Piti, Guam</w:t>
            </w:r>
          </w:p>
        </w:tc>
        <w:tc>
          <w:tcPr>
            <w:tcW w:w="24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6"/>
              </w:rPr>
              <w:t>Warehouse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62,478</w:t>
            </w:r>
          </w:p>
        </w:tc>
        <w:tc>
          <w:tcPr>
            <w:tcW w:w="8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Anchorage, Alaska</w:t>
            </w:r>
          </w:p>
        </w:tc>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Office / Cross-dock</w:t>
            </w:r>
          </w:p>
        </w:tc>
        <w:tc>
          <w:tcPr>
            <w:tcW w:w="1200" w:type="dxa"/>
            <w:vAlign w:val="bottom"/>
          </w:tcPr>
          <w:p>
            <w:pPr>
              <w:jc w:val="right"/>
              <w:spacing w:after="0"/>
              <w:rPr>
                <w:sz w:val="20"/>
                <w:szCs w:val="20"/>
                <w:color w:val="auto"/>
              </w:rPr>
            </w:pPr>
            <w:r>
              <w:rPr>
                <w:rFonts w:ascii="Arial" w:cs="Arial" w:eastAsia="Arial" w:hAnsi="Arial"/>
                <w:sz w:val="18"/>
                <w:szCs w:val="18"/>
                <w:color w:val="auto"/>
              </w:rPr>
              <w:t>54,000</w:t>
            </w:r>
          </w:p>
        </w:tc>
        <w:tc>
          <w:tcPr>
            <w:tcW w:w="8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Auburn, Washington</w:t>
            </w:r>
          </w:p>
        </w:tc>
        <w:tc>
          <w:tcPr>
            <w:tcW w:w="2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Office / Cross-dock</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51,250</w:t>
            </w: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60" w:right="239"/>
        <w:spacing w:after="0" w:line="286"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The Company’s Ocean Transportation segment has certain risks that could result in expenditures</w:t>
      </w:r>
      <w:r>
        <w:rPr>
          <w:rFonts w:ascii="Arial" w:cs="Arial" w:eastAsia="Arial" w:hAnsi="Arial"/>
          <w:sz w:val="17"/>
          <w:szCs w:val="17"/>
          <w:i w:val="1"/>
          <w:iCs w:val="1"/>
          <w:color w:val="auto"/>
        </w:rPr>
        <w:t xml:space="preserve"> </w:t>
      </w:r>
      <w:r>
        <w:rPr>
          <w:rFonts w:ascii="Arial" w:cs="Arial" w:eastAsia="Arial" w:hAnsi="Arial"/>
          <w:sz w:val="17"/>
          <w:szCs w:val="17"/>
          <w:color w:val="auto"/>
        </w:rPr>
        <w:t>for environmental remediation. The Company believes that based on all information available to it, the Company is currently in compliance, in all material respects, with applicable environmental laws and regulations.</w:t>
      </w:r>
    </w:p>
    <w:p>
      <w:pPr>
        <w:spacing w:after="0" w:line="165"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In accordance with SEC rules, with respect to administrative or judicial proceedings involving the environment, the Company has determined that in future filings it will disclose any such proceeding if it reasonably believes such proceeding will result in monetary sanctions, exclusive of interest and costs, at or in excess of $1 million. The Company believes that such threshold is reasonably designed to result in disclosure of environmental proceedings that are material to its business or financial condition.</w:t>
      </w:r>
    </w:p>
    <w:p>
      <w:pPr>
        <w:spacing w:after="0" w:line="188"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17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left="60" w:right="679"/>
        <w:spacing w:after="0" w:line="308" w:lineRule="auto"/>
        <w:rPr>
          <w:sz w:val="20"/>
          <w:szCs w:val="20"/>
          <w:color w:val="auto"/>
        </w:rPr>
      </w:pPr>
      <w:r>
        <w:rPr>
          <w:rFonts w:ascii="Arial" w:cs="Arial" w:eastAsia="Arial" w:hAnsi="Arial"/>
          <w:sz w:val="17"/>
          <w:szCs w:val="17"/>
          <w:i w:val="1"/>
          <w:iCs w:val="1"/>
          <w:color w:val="auto"/>
        </w:rPr>
        <w:t xml:space="preserve">General Information: </w:t>
      </w:r>
      <w:r>
        <w:rPr>
          <w:rFonts w:ascii="Arial" w:cs="Arial" w:eastAsia="Arial" w:hAnsi="Arial"/>
          <w:sz w:val="17"/>
          <w:szCs w:val="17"/>
          <w:color w:val="auto"/>
        </w:rPr>
        <w:t>Matson’s common stock is traded on the New York Stock Exchange under the ticker symbol</w:t>
      </w:r>
      <w:r>
        <w:rPr>
          <w:rFonts w:ascii="Arial" w:cs="Arial" w:eastAsia="Arial" w:hAnsi="Arial"/>
          <w:sz w:val="17"/>
          <w:szCs w:val="17"/>
          <w:i w:val="1"/>
          <w:iCs w:val="1"/>
          <w:color w:val="auto"/>
        </w:rPr>
        <w:t xml:space="preserve"> </w:t>
      </w:r>
      <w:r>
        <w:rPr>
          <w:rFonts w:ascii="Arial" w:cs="Arial" w:eastAsia="Arial" w:hAnsi="Arial"/>
          <w:sz w:val="17"/>
          <w:szCs w:val="17"/>
          <w:color w:val="auto"/>
        </w:rPr>
        <w:t>“MATX”. As of February 19, 2021, there were 2,103 shareholders of record of Matson common stock.</w:t>
      </w:r>
    </w:p>
    <w:p>
      <w:pPr>
        <w:spacing w:after="0" w:line="146" w:lineRule="exact"/>
        <w:rPr>
          <w:sz w:val="20"/>
          <w:szCs w:val="20"/>
          <w:color w:val="auto"/>
        </w:rPr>
      </w:pPr>
    </w:p>
    <w:p>
      <w:pPr>
        <w:jc w:val="both"/>
        <w:ind w:left="60" w:right="299"/>
        <w:spacing w:after="0" w:line="263" w:lineRule="auto"/>
        <w:rPr>
          <w:sz w:val="20"/>
          <w:szCs w:val="20"/>
          <w:color w:val="auto"/>
        </w:rPr>
      </w:pPr>
      <w:r>
        <w:rPr>
          <w:rFonts w:ascii="Arial" w:cs="Arial" w:eastAsia="Arial" w:hAnsi="Arial"/>
          <w:sz w:val="18"/>
          <w:szCs w:val="18"/>
          <w:i w:val="1"/>
          <w:iCs w:val="1"/>
          <w:color w:val="auto"/>
        </w:rPr>
        <w:t xml:space="preserve">Stockholder Return Performance Graph and Trading Information: </w:t>
      </w:r>
      <w:r>
        <w:rPr>
          <w:rFonts w:ascii="Arial" w:cs="Arial" w:eastAsia="Arial" w:hAnsi="Arial"/>
          <w:sz w:val="18"/>
          <w:szCs w:val="18"/>
          <w:color w:val="auto"/>
        </w:rPr>
        <w:t>The following information in this Item 5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filed for purposes of Section 18 of the Securities Exchange Act of 1934, nor shall it be deemed incorporated by reference in any filing under the Securities Act of 1933.</w:t>
      </w:r>
    </w:p>
    <w:p>
      <w:pPr>
        <w:spacing w:after="0" w:line="184"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The cumulative total return listed below assumed an initial investment of $100 and reinvestment of dividends at each fiscal end and measures the performance of this investment as of the last trading day in the month of December for each of the five years ended December 31, 2020. The graph is a historical representation of past performance only and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-8890</wp:posOffset>
            </wp:positionV>
            <wp:extent cx="5572125" cy="45434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72125" cy="454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80" w:hanging="330"/>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$100 invested on December 31, 2015 in stock or index, including reinvestment of dividends.</w:t>
      </w:r>
    </w:p>
    <w:p>
      <w:pPr>
        <w:spacing w:after="0" w:line="225"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Trading volume averaged 234,930 shares a day in 2020, compared with 155,804 shares a day in 2019 and 232,289 shares a day in 2018, as reported by the New York Stock Exchange.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Dividends declared per share of common stock by the Company for each fiscal quarter during 2019 and 2020</w:t>
      </w:r>
      <w:r>
        <w:rPr>
          <w:rFonts w:ascii="Arial" w:cs="Arial" w:eastAsia="Arial" w:hAnsi="Arial"/>
          <w:sz w:val="18"/>
          <w:szCs w:val="18"/>
          <w:i w:val="1"/>
          <w:iCs w:val="1"/>
          <w:color w:val="auto"/>
        </w:rPr>
        <w:t xml:space="preserve"> </w:t>
      </w:r>
      <w:r>
        <w:rPr>
          <w:rFonts w:ascii="Arial" w:cs="Arial" w:eastAsia="Arial" w:hAnsi="Arial"/>
          <w:sz w:val="18"/>
          <w:szCs w:val="18"/>
          <w:color w:val="auto"/>
        </w:rPr>
        <w:t>were as follows:</w:t>
      </w:r>
    </w:p>
    <w:tbl>
      <w:tblPr>
        <w:tblLayout w:type="fixed"/>
        <w:tblInd w:w="40" w:type="dxa"/>
        <w:tblCellMar>
          <w:top w:w="0" w:type="dxa"/>
          <w:left w:w="0" w:type="dxa"/>
          <w:bottom w:w="0" w:type="dxa"/>
          <w:right w:w="0" w:type="dxa"/>
        </w:tblCellMar>
      </w:tblPr>
      <w:tr>
        <w:trPr>
          <w:trHeight w:val="141"/>
        </w:trPr>
        <w:tc>
          <w:tcPr>
            <w:tcW w:w="7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174"/>
              <w:spacing w:after="0" w:line="141" w:lineRule="exact"/>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171"/>
        </w:trPr>
        <w:tc>
          <w:tcPr>
            <w:tcW w:w="74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746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2"/>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746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Matson’s Board of Directors also declared a cash dividend of $0.23 per share for the first quarter 2021, payable on March 4, 2021 to shareholders of record on February 11, 2021. Although Matson expects to continue paying quarterly cash dividends on its common stock, the declaration and payment of dividends are subject to the discretion of the Board of Directors and will depend upon Matson’s financial condition, results of operations, cash requirements and other factors deemed relevant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SELECTED FINANCIAL DATA</w:t>
      </w:r>
    </w:p>
    <w:p>
      <w:pPr>
        <w:spacing w:after="0" w:line="148"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The comparative selected financial data of the Company is presented for each of the five years in the period ended December 31, 2020. The information should be read in conjunction with Item 8, “Financial Statements and Supplementary Data,” and Item 7, “Management’s Discussion and Analysis of Financial Condition and Results of Operations”. All fiscal years include 52 weeks, except for the year ended December 31, 2016 which includes 53 weeks:</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9"/>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9"/>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Operating Revenue: (1)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200"/>
              <w:spacing w:after="0"/>
              <w:rPr>
                <w:sz w:val="20"/>
                <w:szCs w:val="20"/>
                <w:color w:val="auto"/>
              </w:rPr>
            </w:pPr>
            <w:r>
              <w:rPr>
                <w:rFonts w:ascii="Arial" w:cs="Arial" w:eastAsia="Arial" w:hAnsi="Arial"/>
                <w:sz w:val="16"/>
                <w:szCs w:val="16"/>
                <w:color w:val="auto"/>
              </w:rPr>
              <w:t>Ocean Transportation</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1,853.9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1,666.6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1,641.3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1,571.8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1,541.1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Logistics</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529.4</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536.5</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581.5</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475.1</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Operating Revenue</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2,383.3</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2,203.1</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2,222.8</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2,046.9</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1,941.6</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6"/>
                <w:szCs w:val="16"/>
                <w:color w:val="auto"/>
              </w:rPr>
              <w:t>Operating and Net Income: (1)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Ocean Transportation (2)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Logistics</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Income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income (expense), net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259.0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107.8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147.7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 taxes (3)</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0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193.1</w:t>
            </w:r>
          </w:p>
        </w:tc>
        <w:tc>
          <w:tcPr>
            <w:tcW w:w="16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w:t>
            </w:r>
          </w:p>
        </w:tc>
        <w:tc>
          <w:tcPr>
            <w:tcW w:w="16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231.0</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7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6"/>
                <w:szCs w:val="16"/>
                <w:color w:val="auto"/>
              </w:rPr>
              <w:t>Identifiable Assets: (1)(6)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Ocean Transportation (4)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2,431.1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2,424.5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2,071.6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1,941.5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1,726.3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Logistics</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469.5</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420.9</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358.8</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293.3</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2,900.6</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2,845.4</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2,430.4</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2,251.6</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2,019.6</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Capital Expenditure: (5)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200"/>
              <w:spacing w:after="0"/>
              <w:rPr>
                <w:sz w:val="20"/>
                <w:szCs w:val="20"/>
                <w:color w:val="auto"/>
              </w:rPr>
            </w:pPr>
            <w:r>
              <w:rPr>
                <w:rFonts w:ascii="Arial" w:cs="Arial" w:eastAsia="Arial" w:hAnsi="Arial"/>
                <w:sz w:val="16"/>
                <w:szCs w:val="16"/>
                <w:color w:val="auto"/>
              </w:rPr>
              <w:t>Ocean Transportation</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190.0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294.5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385.4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305.3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179.1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Logistics</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00" w:type="dxa"/>
            <w:vAlign w:val="bottom"/>
            <w:gridSpan w:val="2"/>
          </w:tcPr>
          <w:p>
            <w:pPr>
              <w:spacing w:after="0"/>
              <w:rPr>
                <w:sz w:val="20"/>
                <w:szCs w:val="20"/>
                <w:color w:val="auto"/>
              </w:rPr>
            </w:pPr>
            <w:r>
              <w:rPr>
                <w:rFonts w:ascii="Arial" w:cs="Arial" w:eastAsia="Arial" w:hAnsi="Arial"/>
                <w:sz w:val="16"/>
                <w:szCs w:val="16"/>
                <w:color w:val="auto"/>
              </w:rPr>
              <w:t>Total Capital Expenditures</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w:t>
            </w:r>
          </w:p>
        </w:tc>
        <w:tc>
          <w:tcPr>
            <w:tcW w:w="16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310.3</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401.2</w:t>
            </w:r>
          </w:p>
        </w:tc>
        <w:tc>
          <w:tcPr>
            <w:tcW w:w="16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307.0</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7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Ocean Transportation</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Logistics</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Deferred Dry-docking Amortization — Ocean Transportation</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Depreciation and Amortization</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147.4</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in Net Income: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200"/>
              <w:spacing w:after="0"/>
              <w:rPr>
                <w:sz w:val="20"/>
                <w:szCs w:val="20"/>
                <w:color w:val="auto"/>
              </w:rPr>
            </w:pPr>
            <w:r>
              <w:rPr>
                <w:rFonts w:ascii="Arial" w:cs="Arial" w:eastAsia="Arial" w:hAnsi="Arial"/>
                <w:sz w:val="16"/>
                <w:szCs w:val="16"/>
                <w:color w:val="auto"/>
              </w:rPr>
              <w:t>Basic</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4.48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1.93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2.55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5.38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Diluted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per share declared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As of December 31: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200"/>
              <w:spacing w:after="0"/>
              <w:rPr>
                <w:sz w:val="20"/>
                <w:szCs w:val="20"/>
                <w:color w:val="auto"/>
              </w:rPr>
            </w:pPr>
            <w:r>
              <w:rPr>
                <w:rFonts w:ascii="Arial" w:cs="Arial" w:eastAsia="Arial" w:hAnsi="Arial"/>
                <w:sz w:val="16"/>
                <w:szCs w:val="16"/>
                <w:color w:val="auto"/>
              </w:rPr>
              <w:t>Total debt obligations — including current portion</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744.8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958.4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856.4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857.1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738.9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Shareholders' equity</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80" w:type="dxa"/>
            <w:vAlign w:val="bottom"/>
          </w:tcPr>
          <w:p>
            <w:pPr>
              <w:ind w:left="200"/>
              <w:spacing w:after="0"/>
              <w:rPr>
                <w:sz w:val="20"/>
                <w:szCs w:val="20"/>
                <w:color w:val="auto"/>
              </w:rPr>
            </w:pPr>
            <w:r>
              <w:rPr>
                <w:rFonts w:ascii="Arial" w:cs="Arial" w:eastAsia="Arial" w:hAnsi="Arial"/>
                <w:sz w:val="16"/>
                <w:szCs w:val="16"/>
                <w:color w:val="auto"/>
              </w:rPr>
              <w:t>Shares outstanding</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66040</wp:posOffset>
            </wp:positionV>
            <wp:extent cx="14141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5" w:lineRule="exact"/>
        <w:rPr>
          <w:sz w:val="20"/>
          <w:szCs w:val="20"/>
          <w:color w:val="auto"/>
        </w:rPr>
      </w:pPr>
    </w:p>
    <w:p>
      <w:pPr>
        <w:ind w:left="380" w:hanging="330"/>
        <w:spacing w:after="0"/>
        <w:tabs>
          <w:tab w:leader="none" w:pos="380" w:val="left"/>
        </w:tabs>
        <w:numPr>
          <w:ilvl w:val="0"/>
          <w:numId w:val="16"/>
        </w:numPr>
        <w:rPr>
          <w:rFonts w:ascii="Arial" w:cs="Arial" w:eastAsia="Arial" w:hAnsi="Arial"/>
          <w:sz w:val="14"/>
          <w:szCs w:val="14"/>
          <w:color w:val="auto"/>
        </w:rPr>
      </w:pPr>
      <w:r>
        <w:rPr>
          <w:rFonts w:ascii="Arial" w:cs="Arial" w:eastAsia="Arial" w:hAnsi="Arial"/>
          <w:sz w:val="13"/>
          <w:szCs w:val="13"/>
          <w:color w:val="auto"/>
        </w:rPr>
        <w:t>2016 and subsequent selected financial data includes the operation of Span Alaska acquired as of August 4, 2016.</w:t>
      </w:r>
    </w:p>
    <w:p>
      <w:pPr>
        <w:ind w:left="380" w:right="479" w:hanging="330"/>
        <w:spacing w:after="0" w:line="208" w:lineRule="auto"/>
        <w:tabs>
          <w:tab w:leader="none" w:pos="380" w:val="left"/>
        </w:tabs>
        <w:numPr>
          <w:ilvl w:val="0"/>
          <w:numId w:val="16"/>
        </w:numPr>
        <w:rPr>
          <w:rFonts w:ascii="Arial" w:cs="Arial" w:eastAsia="Arial" w:hAnsi="Arial"/>
          <w:sz w:val="14"/>
          <w:szCs w:val="14"/>
          <w:color w:val="auto"/>
        </w:rPr>
      </w:pPr>
      <w:r>
        <w:rPr>
          <w:rFonts w:ascii="Arial" w:cs="Arial" w:eastAsia="Arial" w:hAnsi="Arial"/>
          <w:sz w:val="13"/>
          <w:szCs w:val="13"/>
          <w:color w:val="auto"/>
        </w:rPr>
        <w:t>The Ocean Transportation segment includes $26.3 million, $20.8 million, $36.8 million, $28.2 million and $15.8 million of equity in income from the Company’s investment in SSAT, for 2020, 2019, 2018, 2017 and 2016, respectively.</w:t>
      </w:r>
    </w:p>
    <w:p>
      <w:pPr>
        <w:jc w:val="both"/>
        <w:ind w:left="380" w:right="99" w:hanging="330"/>
        <w:spacing w:after="0" w:line="211" w:lineRule="auto"/>
        <w:tabs>
          <w:tab w:leader="none" w:pos="380" w:val="left"/>
        </w:tabs>
        <w:numPr>
          <w:ilvl w:val="0"/>
          <w:numId w:val="16"/>
        </w:numPr>
        <w:rPr>
          <w:rFonts w:ascii="Arial" w:cs="Arial" w:eastAsia="Arial" w:hAnsi="Arial"/>
          <w:sz w:val="14"/>
          <w:szCs w:val="14"/>
          <w:color w:val="auto"/>
        </w:rPr>
      </w:pPr>
      <w:r>
        <w:rPr>
          <w:rFonts w:ascii="Arial" w:cs="Arial" w:eastAsia="Arial" w:hAnsi="Arial"/>
          <w:sz w:val="13"/>
          <w:szCs w:val="13"/>
          <w:color w:val="auto"/>
        </w:rPr>
        <w:t>Income taxes for the years ended December 31, 2019, 2018 and 2017 include a non-cash income tax (expense)/benefit of $2.9 million, $(2.9) million and $154.0 million, respectively, related to the remeasurement of the Company’s deferred assets and liabilities and other discrete adjustments as a result of applying the Tax Cut and Jobs Act of 2017.</w:t>
      </w:r>
    </w:p>
    <w:p>
      <w:pPr>
        <w:ind w:left="380" w:right="99" w:hanging="330"/>
        <w:spacing w:after="0" w:line="208" w:lineRule="auto"/>
        <w:tabs>
          <w:tab w:leader="none" w:pos="380" w:val="left"/>
        </w:tabs>
        <w:numPr>
          <w:ilvl w:val="0"/>
          <w:numId w:val="16"/>
        </w:numPr>
        <w:rPr>
          <w:rFonts w:ascii="Arial" w:cs="Arial" w:eastAsia="Arial" w:hAnsi="Arial"/>
          <w:sz w:val="14"/>
          <w:szCs w:val="14"/>
          <w:color w:val="auto"/>
        </w:rPr>
      </w:pPr>
      <w:r>
        <w:rPr>
          <w:rFonts w:ascii="Arial" w:cs="Arial" w:eastAsia="Arial" w:hAnsi="Arial"/>
          <w:sz w:val="13"/>
          <w:szCs w:val="13"/>
          <w:color w:val="auto"/>
        </w:rPr>
        <w:t>The Ocean Transportation segment includes $48.7 million, $76.2 million, $87.0 million, $93.2 million and $82.4 million related to the Company’s investment in SSAT as of December 31, 2020, 2019, 2018, 2017 and 2016, respectively.</w:t>
      </w:r>
    </w:p>
    <w:p>
      <w:pPr>
        <w:ind w:left="380" w:right="379" w:hanging="330"/>
        <w:spacing w:after="0" w:line="208" w:lineRule="auto"/>
        <w:tabs>
          <w:tab w:leader="none" w:pos="380" w:val="left"/>
        </w:tabs>
        <w:numPr>
          <w:ilvl w:val="0"/>
          <w:numId w:val="16"/>
        </w:numPr>
        <w:rPr>
          <w:rFonts w:ascii="Arial" w:cs="Arial" w:eastAsia="Arial" w:hAnsi="Arial"/>
          <w:sz w:val="14"/>
          <w:szCs w:val="14"/>
          <w:color w:val="auto"/>
        </w:rPr>
      </w:pPr>
      <w:r>
        <w:rPr>
          <w:rFonts w:ascii="Arial" w:cs="Arial" w:eastAsia="Arial" w:hAnsi="Arial"/>
          <w:sz w:val="13"/>
          <w:szCs w:val="13"/>
          <w:color w:val="auto"/>
        </w:rPr>
        <w:t>Excludes expenditures related to Matson’s acquisition of Span Alaska which were classified as payments for acquisitions in Cash Flows used in Investing Activities within the Consolidated Statements of Cash Flows.</w:t>
      </w:r>
    </w:p>
    <w:p>
      <w:pPr>
        <w:ind w:left="380" w:hanging="330"/>
        <w:spacing w:after="0"/>
        <w:tabs>
          <w:tab w:leader="none" w:pos="380" w:val="left"/>
        </w:tabs>
        <w:numPr>
          <w:ilvl w:val="0"/>
          <w:numId w:val="16"/>
        </w:numPr>
        <w:rPr>
          <w:rFonts w:ascii="Arial" w:cs="Arial" w:eastAsia="Arial" w:hAnsi="Arial"/>
          <w:sz w:val="13"/>
          <w:szCs w:val="13"/>
          <w:color w:val="auto"/>
        </w:rPr>
      </w:pPr>
      <w:r>
        <w:rPr>
          <w:rFonts w:ascii="Arial" w:cs="Arial" w:eastAsia="Arial" w:hAnsi="Arial"/>
          <w:sz w:val="12"/>
          <w:szCs w:val="12"/>
          <w:color w:val="auto"/>
        </w:rPr>
        <w:t>Identifiable assets for 2020 and 2019 includes Operating lease right of use assets resulting from the adoption of the lease accounting standard in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229" w:lineRule="exact"/>
        <w:rPr>
          <w:sz w:val="20"/>
          <w:szCs w:val="20"/>
          <w:color w:val="auto"/>
        </w:rPr>
      </w:pPr>
    </w:p>
    <w:p>
      <w:pPr>
        <w:ind w:left="60" w:right="79"/>
        <w:spacing w:after="0" w:line="267" w:lineRule="auto"/>
        <w:rPr>
          <w:sz w:val="20"/>
          <w:szCs w:val="20"/>
          <w:color w:val="auto"/>
        </w:rPr>
      </w:pPr>
      <w:r>
        <w:rPr>
          <w:rFonts w:ascii="Arial" w:cs="Arial" w:eastAsia="Arial" w:hAnsi="Arial"/>
          <w:sz w:val="17"/>
          <w:szCs w:val="17"/>
          <w:color w:val="auto"/>
        </w:rPr>
        <w:t>The Company, from time to time, may make or may have made certain forward-looking statements, whether orally or in writing, such as forecasts and projections of the Company’s future performance or statements of management’s plans and objectives. These statements are “forward-looking” statements as that term is defined in the Private Securities Litigation Reform Act of 1995. Such forward-looking statements may be contained in, among other things, SEC filings such as Forms 10-K, 10-Q and 8-K, the Annual Report to Shareholders, press releases made by the Company, the Company’s Internet websites (including websites of its subsidiaries), and oral statements made by the officers of the Company. Except for historical information contained in these written or oral communications, such communications contain forward-looking statements. These include, for example, all references to 2021 or future years. New risk factors emerge from time to time and it is not possible for the Company to predict all such risk factors, nor can it assess the impact of all such risk factors on the Company’s business or the extent to which any factor, or combination of factors, may cause actual results to differ materially from those contained in any forward-looking statements. Accordingly, forward-looking statements cannot be relied upon as a guarantee of future results and involve a number of risks and uncertainties that could cause actual results to differ materially from those projected in the statements, including but not limited to the factors that are described in Part I, Item 1A under the caption of “Risk Factors” of this Form 10-K, which section is incorporated herein by reference. The Company is not required, and undertakes no obligation, to revise or update forward-looking statements or any factors that may affect actual results, whether as a result of new information, future events, or circumstances occurring after the date of this report.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59"/>
        <w:spacing w:after="0" w:line="288" w:lineRule="auto"/>
        <w:rPr>
          <w:rFonts w:ascii="Arial" w:cs="Arial" w:eastAsia="Arial" w:hAnsi="Arial"/>
          <w:sz w:val="16"/>
          <w:szCs w:val="16"/>
          <w:color w:val="0000EE"/>
        </w:rPr>
      </w:pPr>
      <w:r>
        <w:rPr>
          <w:rFonts w:ascii="Arial" w:cs="Arial" w:eastAsia="Arial" w:hAnsi="Arial"/>
          <w:sz w:val="16"/>
          <w:szCs w:val="16"/>
          <w:color w:val="auto"/>
        </w:rPr>
        <w:t xml:space="preserve">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Consolidated Financial Statements from year to year, the primary factors that accounted for those changes, and how certain accounting principles, policies and estimates affect the Company’s Consolidated Financial Statements. MD&amp;A is provided as a supplement to, and should be read in conjunction with the Consolidated Financial Statements and the accompanying notes to the Consolidated Financial Statements in Item 8 of Part II below. Discussion and analysis of the financial condition and results of operations of Matson for the years ended </w:t>
      </w:r>
      <w:hyperlink r:id="rId68">
        <w:r>
          <w:rPr>
            <w:rFonts w:ascii="Arial" w:cs="Arial" w:eastAsia="Arial" w:hAnsi="Arial"/>
            <w:sz w:val="16"/>
            <w:szCs w:val="16"/>
            <w:color w:val="auto"/>
          </w:rPr>
          <w:t xml:space="preserve">December 31, 2019 and 2018 can be found in Part II, Item 7 of the Company’s </w:t>
        </w:r>
        <w:r>
          <w:rPr>
            <w:rFonts w:ascii="Arial" w:cs="Arial" w:eastAsia="Arial" w:hAnsi="Arial"/>
            <w:sz w:val="16"/>
            <w:szCs w:val="16"/>
            <w:u w:val="single" w:color="auto"/>
            <w:color w:val="0000EE"/>
          </w:rPr>
          <w:t>Annual Report on Form 10-K for the year</w:t>
        </w:r>
      </w:hyperlink>
      <w:r>
        <w:rPr>
          <w:rFonts w:ascii="Arial" w:cs="Arial" w:eastAsia="Arial" w:hAnsi="Arial"/>
          <w:sz w:val="16"/>
          <w:szCs w:val="16"/>
          <w:color w:val="auto"/>
        </w:rPr>
        <w:t xml:space="preserve"> </w:t>
      </w:r>
      <w:hyperlink r:id="rId68">
        <w:r>
          <w:rPr>
            <w:rFonts w:ascii="Arial" w:cs="Arial" w:eastAsia="Arial" w:hAnsi="Arial"/>
            <w:sz w:val="16"/>
            <w:szCs w:val="16"/>
            <w:u w:val="single" w:color="auto"/>
            <w:color w:val="0000EE"/>
          </w:rPr>
          <w:t>ended December 31, 2019</w:t>
        </w:r>
        <w:r>
          <w:rPr>
            <w:rFonts w:ascii="Arial" w:cs="Arial" w:eastAsia="Arial" w:hAnsi="Arial"/>
            <w:sz w:val="16"/>
            <w:szCs w:val="16"/>
            <w:color w:val="000000"/>
          </w:rPr>
          <w:t>, filed with the SEC on February 28, 2020.</w:t>
        </w:r>
      </w:hyperlink>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MD&amp;A is presented in the following sections:</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Fourth Quarter 2020 Discussion and Update on Business Conditions</w:t>
      </w:r>
    </w:p>
    <w:p>
      <w:pPr>
        <w:ind w:left="400"/>
        <w:spacing w:after="0"/>
        <w:rPr>
          <w:sz w:val="20"/>
          <w:szCs w:val="20"/>
          <w:color w:val="auto"/>
        </w:rPr>
      </w:pPr>
      <w:r>
        <w:rPr>
          <w:rFonts w:ascii="Arial" w:cs="Arial" w:eastAsia="Arial" w:hAnsi="Arial"/>
          <w:sz w:val="18"/>
          <w:szCs w:val="18"/>
          <w:color w:val="auto"/>
        </w:rPr>
        <w:t>Consolidated Results of Operations</w:t>
      </w:r>
    </w:p>
    <w:p>
      <w:pPr>
        <w:spacing w:after="0" w:line="63" w:lineRule="exact"/>
        <w:rPr>
          <w:sz w:val="20"/>
          <w:szCs w:val="20"/>
          <w:color w:val="auto"/>
        </w:rPr>
      </w:pPr>
    </w:p>
    <w:p>
      <w:pPr>
        <w:ind w:left="720" w:right="4239"/>
        <w:spacing w:after="0" w:line="250" w:lineRule="auto"/>
        <w:rPr>
          <w:sz w:val="20"/>
          <w:szCs w:val="20"/>
          <w:color w:val="auto"/>
        </w:rPr>
      </w:pPr>
      <w:r>
        <w:rPr>
          <w:rFonts w:ascii="Arial" w:cs="Arial" w:eastAsia="Arial" w:hAnsi="Arial"/>
          <w:sz w:val="18"/>
          <w:szCs w:val="18"/>
          <w:color w:val="auto"/>
        </w:rPr>
        <w:t>Analysis of Operating Revenue and Income by Segment Liquidity and Capital Resources</w:t>
      </w:r>
    </w:p>
    <w:p>
      <w:pPr>
        <w:ind w:left="720" w:right="1599"/>
        <w:spacing w:after="0" w:line="250" w:lineRule="auto"/>
        <w:rPr>
          <w:sz w:val="20"/>
          <w:szCs w:val="20"/>
          <w:color w:val="auto"/>
        </w:rPr>
      </w:pPr>
      <w:r>
        <w:rPr>
          <w:rFonts w:ascii="Arial" w:cs="Arial" w:eastAsia="Arial" w:hAnsi="Arial"/>
          <w:sz w:val="18"/>
          <w:szCs w:val="18"/>
          <w:color w:val="auto"/>
        </w:rPr>
        <w:t>Contractual Obligations, Commitments, Contingencies and Off-Balance Sheet Arrangements Critical Accounting Estimates</w:t>
      </w:r>
    </w:p>
    <w:p>
      <w:pPr>
        <w:ind w:left="400"/>
        <w:spacing w:after="0" w:line="187" w:lineRule="auto"/>
        <w:rPr>
          <w:sz w:val="20"/>
          <w:szCs w:val="20"/>
          <w:color w:val="auto"/>
        </w:rPr>
      </w:pPr>
      <w:r>
        <w:rPr>
          <w:rFonts w:ascii="Arial" w:cs="Arial" w:eastAsia="Arial" w:hAnsi="Arial"/>
          <w:sz w:val="18"/>
          <w:szCs w:val="18"/>
          <w:color w:val="auto"/>
        </w:rPr>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Fourth Quarter 2020 Discussion and Update on Business Conditions</w:t>
      </w:r>
    </w:p>
    <w:p>
      <w:pPr>
        <w:spacing w:after="0" w:line="229" w:lineRule="exact"/>
        <w:rPr>
          <w:sz w:val="20"/>
          <w:szCs w:val="20"/>
          <w:color w:val="auto"/>
        </w:rPr>
      </w:pPr>
    </w:p>
    <w:p>
      <w:pPr>
        <w:ind w:left="60" w:right="159"/>
        <w:spacing w:after="0" w:line="293" w:lineRule="auto"/>
        <w:rPr>
          <w:sz w:val="20"/>
          <w:szCs w:val="20"/>
          <w:color w:val="auto"/>
        </w:rPr>
      </w:pPr>
      <w:r>
        <w:rPr>
          <w:rFonts w:ascii="Arial" w:cs="Arial" w:eastAsia="Arial" w:hAnsi="Arial"/>
          <w:sz w:val="16"/>
          <w:szCs w:val="16"/>
          <w:i w:val="1"/>
          <w:iCs w:val="1"/>
          <w:color w:val="auto"/>
        </w:rPr>
        <w:t xml:space="preserve">Ocean Transportation: </w:t>
      </w:r>
      <w:r>
        <w:rPr>
          <w:rFonts w:ascii="Arial" w:cs="Arial" w:eastAsia="Arial" w:hAnsi="Arial"/>
          <w:sz w:val="16"/>
          <w:szCs w:val="16"/>
          <w:color w:val="auto"/>
        </w:rPr>
        <w:t>The Company’s container volume in the Hawaii service in the fourth quarter 2020 was 0.8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higher year-over-year primarily due to an additional westbound sailing and higher demand for sustenance and home improvement goods, partially offset by lower tourism activity as a result of the pandemic. The State of Hawaii eased visitor travel restrictions to the islands in October and saw an improvement in the daily passenger counts, but tourism activity remained significantly below the levels achieved in the prior year period. Tourism levels are expected to remain low until the pandemic subsides and to have a meaningfully negative impact on Hawaii’s economy.</w:t>
      </w:r>
    </w:p>
    <w:p>
      <w:pPr>
        <w:spacing w:after="0" w:line="164"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In China, the Company’s container volume in the fourth quarter 2020 was 139.1 percent higher year-over-year due to volume from the CLX+ service in addition to higher volume on the CLX service as a result of our increased capacity in the tradelane. Matson continued to realize a rate premium in the fourth quarter 2020 and achieved average freight rates that were higher than in the year ago period. The Company expects elevated consumption of e-commerce and other commodities coupled with other supply and demand factors in the tradelane to largely remain favorable in the first half of 2021 as the pandemic persists. As the pandemic subsides with widespread vaccination, we expect some of the supply and demand factors that we are currently benefitting from to remain and continue to drive demand for our CLX and CLX+ services.</w:t>
      </w:r>
    </w:p>
    <w:p>
      <w:pPr>
        <w:spacing w:after="0" w:line="192" w:lineRule="exact"/>
        <w:rPr>
          <w:sz w:val="20"/>
          <w:szCs w:val="20"/>
          <w:color w:val="auto"/>
        </w:rPr>
      </w:pPr>
    </w:p>
    <w:p>
      <w:pPr>
        <w:ind w:left="60" w:right="99"/>
        <w:spacing w:after="0" w:line="311" w:lineRule="auto"/>
        <w:rPr>
          <w:sz w:val="20"/>
          <w:szCs w:val="20"/>
          <w:color w:val="auto"/>
        </w:rPr>
      </w:pPr>
      <w:r>
        <w:rPr>
          <w:rFonts w:ascii="Arial" w:cs="Arial" w:eastAsia="Arial" w:hAnsi="Arial"/>
          <w:sz w:val="16"/>
          <w:szCs w:val="16"/>
          <w:color w:val="auto"/>
        </w:rPr>
        <w:t>In Guam, the Company’s container volume in the fourth quarter 2020 increased 4.2 percent year-over-year primarily due to higher demand for sustenance and home improvement goods, partially offset by lower tourism activity as a result of the pandemic. In the near-term, we expect depressed tourism levels to have a negative impact on the Guam economy.</w:t>
      </w:r>
    </w:p>
    <w:p>
      <w:pPr>
        <w:spacing w:after="0" w:line="149"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In Alaska, the Company’s container volume for the fourth quarter 2020 increased 18.9 percent year-over-year as a result of higher northbound volume primarily due to two additional sailings and higher demand for sustenance and home improvement goods, and modestly higher southbound volume. The Alaska economy continues to be negatively impacted by the economic effects from the COVID-19 pandemic and a low oil price environment. In the near-term, we expect the economy to slowly recover, but remain challenged until the pandemic subsides.</w:t>
      </w:r>
    </w:p>
    <w:p>
      <w:pPr>
        <w:spacing w:after="0" w:line="176"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The contribution in the fourth quarter 2020 from the Company’s SSAT joint venture investment was $10.9 million, or $7.9 million higher than the fourth quarter 2019. The increase was driven by higher lift volume.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 xml:space="preserve">Logistics: </w:t>
      </w:r>
      <w:r>
        <w:rPr>
          <w:rFonts w:ascii="Arial" w:cs="Arial" w:eastAsia="Arial" w:hAnsi="Arial"/>
          <w:sz w:val="17"/>
          <w:szCs w:val="17"/>
          <w:color w:val="auto"/>
        </w:rPr>
        <w:t>In the fourth quarter 2020, operating income for the Company’s Logistics segment was $9.6 million, or</w:t>
      </w:r>
    </w:p>
    <w:p>
      <w:pPr>
        <w:spacing w:after="0" w:line="35" w:lineRule="exact"/>
        <w:rPr>
          <w:sz w:val="20"/>
          <w:szCs w:val="20"/>
          <w:color w:val="auto"/>
        </w:rPr>
      </w:pPr>
    </w:p>
    <w:p>
      <w:pPr>
        <w:jc w:val="both"/>
        <w:ind w:left="60" w:right="119"/>
        <w:spacing w:after="0" w:line="255" w:lineRule="auto"/>
        <w:rPr>
          <w:sz w:val="20"/>
          <w:szCs w:val="20"/>
          <w:color w:val="auto"/>
        </w:rPr>
      </w:pPr>
      <w:r>
        <w:rPr>
          <w:rFonts w:ascii="Arial" w:cs="Arial" w:eastAsia="Arial" w:hAnsi="Arial"/>
          <w:sz w:val="18"/>
          <w:szCs w:val="18"/>
          <w:color w:val="auto"/>
        </w:rPr>
        <w:t>$2.0 million higher compared to the operating income achieved in the fourth quarter 2019. The increase was due primarily to a higher contribution from transportation brokerage as a result of elevated goods consumption and inventory restocking and tight supply and demand fundamentals in our core markets.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60" w:right="319"/>
        <w:spacing w:after="0" w:line="308" w:lineRule="auto"/>
        <w:rPr>
          <w:sz w:val="20"/>
          <w:szCs w:val="20"/>
          <w:color w:val="auto"/>
        </w:rPr>
      </w:pPr>
      <w:r>
        <w:rPr>
          <w:rFonts w:ascii="Arial" w:cs="Arial" w:eastAsia="Arial" w:hAnsi="Arial"/>
          <w:sz w:val="17"/>
          <w:szCs w:val="17"/>
          <w:color w:val="auto"/>
        </w:rPr>
        <w:t>The following analysis of the financial results of operations of Matson for the years ended December 31, 2020 and 2019 should be read in conjunction with the Consolidated Financial Statements in Item 8 of Part II below.</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Results: 2020 compared with 2019:</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Years Ended December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37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(2,103.0)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(2,074.0)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117.1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408.</w:t>
            </w:r>
            <w:r>
              <w:rPr>
                <w:rFonts w:ascii="Arial" w:cs="Arial" w:eastAsia="Arial" w:hAnsi="Arial"/>
                <w:sz w:val="18"/>
                <w:szCs w:val="18"/>
                <w:u w:val="single" w:color="auto"/>
                <w:color w:val="auto"/>
                <w:w w:val="93"/>
              </w:rPr>
              <w:t>3</w:t>
            </w:r>
            <w:r>
              <w:rPr>
                <w:rFonts w:ascii="Arial" w:cs="Arial" w:eastAsia="Arial" w:hAnsi="Arial"/>
                <w:sz w:val="18"/>
                <w:szCs w:val="18"/>
                <w:color w:val="auto"/>
                <w:w w:val="93"/>
              </w:rPr>
              <w:t xml:space="preserve"> %</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2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140.3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162.</w:t>
            </w:r>
            <w:r>
              <w:rPr>
                <w:rFonts w:ascii="Arial" w:cs="Arial" w:eastAsia="Arial" w:hAnsi="Arial"/>
                <w:sz w:val="18"/>
                <w:szCs w:val="18"/>
                <w:u w:val="single" w:color="auto"/>
                <w:color w:val="auto"/>
                <w:w w:val="93"/>
              </w:rPr>
              <w:t>5</w:t>
            </w:r>
            <w:r>
              <w:rPr>
                <w:rFonts w:ascii="Arial" w:cs="Arial" w:eastAsia="Arial" w:hAnsi="Arial"/>
                <w:sz w:val="18"/>
                <w:szCs w:val="18"/>
                <w:color w:val="auto"/>
                <w:w w:val="93"/>
              </w:rPr>
              <w:t xml:space="preserve"> %</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2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133.</w:t>
            </w:r>
            <w:r>
              <w:rPr>
                <w:rFonts w:ascii="Arial" w:cs="Arial" w:eastAsia="Arial" w:hAnsi="Arial"/>
                <w:sz w:val="18"/>
                <w:szCs w:val="18"/>
                <w:u w:val="single" w:color="auto"/>
                <w:color w:val="auto"/>
                <w:w w:val="93"/>
              </w:rPr>
              <w:t>5</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96"/>
        </w:trPr>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share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132.1</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3"/>
              </w:rPr>
              <w:t>132.5 %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Fiscal years ended December 31, 2020 and 2019 include 52 weeks.</w:t>
      </w:r>
    </w:p>
    <w:p>
      <w:pPr>
        <w:spacing w:after="0" w:line="158"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i w:val="1"/>
          <w:iCs w:val="1"/>
          <w:color w:val="auto"/>
        </w:rPr>
        <w:t xml:space="preserve">Consolidated Operating Revenue </w:t>
      </w:r>
      <w:r>
        <w:rPr>
          <w:rFonts w:ascii="Arial" w:cs="Arial" w:eastAsia="Arial" w:hAnsi="Arial"/>
          <w:sz w:val="18"/>
          <w:szCs w:val="18"/>
          <w:color w:val="auto"/>
        </w:rPr>
        <w:t>for the year ended December 31, 2020 increased $180.2 million, or 8.2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prior year. The increase was due to an increase in Ocean Transportation revenue of $187.3 million offset by a decrease in Logistics revenue of $7.1 million.</w:t>
      </w:r>
    </w:p>
    <w:p>
      <w:pPr>
        <w:spacing w:after="0" w:line="116" w:lineRule="exact"/>
        <w:rPr>
          <w:sz w:val="20"/>
          <w:szCs w:val="20"/>
          <w:color w:val="auto"/>
        </w:rPr>
      </w:pPr>
    </w:p>
    <w:p>
      <w:pPr>
        <w:jc w:val="both"/>
        <w:ind w:left="60" w:right="139"/>
        <w:spacing w:after="0" w:line="311"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for the year ended December 31, 2020 increased $29.0 million, or 1.4 percent,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year. The increase was due to an increase in Ocean Transportation operating costs and expenses of $33.3 million which was partially offset by a decrease in Logistics operating costs and expenses of $4.3 million.</w:t>
      </w:r>
    </w:p>
    <w:p>
      <w:pPr>
        <w:spacing w:after="0" w:line="81" w:lineRule="exact"/>
        <w:rPr>
          <w:sz w:val="20"/>
          <w:szCs w:val="20"/>
          <w:color w:val="auto"/>
        </w:rPr>
      </w:pPr>
    </w:p>
    <w:p>
      <w:pPr>
        <w:jc w:val="both"/>
        <w:ind w:left="60" w:right="119"/>
        <w:spacing w:after="0" w:line="263"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for the year ended December 31, 2020 increased $151.2 million, or 117.1 percent, compared to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increase was due to an increase in Ocean Transportation operating income of $154.0 million which was partially offset by an decrease in Logistics operating income of $2.8 million.</w:t>
      </w:r>
    </w:p>
    <w:p>
      <w:pPr>
        <w:spacing w:after="0" w:line="11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The reasons for changes in operating revenue, operating costs and expenses, and operating income are described below, by business segment, in the Analysis of Operating Revenue and Income by Segment.</w:t>
      </w:r>
    </w:p>
    <w:p>
      <w:pPr>
        <w:spacing w:after="0" w:line="103" w:lineRule="exact"/>
        <w:rPr>
          <w:sz w:val="20"/>
          <w:szCs w:val="20"/>
          <w:color w:val="auto"/>
        </w:rPr>
      </w:pPr>
    </w:p>
    <w:p>
      <w:pPr>
        <w:ind w:left="60" w:right="399"/>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was $27.4 million for the year ended December 31, 2020, compared to $22.5 million in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interest expense was due to a lower offset amount of capitalized interest associated with new vessel construction, partially offset by a reduction in outstanding debt.</w:t>
      </w:r>
    </w:p>
    <w:p>
      <w:pPr>
        <w:spacing w:after="0" w:line="116"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was $6.1 million for the year ended December 31, 2020, compared to $1.2 million in the prior</w:t>
      </w:r>
      <w:r>
        <w:rPr>
          <w:rFonts w:ascii="Arial" w:cs="Arial" w:eastAsia="Arial" w:hAnsi="Arial"/>
          <w:sz w:val="17"/>
          <w:szCs w:val="17"/>
          <w:i w:val="1"/>
          <w:iCs w:val="1"/>
          <w:color w:val="auto"/>
        </w:rPr>
        <w:t xml:space="preserve"> </w:t>
      </w:r>
      <w:r>
        <w:rPr>
          <w:rFonts w:ascii="Arial" w:cs="Arial" w:eastAsia="Arial" w:hAnsi="Arial"/>
          <w:sz w:val="17"/>
          <w:szCs w:val="17"/>
          <w:color w:val="auto"/>
        </w:rPr>
        <w:t>year, and relates to the amortization of certain components of net periodic benefit costs or gains related to the Company’s pension and post-retirement plans, and interest income received from income tax refunds. The increase in Other income (expense) was due to favorable adjustments reflected in the Company’s pension and post-retirement plan liabilities and higher interest received from income tax refunds during the year ended December 31, 2020.</w:t>
      </w:r>
    </w:p>
    <w:p>
      <w:pPr>
        <w:spacing w:after="0" w:line="109"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the year ended December 31, 2020 were $65.9 million, or 25.4 percent of income before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$25.1 million, or 23.3 percent of income before income taxes in the prior year. The 2019 income tax rate benefited from a $2.9 million, or 2.7 percent of non-cash benefit included in income tax expense, resulting from applying the Tax Cuts and Jobs Act of 2017 (the “Tax Act”).</w:t>
      </w:r>
    </w:p>
    <w:p>
      <w:pPr>
        <w:spacing w:after="0" w:line="119"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during the year ended December 31, 2020 increased $110.4 million, or 133.5 percent, compared to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148"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The following analysis of operating revenue and income by segment for the years ended December 31, 2020 and 2019 should be read in conjunction with the Company’s reportable segments information included in Item 6 of Part II and Note 3 to the Consolidated Financial Statements in Item 8 of Part II.</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Ocean Transportation: 2020 compared with 2019:</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272"/>
              <w:spacing w:after="0"/>
              <w:rPr>
                <w:sz w:val="20"/>
                <w:szCs w:val="20"/>
                <w:color w:val="auto"/>
              </w:rPr>
            </w:pPr>
            <w:r>
              <w:rPr>
                <w:rFonts w:ascii="Arial" w:cs="Arial" w:eastAsia="Arial" w:hAnsi="Arial"/>
                <w:sz w:val="14"/>
                <w:szCs w:val="14"/>
                <w:b w:val="1"/>
                <w:bCs w:val="1"/>
                <w:color w:val="auto"/>
                <w:w w:val="90"/>
              </w:rPr>
              <w:t>Years Ended December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37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(1,609.1)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1"/>
              </w:rPr>
              <w:t>(1,575.8)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(33.3)   2.1 %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169.6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13.2 %</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5.4 %</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5"/>
              </w:rPr>
              <w:t>Volume (Forty-foot equivalent units (FEU), except for automobiles) (1)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Hawaii containers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146,600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Hawaii automobiles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62,900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(16,300)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Alaska containers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China containers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118,900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54,900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85.8 %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Guam containers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Other containers (2)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3" w:lineRule="exact"/>
        <w:rPr>
          <w:sz w:val="20"/>
          <w:szCs w:val="20"/>
          <w:color w:val="auto"/>
        </w:rPr>
      </w:pPr>
    </w:p>
    <w:p>
      <w:pPr>
        <w:ind w:left="380" w:right="219" w:hanging="330"/>
        <w:spacing w:after="0" w:line="248" w:lineRule="auto"/>
        <w:tabs>
          <w:tab w:leader="none" w:pos="3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Okinawa, Japan.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Ocean Transportation revenue increased $187.3 million, or 11.2 percent, during the year ended December 31, 2020, compared with the year ended December 31, 2019. The increase was primarily due to higher freight revenue in the China service, including revenue associated with the CLX+ service, partially offset by lower fuel-related surcharge revenue and lower revenue in Hawaii.</w:t>
      </w:r>
    </w:p>
    <w:p>
      <w:pPr>
        <w:spacing w:after="0" w:line="187" w:lineRule="exact"/>
        <w:rPr>
          <w:sz w:val="20"/>
          <w:szCs w:val="20"/>
          <w:color w:val="auto"/>
        </w:rPr>
      </w:pPr>
    </w:p>
    <w:p>
      <w:pPr>
        <w:ind w:left="60" w:right="199"/>
        <w:spacing w:after="0" w:line="290" w:lineRule="auto"/>
        <w:rPr>
          <w:sz w:val="20"/>
          <w:szCs w:val="20"/>
          <w:color w:val="auto"/>
        </w:rPr>
      </w:pPr>
      <w:r>
        <w:rPr>
          <w:rFonts w:ascii="Arial" w:cs="Arial" w:eastAsia="Arial" w:hAnsi="Arial"/>
          <w:sz w:val="16"/>
          <w:szCs w:val="16"/>
          <w:color w:val="auto"/>
        </w:rPr>
        <w:t>On a year-over-year FEU basis, Hawaii container volume decreased 0.6 percent primarily due to lower volume as a result of the pandemic and its effects on tourism, partially offset by volume associated with the dry-docking of one of Pasha’s vessels in the second quarter and higher demand for sustenance and home improvement goods; Alaska volume increased by 4.6 percent primarily due to higher northbound volume, including volume associated with the dry-docking of a competitor’s vessel and one additional sailing, partially offset by modestly lower southbound volume; China volume was 85.8 percent higher primarily due to volume from the CLX+ service in addition to higher volume on the CLX service as a result of our increased capacity in the tradelane; Guam volume was 2.6 percent lower primarily due to lower demand for retail-related goods resulting from the pandemic and its related effects; and Other container volume increased 3.6 percent.</w:t>
      </w:r>
    </w:p>
    <w:p>
      <w:pPr>
        <w:spacing w:after="0" w:line="165"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Ocean Transportation operating income increased $154.0 million, or 169.6 percent, during the year ended December 31, 2020, compared with the year ended December 31, 2019. The increase was primarily due to a higher contribution from the China service, including the contribution from the CLX+ service, and lower vessel operating costs, including the impact of one less vessel operating in the Hawaii service, partially offset by a lower contribution from the Hawaii service.</w:t>
      </w:r>
    </w:p>
    <w:p>
      <w:pPr>
        <w:spacing w:after="0" w:line="157" w:lineRule="exact"/>
        <w:rPr>
          <w:sz w:val="20"/>
          <w:szCs w:val="20"/>
          <w:color w:val="auto"/>
        </w:rPr>
      </w:pPr>
    </w:p>
    <w:p>
      <w:pPr>
        <w:jc w:val="both"/>
        <w:ind w:left="60" w:right="379"/>
        <w:spacing w:after="0" w:line="263" w:lineRule="auto"/>
        <w:rPr>
          <w:sz w:val="20"/>
          <w:szCs w:val="20"/>
          <w:color w:val="auto"/>
        </w:rPr>
      </w:pPr>
      <w:r>
        <w:rPr>
          <w:rFonts w:ascii="Arial" w:cs="Arial" w:eastAsia="Arial" w:hAnsi="Arial"/>
          <w:sz w:val="18"/>
          <w:szCs w:val="18"/>
          <w:color w:val="auto"/>
        </w:rPr>
        <w:t>The Company’s SSAT terminal joint venture investment contributed $26.3 million during the year ended December 31, 2020, compared to a contribution of $20.8 million during the year ended December 31, 2019. The increase was largely attributable to lower operating costs.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Logistics: 2020 compared with 2019:</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vMerge w:val="restart"/>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Years Ended December 31,</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w w:val="93"/>
              </w:rPr>
              <w:t>Change</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Logistics revenue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16"/>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(493.9)</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(498.2)</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(0.9)%</w:t>
            </w:r>
          </w:p>
        </w:tc>
        <w:tc>
          <w:tcPr>
            <w:tcW w:w="0" w:type="dxa"/>
            <w:vAlign w:val="bottom"/>
          </w:tcPr>
          <w:p>
            <w:pPr>
              <w:spacing w:after="0"/>
              <w:rPr>
                <w:sz w:val="1"/>
                <w:szCs w:val="1"/>
                <w:color w:val="auto"/>
              </w:rPr>
            </w:pPr>
          </w:p>
        </w:tc>
      </w:tr>
      <w:tr>
        <w:trPr>
          <w:trHeight w:val="20"/>
        </w:trPr>
        <w:tc>
          <w:tcPr>
            <w:tcW w:w="57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(7.3)%</w:t>
            </w:r>
          </w:p>
        </w:tc>
        <w:tc>
          <w:tcPr>
            <w:tcW w:w="0" w:type="dxa"/>
            <w:vAlign w:val="bottom"/>
          </w:tcPr>
          <w:p>
            <w:pPr>
              <w:spacing w:after="0"/>
              <w:rPr>
                <w:sz w:val="1"/>
                <w:szCs w:val="1"/>
                <w:color w:val="auto"/>
              </w:rPr>
            </w:pPr>
          </w:p>
        </w:tc>
      </w:tr>
      <w:tr>
        <w:trPr>
          <w:trHeight w:val="23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6.7 %</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Logistics revenue decreased $7.1 million, or 1.3 percent, during the year ended December 31, 2020, compared with the year ended December 31, 2019. The decrease was primarily due to lower transportation brokerage and freight forwarding revenue.</w:t>
      </w:r>
    </w:p>
    <w:p>
      <w:pPr>
        <w:spacing w:after="0" w:line="184" w:lineRule="exact"/>
        <w:rPr>
          <w:sz w:val="20"/>
          <w:szCs w:val="20"/>
          <w:color w:val="auto"/>
        </w:rPr>
      </w:pPr>
    </w:p>
    <w:p>
      <w:pPr>
        <w:ind w:left="60" w:right="239"/>
        <w:spacing w:after="0" w:line="342" w:lineRule="auto"/>
        <w:rPr>
          <w:sz w:val="20"/>
          <w:szCs w:val="20"/>
          <w:color w:val="auto"/>
        </w:rPr>
      </w:pPr>
      <w:r>
        <w:rPr>
          <w:rFonts w:ascii="Arial" w:cs="Arial" w:eastAsia="Arial" w:hAnsi="Arial"/>
          <w:sz w:val="16"/>
          <w:szCs w:val="16"/>
          <w:color w:val="auto"/>
        </w:rPr>
        <w:t>Logistics operating income decreased $2.8 million, or 7.3 percent, for the year ended December 31, 2020, compared with year ended December 31, 2019. The decrease was due primarily to a lower contribution from freight forwarding.</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Sources of liquidity available to the Company at December 31, 2020 compared to December 31, 2019, were as follows:</w:t>
      </w:r>
    </w:p>
    <w:p>
      <w:pPr>
        <w:spacing w:after="0" w:line="244" w:lineRule="exact"/>
        <w:rPr>
          <w:sz w:val="20"/>
          <w:szCs w:val="20"/>
          <w:color w:val="auto"/>
        </w:rPr>
      </w:pPr>
    </w:p>
    <w:p>
      <w:pPr>
        <w:ind w:left="60" w:right="279"/>
        <w:spacing w:after="0" w:line="282" w:lineRule="auto"/>
        <w:rPr>
          <w:sz w:val="20"/>
          <w:szCs w:val="20"/>
          <w:color w:val="auto"/>
        </w:rPr>
      </w:pPr>
      <w:r>
        <w:rPr>
          <w:rFonts w:ascii="Arial" w:cs="Arial" w:eastAsia="Arial" w:hAnsi="Arial"/>
          <w:sz w:val="18"/>
          <w:szCs w:val="18"/>
          <w:b w:val="1"/>
          <w:bCs w:val="1"/>
          <w:i w:val="1"/>
          <w:iCs w:val="1"/>
          <w:color w:val="auto"/>
        </w:rPr>
        <w:t>Cash and Cash Equivalents, Restricted Cash and Accounts Receivable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cash equivalents, restricted cash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receivable, net, as of December 31, 2020 and 2019 were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 (1)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253.4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Eligible accounts receivable of $1.7 million at December 31, 2020 and 2019 were assigned to the CCF.</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58" w:lineRule="auto"/>
        <w:rPr>
          <w:sz w:val="20"/>
          <w:szCs w:val="20"/>
          <w:color w:val="auto"/>
        </w:rPr>
      </w:pPr>
      <w:r>
        <w:rPr>
          <w:rFonts w:ascii="Arial" w:cs="Arial" w:eastAsia="Arial" w:hAnsi="Arial"/>
          <w:sz w:val="18"/>
          <w:szCs w:val="18"/>
          <w:color w:val="auto"/>
        </w:rPr>
        <w:t>Changes in the Company’s cash, cash equivalents and restricted cash for the years ended December 31, 2020, 2019 and 2018 were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w w:val="90"/>
              </w:rPr>
              <w:t>As of December 31,</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5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w w:val="93"/>
              </w:rPr>
              <w:t>Change</w:t>
            </w:r>
          </w:p>
        </w:tc>
        <w:tc>
          <w:tcPr>
            <w:tcW w:w="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2020-2019</w:t>
            </w:r>
          </w:p>
        </w:tc>
        <w:tc>
          <w:tcPr>
            <w:tcW w:w="16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2019-2018</w:t>
            </w:r>
          </w:p>
        </w:tc>
        <w:tc>
          <w:tcPr>
            <w:tcW w:w="0" w:type="dxa"/>
            <w:vAlign w:val="bottom"/>
          </w:tcPr>
          <w:p>
            <w:pPr>
              <w:spacing w:after="0"/>
              <w:rPr>
                <w:sz w:val="1"/>
                <w:szCs w:val="1"/>
                <w:color w:val="auto"/>
              </w:rPr>
            </w:pPr>
          </w:p>
        </w:tc>
      </w:tr>
      <w:tr>
        <w:trPr>
          <w:trHeight w:val="196"/>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 (1)</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429.8</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248.8</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(56.2)</w:t>
            </w:r>
          </w:p>
        </w:tc>
        <w:tc>
          <w:tcPr>
            <w:tcW w:w="0" w:type="dxa"/>
            <w:vAlign w:val="bottom"/>
          </w:tcPr>
          <w:p>
            <w:pPr>
              <w:spacing w:after="0"/>
              <w:rPr>
                <w:sz w:val="1"/>
                <w:szCs w:val="1"/>
                <w:color w:val="auto"/>
              </w:rPr>
            </w:pPr>
          </w:p>
        </w:tc>
      </w:tr>
      <w:tr>
        <w:trPr>
          <w:trHeight w:val="403"/>
        </w:trPr>
        <w:tc>
          <w:tcPr>
            <w:tcW w:w="5140" w:type="dxa"/>
            <w:vAlign w:val="bottom"/>
            <w:gridSpan w:val="2"/>
          </w:tcPr>
          <w:p>
            <w:pPr>
              <w:ind w:left="20"/>
              <w:spacing w:after="0"/>
              <w:rPr>
                <w:sz w:val="20"/>
                <w:szCs w:val="20"/>
                <w:color w:val="auto"/>
              </w:rPr>
            </w:pPr>
            <w:r>
              <w:rPr>
                <w:rFonts w:ascii="Arial" w:cs="Arial" w:eastAsia="Arial" w:hAnsi="Arial"/>
                <w:sz w:val="17"/>
                <w:szCs w:val="17"/>
                <w:color w:val="auto"/>
              </w:rPr>
              <w:t>Net cash used in investing activities (2)</w:t>
            </w:r>
          </w:p>
        </w:tc>
        <w:tc>
          <w:tcPr>
            <w:tcW w:w="12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w w:val="92"/>
              </w:rPr>
              <w:t>(177.0)</w:t>
            </w:r>
          </w:p>
        </w:tc>
        <w:tc>
          <w:tcPr>
            <w:tcW w:w="12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w w:val="92"/>
              </w:rPr>
              <w:t>(306.9)</w:t>
            </w:r>
          </w:p>
        </w:tc>
        <w:tc>
          <w:tcPr>
            <w:tcW w:w="12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w w:val="92"/>
              </w:rPr>
              <w:t>(260.3)</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129.9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4"/>
              </w:rPr>
              <w:t>(46.6)</w:t>
            </w:r>
          </w:p>
        </w:tc>
        <w:tc>
          <w:tcPr>
            <w:tcW w:w="0" w:type="dxa"/>
            <w:vAlign w:val="bottom"/>
          </w:tcPr>
          <w:p>
            <w:pPr>
              <w:spacing w:after="0"/>
              <w:rPr>
                <w:sz w:val="1"/>
                <w:szCs w:val="1"/>
                <w:color w:val="auto"/>
              </w:rPr>
            </w:pPr>
          </w:p>
        </w:tc>
      </w:tr>
      <w:tr>
        <w:trPr>
          <w:trHeight w:val="407"/>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 (3)</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2"/>
              </w:rPr>
              <w:t>(261.5)</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9"/>
              </w:rPr>
              <w:t>(323.5)</w:t>
            </w:r>
          </w:p>
        </w:tc>
        <w:tc>
          <w:tcPr>
            <w:tcW w:w="18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102.0</w:t>
            </w:r>
          </w:p>
        </w:tc>
        <w:tc>
          <w:tcPr>
            <w:tcW w:w="0" w:type="dxa"/>
            <w:vAlign w:val="bottom"/>
          </w:tcPr>
          <w:p>
            <w:pPr>
              <w:spacing w:after="0"/>
              <w:rPr>
                <w:sz w:val="1"/>
                <w:szCs w:val="1"/>
                <w:color w:val="auto"/>
              </w:rPr>
            </w:pPr>
          </w:p>
        </w:tc>
      </w:tr>
      <w:tr>
        <w:trPr>
          <w:trHeight w:val="196"/>
        </w:trPr>
        <w:tc>
          <w:tcPr>
            <w:tcW w:w="5140" w:type="dxa"/>
            <w:vAlign w:val="bottom"/>
            <w:gridSpan w:val="2"/>
          </w:tcPr>
          <w:p>
            <w:pPr>
              <w:ind w:left="20"/>
              <w:spacing w:after="0"/>
              <w:rPr>
                <w:sz w:val="20"/>
                <w:szCs w:val="20"/>
                <w:color w:val="auto"/>
              </w:rPr>
            </w:pPr>
            <w:r>
              <w:rPr>
                <w:rFonts w:ascii="Arial" w:cs="Arial" w:eastAsia="Arial" w:hAnsi="Arial"/>
                <w:sz w:val="17"/>
                <w:szCs w:val="17"/>
                <w:color w:val="auto"/>
                <w:w w:val="97"/>
              </w:rPr>
              <w:t>Net (decrease) increase in cash, cash equivalents and restricted cash</w:t>
            </w: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(12.6)</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beginning of the period</w:t>
            </w: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96"/>
        </w:trPr>
        <w:tc>
          <w:tcPr>
            <w:tcW w:w="5140" w:type="dxa"/>
            <w:vAlign w:val="bottom"/>
            <w:gridSpan w:val="2"/>
          </w:tcPr>
          <w:p>
            <w:pPr>
              <w:ind w:left="20"/>
              <w:spacing w:after="0"/>
              <w:rPr>
                <w:sz w:val="20"/>
                <w:szCs w:val="20"/>
                <w:color w:val="auto"/>
              </w:rPr>
            </w:pPr>
            <w:r>
              <w:rPr>
                <w:rFonts w:ascii="Arial" w:cs="Arial" w:eastAsia="Arial" w:hAnsi="Arial"/>
                <w:sz w:val="17"/>
                <w:szCs w:val="17"/>
                <w:color w:val="auto"/>
              </w:rPr>
              <w:t>Cash, cash equivalents and restricted cash, end of the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279" w:hanging="330"/>
        <w:spacing w:after="0" w:line="258"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Changes in Net Cash Provided by Operating Activities: </w:t>
      </w:r>
      <w:r>
        <w:rPr>
          <w:rFonts w:ascii="Arial" w:cs="Arial" w:eastAsia="Arial" w:hAnsi="Arial"/>
          <w:sz w:val="18"/>
          <w:szCs w:val="18"/>
          <w:color w:val="auto"/>
        </w:rPr>
        <w:t>Changes in net cash provided by operating activities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years ended December 31, 2020, 2019 and 2018 were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7100" w:type="dxa"/>
            <w:vAlign w:val="bottom"/>
            <w:gridSpan w:val="2"/>
            <w:vMerge w:val="continue"/>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2019-2018</w:t>
            </w:r>
          </w:p>
        </w:tc>
        <w:tc>
          <w:tcPr>
            <w:tcW w:w="0" w:type="dxa"/>
            <w:vAlign w:val="bottom"/>
          </w:tcPr>
          <w:p>
            <w:pPr>
              <w:spacing w:after="0"/>
              <w:rPr>
                <w:sz w:val="1"/>
                <w:szCs w:val="1"/>
                <w:color w:val="auto"/>
              </w:rPr>
            </w:pPr>
          </w:p>
        </w:tc>
      </w:tr>
      <w:tr>
        <w:trPr>
          <w:trHeight w:val="209"/>
        </w:trPr>
        <w:tc>
          <w:tcPr>
            <w:tcW w:w="6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from operations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Non-cash deferred income taxes</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non-cash related changes, net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Amortization of operating lease right of use assets</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and distributions from SSAT, net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dry-docking payments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Accounts payable, accruals and other liabilities</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71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r>
              <w:rPr>
                <w:rFonts w:ascii="Arial" w:cs="Arial" w:eastAsia="Arial" w:hAnsi="Arial"/>
                <w:sz w:val="18"/>
                <w:szCs w:val="18"/>
                <w:u w:val="single" w:color="auto"/>
                <w:color w:val="auto"/>
              </w:rPr>
              <w:t>0</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r>
              <w:rPr>
                <w:rFonts w:ascii="Arial" w:cs="Arial" w:eastAsia="Arial" w:hAnsi="Arial"/>
                <w:sz w:val="18"/>
                <w:szCs w:val="18"/>
                <w:u w:val="single" w:color="auto"/>
                <w:color w:val="auto"/>
              </w:rPr>
              <w:t>2)</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59"/>
        <w:spacing w:after="0" w:line="286" w:lineRule="auto"/>
        <w:rPr>
          <w:sz w:val="20"/>
          <w:szCs w:val="20"/>
          <w:color w:val="auto"/>
        </w:rPr>
      </w:pPr>
      <w:r>
        <w:rPr>
          <w:rFonts w:ascii="Arial" w:cs="Arial" w:eastAsia="Arial" w:hAnsi="Arial"/>
          <w:sz w:val="16"/>
          <w:szCs w:val="16"/>
          <w:color w:val="auto"/>
        </w:rPr>
        <w:t>The change in the amortization of operating lease right of use assets and operating lease liabilities primarily relates to the timing of adopting the lease accounting standard during the year ended December 31, 2019. The Company’s share of income from SSAT was $26.3 million during the year ended December 31, 2020, compared to $20.8 million in the prior year, while distributions from SSAT was $55.4 million during the year ended December 31, 2020, compared to</w:t>
      </w:r>
    </w:p>
    <w:p>
      <w:pPr>
        <w:spacing w:after="0" w:line="1" w:lineRule="exact"/>
        <w:rPr>
          <w:sz w:val="20"/>
          <w:szCs w:val="20"/>
          <w:color w:val="auto"/>
        </w:rPr>
      </w:pPr>
    </w:p>
    <w:p>
      <w:pPr>
        <w:ind w:left="60" w:right="219"/>
        <w:spacing w:after="0" w:line="268" w:lineRule="auto"/>
        <w:rPr>
          <w:sz w:val="20"/>
          <w:szCs w:val="20"/>
          <w:color w:val="auto"/>
        </w:rPr>
      </w:pPr>
      <w:r>
        <w:rPr>
          <w:rFonts w:ascii="Arial" w:cs="Arial" w:eastAsia="Arial" w:hAnsi="Arial"/>
          <w:sz w:val="17"/>
          <w:szCs w:val="17"/>
          <w:color w:val="auto"/>
        </w:rPr>
        <w:t>$25.2 million of distributions received in the prior year. Deferred dry-docking payments were $16.8 million for the year ended December 31, 2020, compared to $25.9 million in the prior year. The decrease in deferred dry-docking payments was due to a reduction in vessel dry-docking activities during the year ended December 31, 2020, compared to the prior year. Changes in accounts receivable are primarily due to increased revenues during the year ended December 31, 2020, compared to the prior year, and also due to the timing of collections as of December 31, 2020, compared to the prior year. Changes in prepaid expenses and other assets are due to the timing of prepaid income taxes, changes in the amount of insurance related receivables and changes in other prepaid amounts as of December 31, 2020, compared to the prior year. Changes in accounts payable, accruals and other liabilities are primarily due to increased operating costs during the year ended December 31, 2020, compared to the prior year, and also due to the timing of payments associated with those liabilities.</w:t>
      </w:r>
    </w:p>
    <w:p>
      <w:pPr>
        <w:spacing w:after="0" w:line="179" w:lineRule="exact"/>
        <w:rPr>
          <w:sz w:val="20"/>
          <w:szCs w:val="20"/>
          <w:color w:val="auto"/>
        </w:rPr>
      </w:pPr>
    </w:p>
    <w:p>
      <w:pPr>
        <w:ind w:left="380" w:right="139" w:hanging="330"/>
        <w:spacing w:after="0" w:line="258"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Changes in Net Cash Used in Investing Activities: </w:t>
      </w:r>
      <w:r>
        <w:rPr>
          <w:rFonts w:ascii="Arial" w:cs="Arial" w:eastAsia="Arial" w:hAnsi="Arial"/>
          <w:sz w:val="18"/>
          <w:szCs w:val="18"/>
          <w:color w:val="auto"/>
        </w:rPr>
        <w:t>Changes in net cash used in investing activities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2019 and 2018 were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7100" w:type="dxa"/>
            <w:vAlign w:val="bottom"/>
            <w:gridSpan w:val="2"/>
            <w:vMerge w:val="continue"/>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2020-2019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92"/>
              </w:rPr>
              <w:t>2019-2018</w:t>
            </w:r>
          </w:p>
        </w:tc>
        <w:tc>
          <w:tcPr>
            <w:tcW w:w="0" w:type="dxa"/>
            <w:vAlign w:val="bottom"/>
          </w:tcPr>
          <w:p>
            <w:pPr>
              <w:spacing w:after="0"/>
              <w:rPr>
                <w:sz w:val="1"/>
                <w:szCs w:val="1"/>
                <w:color w:val="auto"/>
              </w:rPr>
            </w:pPr>
          </w:p>
        </w:tc>
      </w:tr>
      <w:tr>
        <w:trPr>
          <w:trHeight w:val="210"/>
        </w:trPr>
        <w:tc>
          <w:tcPr>
            <w:tcW w:w="6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Capitalized vessel construction expenditures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Cash deposits into CCF</w:t>
            </w: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Withdrawals from CCF</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Other capital expenditures</w:t>
            </w: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disposal of property and equipment, net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Proceeds from sale of other investments</w:t>
            </w:r>
          </w:p>
        </w:tc>
        <w:tc>
          <w:tcPr>
            <w:tcW w:w="1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71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99"/>
        <w:spacing w:after="0" w:line="342" w:lineRule="auto"/>
        <w:rPr>
          <w:sz w:val="20"/>
          <w:szCs w:val="20"/>
          <w:color w:val="auto"/>
        </w:rPr>
      </w:pPr>
      <w:r>
        <w:rPr>
          <w:rFonts w:ascii="Arial" w:cs="Arial" w:eastAsia="Arial" w:hAnsi="Arial"/>
          <w:sz w:val="16"/>
          <w:szCs w:val="16"/>
          <w:color w:val="auto"/>
        </w:rPr>
        <w:t>Capitalized vessel construction expenditures (including capitalized interest and owners’ items) was $87.8 million for the year ended December 31, 2020, compared to $219.1 million in the prior year. The decrease in capitalized vessel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construction expenditures (including cash deposited into the CCF less cash withdrawals from the CCF which are used for vessel construction related payments) is due to fewer progress payments related to the construction of new vessels during 2020, compared to the prior year. Other capital expenditures (excluding capitalized vessel construction expenditures) was $104.5 million for the year ended December 31, 2020, compared to $91.2 million for the prior year. The increase was primarily due to higher levels of capital expenditures related to the installation of scrubbers on vessels and the Hawaii Sand Island terminal expansion and modernization program during the year ended December 31, 2020, compared to the prior year. Proceeds from the disposal of property and equipment was $15.3 million for the year ended December 31, 2020, compared to $3.4 million for the prior year. Disposals of property and equipment during the year ended December 31, 2020 included net proceeds of approximately $14.3 million from the sale and leaseback of container and equipment.</w:t>
      </w:r>
    </w:p>
    <w:p>
      <w:pPr>
        <w:spacing w:after="0" w:line="166" w:lineRule="exact"/>
        <w:rPr>
          <w:sz w:val="20"/>
          <w:szCs w:val="20"/>
          <w:color w:val="auto"/>
        </w:rPr>
      </w:pPr>
    </w:p>
    <w:p>
      <w:pPr>
        <w:ind w:left="380" w:right="99" w:hanging="330"/>
        <w:spacing w:after="0" w:line="258"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Changes in Net Cash Provided by (Used in) Financing Activities: </w:t>
      </w:r>
      <w:r>
        <w:rPr>
          <w:rFonts w:ascii="Arial" w:cs="Arial" w:eastAsia="Arial" w:hAnsi="Arial"/>
          <w:sz w:val="18"/>
          <w:szCs w:val="18"/>
          <w:color w:val="auto"/>
        </w:rPr>
        <w:t>Changes in net cash provided by (used in)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for the years ended December 31, 2020, 2019 and 2018 were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7140" w:type="dxa"/>
            <w:vAlign w:val="bottom"/>
            <w:gridSpan w:val="2"/>
            <w:vMerge w:val="continue"/>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2020-2019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92"/>
              </w:rPr>
              <w:t>2019-2018</w:t>
            </w:r>
          </w:p>
        </w:tc>
        <w:tc>
          <w:tcPr>
            <w:tcW w:w="0" w:type="dxa"/>
            <w:vAlign w:val="bottom"/>
          </w:tcPr>
          <w:p>
            <w:pPr>
              <w:spacing w:after="0"/>
              <w:rPr>
                <w:sz w:val="1"/>
                <w:szCs w:val="1"/>
                <w:color w:val="auto"/>
              </w:rPr>
            </w:pPr>
          </w:p>
        </w:tc>
      </w:tr>
      <w:tr>
        <w:trPr>
          <w:trHeight w:val="209"/>
        </w:trPr>
        <w:tc>
          <w:tcPr>
            <w:tcW w:w="6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Proceeds received from issuance of fixed interest debt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Repayments of fixed interest debt and capital leases</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Repayments and borrowings under revolving credit facility, net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6"/>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Payment of financing costs</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other payments, net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9"/>
        </w:trPr>
        <w:tc>
          <w:tcPr>
            <w:tcW w:w="71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(323.5)</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r>
              <w:rPr>
                <w:rFonts w:ascii="Arial" w:cs="Arial" w:eastAsia="Arial" w:hAnsi="Arial"/>
                <w:sz w:val="18"/>
                <w:szCs w:val="18"/>
                <w:u w:val="single" w:color="auto"/>
                <w:color w:val="auto"/>
              </w:rPr>
              <w:t>0</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spacing w:after="0" w:line="271" w:lineRule="auto"/>
        <w:rPr>
          <w:sz w:val="20"/>
          <w:szCs w:val="20"/>
          <w:color w:val="auto"/>
        </w:rPr>
      </w:pPr>
      <w:r>
        <w:rPr>
          <w:rFonts w:ascii="Arial" w:cs="Arial" w:eastAsia="Arial" w:hAnsi="Arial"/>
          <w:sz w:val="17"/>
          <w:szCs w:val="17"/>
          <w:color w:val="auto"/>
        </w:rPr>
        <w:t>During the year ended December 31, 2020, the Company received $325.5 million of proceeds from two new Title XI debt issuances, paid $47.1 million in scheduled principal payments, and prepaid $169.5 million of private debt at par, compared to $42.1 million in scheduled principal payments in the prior year. Net repayments of the Company’s revolving credit facility totaled $307.3 million for the year ended December 31, 2020, compared to net borrowings of $144.1 million in the prior year. The decrease in borrowing under the revolving credit facility was primarily due to an increase in cash provided by operating activities, proceeds from the issuance of Title XI debt, and a reduction in vessel construction payments. The Company paid $18.5 million in financing costs related to the Title XI debt issuance during the year ended December 31, 2020. No financing costs were incurred in the prior year.</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Debt: </w:t>
      </w:r>
      <w:r>
        <w:rPr>
          <w:rFonts w:ascii="Arial" w:cs="Arial" w:eastAsia="Arial" w:hAnsi="Arial"/>
          <w:sz w:val="18"/>
          <w:szCs w:val="18"/>
          <w:color w:val="auto"/>
        </w:rPr>
        <w:t>Total debt as of December 31, 2020 and 2019 is as follows:</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jc w:val="right"/>
              <w:ind w:right="495"/>
              <w:spacing w:after="0"/>
              <w:rPr>
                <w:sz w:val="20"/>
                <w:szCs w:val="20"/>
                <w:color w:val="auto"/>
              </w:rPr>
            </w:pPr>
            <w:r>
              <w:rPr>
                <w:rFonts w:ascii="Arial" w:cs="Arial" w:eastAsia="Arial" w:hAnsi="Arial"/>
                <w:sz w:val="14"/>
                <w:szCs w:val="14"/>
                <w:b w:val="1"/>
                <w:bCs w:val="1"/>
                <w:color w:val="auto"/>
              </w:rPr>
              <w:t>As of December 31,</w:t>
            </w:r>
          </w:p>
        </w:tc>
        <w:tc>
          <w:tcPr>
            <w:tcW w:w="80" w:type="dxa"/>
            <w:vAlign w:val="bottom"/>
          </w:tcPr>
          <w:p>
            <w:pPr>
              <w:spacing w:after="0"/>
              <w:rPr>
                <w:sz w:val="14"/>
                <w:szCs w:val="14"/>
                <w:color w:val="auto"/>
              </w:rPr>
            </w:pPr>
          </w:p>
        </w:tc>
      </w:tr>
      <w:tr>
        <w:trPr>
          <w:trHeight w:val="196"/>
        </w:trPr>
        <w:tc>
          <w:tcPr>
            <w:tcW w:w="65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50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r>
      <w:tr>
        <w:trPr>
          <w:trHeight w:val="209"/>
        </w:trPr>
        <w:tc>
          <w:tcPr>
            <w:tcW w:w="6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7"/>
              </w:rPr>
              <w:t>379.1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Fixed interest debt</w:t>
            </w: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688.3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7"/>
              </w:rPr>
              <w:t>579.3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80" w:type="dxa"/>
            <w:vAlign w:val="bottom"/>
            <w:tcBorders>
              <w:bottom w:val="single" w:sz="8" w:color="CCEEFF"/>
            </w:tcBorders>
          </w:tcPr>
          <w:p>
            <w:pPr>
              <w:spacing w:after="0"/>
              <w:rPr>
                <w:sz w:val="18"/>
                <w:szCs w:val="18"/>
                <w:color w:val="auto"/>
              </w:rPr>
            </w:pPr>
          </w:p>
        </w:tc>
      </w:tr>
      <w:tr>
        <w:trPr>
          <w:trHeight w:val="209"/>
        </w:trPr>
        <w:tc>
          <w:tcPr>
            <w:tcW w:w="6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760.1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7"/>
              </w:rPr>
              <w:t>958.4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Total debt decreased by $198.3 million during the year ended December 31, 2020 compared to the prior year. The decrease in the Company’s revolving credit facility during the year ended December 31, 2020 was primarily due to increased cash provided by operating activities, a reduction in progress payments related to the construction of new vessels, and proceeds from new Title XI financing that was used to pay down the revolving credit facility. The increase in fixed interest debt was due to the new Title XI financing agreements entered into during 2020 which were partially offset by scheduled debt payments made during the year ended December 31, 2020.</w:t>
      </w:r>
    </w:p>
    <w:p>
      <w:pPr>
        <w:spacing w:after="0" w:line="178" w:lineRule="exact"/>
        <w:rPr>
          <w:sz w:val="20"/>
          <w:szCs w:val="20"/>
          <w:color w:val="auto"/>
        </w:rPr>
      </w:pPr>
    </w:p>
    <w:p>
      <w:pPr>
        <w:ind w:left="60" w:right="279"/>
        <w:spacing w:after="0" w:line="311" w:lineRule="auto"/>
        <w:rPr>
          <w:sz w:val="20"/>
          <w:szCs w:val="20"/>
          <w:color w:val="auto"/>
        </w:rPr>
      </w:pPr>
      <w:r>
        <w:rPr>
          <w:rFonts w:ascii="Arial" w:cs="Arial" w:eastAsia="Arial" w:hAnsi="Arial"/>
          <w:sz w:val="16"/>
          <w:szCs w:val="16"/>
          <w:color w:val="auto"/>
        </w:rPr>
        <w:t>As of December 31, 2020, the Company had $570.1 million of unused capacity under the revolving credit facility, which matures on June 29, 2022. The leverage ratio under the debt agreements as of December 31, 2020 was approximately 1.7 times. The Company’s debt is described in Note 8 to the Consolidated Financial Statements in Item 8 of Part II.</w:t>
      </w:r>
    </w:p>
    <w:p>
      <w:pPr>
        <w:spacing w:after="0" w:line="149"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b w:val="1"/>
          <w:bCs w:val="1"/>
          <w:i w:val="1"/>
          <w:iCs w:val="1"/>
          <w:color w:val="auto"/>
        </w:rPr>
        <w:t xml:space="preserve">Working Capital: </w:t>
      </w:r>
      <w:r>
        <w:rPr>
          <w:rFonts w:ascii="Arial" w:cs="Arial" w:eastAsia="Arial" w:hAnsi="Arial"/>
          <w:sz w:val="17"/>
          <w:szCs w:val="17"/>
          <w:color w:val="auto"/>
        </w:rPr>
        <w:t>The Company had a working capital deficiency of $205.6 million at December 31, 2020, compared 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working capital deficiency of $147.1 million at December 31, 2019. Working capital is impacted by the use of cash to reduce the Company’s long-term revolving credit facility as of December 31, 2020, by the amount and timing of collections associated with accounts receivable and other assets, and by the amount and timing of payments associated with accounts payable, accruals and other liabilities. Working capital deficiency increased as of December 31, 2020, primarily due to the reduction in prepaid expenses and other assets as a result of the collection of income tax and insurance receivables, and an increase in other liabilities due to employee incentives and other accruals.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b w:val="1"/>
          <w:bCs w:val="1"/>
          <w:i w:val="1"/>
          <w:iCs w:val="1"/>
          <w:color w:val="auto"/>
        </w:rPr>
        <w:t xml:space="preserve">Capital Expenditures: </w:t>
      </w:r>
      <w:r>
        <w:rPr>
          <w:rFonts w:ascii="Arial" w:cs="Arial" w:eastAsia="Arial" w:hAnsi="Arial"/>
          <w:sz w:val="17"/>
          <w:szCs w:val="17"/>
          <w:color w:val="auto"/>
        </w:rPr>
        <w:t>In 2021, the Company expects to make the following capital expenditures: (i) maintenance related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expenditures of approximately $60 - $70 million; (ii) acquisition of equipment to support growth in the CLX+ and AAX services of approximately $55 million; (iii) construction of a new barge of approximately $25 million; and (iv) dry-dock scrubber installation costs of approximately $20 million. Such capital expenditures are expected to be financed through cash provided by operating activities and the Company’s revolving credit facility.</w:t>
      </w:r>
    </w:p>
    <w:p>
      <w:pPr>
        <w:spacing w:after="0" w:line="172" w:lineRule="exact"/>
        <w:rPr>
          <w:sz w:val="20"/>
          <w:szCs w:val="20"/>
          <w:color w:val="auto"/>
        </w:rPr>
      </w:pPr>
    </w:p>
    <w:p>
      <w:pPr>
        <w:ind w:left="60" w:right="679"/>
        <w:spacing w:after="0" w:line="282" w:lineRule="auto"/>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 December 31, 2020, the Company had the following estimated contractual obligations: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Contractual Obligations (in millions)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4"/>
              </w:rPr>
              <w:t>Payment Due By Period</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8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2021</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2022-2023</w:t>
            </w: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2024-2025</w:t>
            </w:r>
          </w:p>
        </w:tc>
        <w:tc>
          <w:tcPr>
            <w:tcW w:w="100" w:type="dxa"/>
            <w:vAlign w:val="bottom"/>
          </w:tcPr>
          <w:p>
            <w:pPr>
              <w:spacing w:after="0"/>
              <w:rPr>
                <w:sz w:val="12"/>
                <w:szCs w:val="12"/>
                <w:color w:val="auto"/>
              </w:rPr>
            </w:pPr>
          </w:p>
        </w:tc>
        <w:tc>
          <w:tcPr>
            <w:tcW w:w="7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9"/>
              </w:rPr>
              <w:t>Thereafter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debt obligations (1)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$ 197.2</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$ 103.4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400.3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Operating lease obligations (2)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interest on debt (3)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Qualified defined benefit pension obligations (4)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Multi-employer withdrawal obligations (5)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Vendor and other obligations (6)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benefit obligations (4)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Non-qualified pension obligations (4)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253.4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$ 370.1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$ 220.1</w:t>
            </w:r>
          </w:p>
        </w:tc>
        <w:tc>
          <w:tcPr>
            <w:tcW w:w="1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1,495.7</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339" w:hanging="330"/>
        <w:spacing w:after="0" w:line="276"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Total debt obligations include principal repayments of outstanding debt (see Note 8 to the Consolidated Financial Statements in Item 8 of Part II below, for additional information).</w:t>
      </w:r>
    </w:p>
    <w:p>
      <w:pPr>
        <w:ind w:left="380" w:right="79" w:hanging="330"/>
        <w:spacing w:after="0" w:line="274" w:lineRule="auto"/>
        <w:tabs>
          <w:tab w:leader="none" w:pos="3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Operating lease obligations primarily consist of real estate and terminal leases, vessel charter leases, operations equipment and other leases entered into under non-cancellable arrangements (see Note 9 to the Consolidated Financial Statements in Item 8 of Part II below, for additional information).</w:t>
      </w:r>
    </w:p>
    <w:p>
      <w:pPr>
        <w:ind w:left="380" w:right="79" w:hanging="330"/>
        <w:spacing w:after="0" w:line="267"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Estimated interest on debt is determined based on: (i) the stated interest rate for fixed debt, and (ii) the estimated variable interest on revolving credit facility assuming the balance at December 31, 2020 remains outstanding until maturity.</w:t>
      </w:r>
    </w:p>
    <w:p>
      <w:pPr>
        <w:spacing w:after="0" w:line="1" w:lineRule="exact"/>
        <w:rPr>
          <w:rFonts w:ascii="Arial" w:cs="Arial" w:eastAsia="Arial" w:hAnsi="Arial"/>
          <w:sz w:val="14"/>
          <w:szCs w:val="14"/>
          <w:color w:val="auto"/>
        </w:rPr>
      </w:pPr>
    </w:p>
    <w:p>
      <w:pPr>
        <w:ind w:left="380" w:right="79" w:hanging="330"/>
        <w:spacing w:after="0" w:line="223"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Qualified defined benefit pension, non-qualified pension and post-retirement benefit obligations include estimated payments for the next ten years. The amounts noted in the column labeled “Thereafter” represent estimated benefit payments for 2026 through 2030 (see Note 11 to the Consolidated Financial Statements in Item 8 of Part II below, for additional information).</w:t>
      </w:r>
    </w:p>
    <w:p>
      <w:pPr>
        <w:spacing w:after="0" w:line="2" w:lineRule="exact"/>
        <w:rPr>
          <w:rFonts w:ascii="Arial" w:cs="Arial" w:eastAsia="Arial" w:hAnsi="Arial"/>
          <w:sz w:val="14"/>
          <w:szCs w:val="14"/>
          <w:color w:val="auto"/>
        </w:rPr>
      </w:pPr>
    </w:p>
    <w:p>
      <w:pPr>
        <w:jc w:val="both"/>
        <w:ind w:left="380" w:right="479" w:hanging="330"/>
        <w:spacing w:after="0" w:line="221"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Multi-employer withdrawal obligations relate to the discounted liability associated with Horizon’s mass withdrawal from Puerto Rico’s multi-employer ILA-PRSSA and the partial withdrawal liability associated with the Local 153 Fund of the OPEIU (see Note 12 to the Consolidated Financial Statements in Item 8 of Part II below, for additional information).</w:t>
      </w:r>
    </w:p>
    <w:p>
      <w:pPr>
        <w:ind w:left="380" w:right="199" w:hanging="330"/>
        <w:spacing w:after="0" w:line="232"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Vendor and other obligations include: (i) non-cancellable contractual capital project obligations; (ii) dry-docking related obligations; and (iii) other contractual obligations. Amounts are considered obligations if a contract has been agreed to specifying significant terms of the contract, and the amounts are not reflected in the Consolidated Balance Sheets.</w:t>
      </w:r>
    </w:p>
    <w:p>
      <w:pPr>
        <w:spacing w:after="0" w:line="174"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Estimated timing and amount of payments related to unrecognized tax benefits of $18.3 million as of December 31, 2020 are excluded from the table due to the uncertainty of such timing and payments, if any.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Commitments, Contingencies and Off-Balance Sheet Arrangements:</w:t>
      </w:r>
    </w:p>
    <w:p>
      <w:pPr>
        <w:spacing w:after="0" w:line="229" w:lineRule="exact"/>
        <w:rPr>
          <w:sz w:val="20"/>
          <w:szCs w:val="20"/>
          <w:color w:val="auto"/>
        </w:rPr>
      </w:pPr>
    </w:p>
    <w:p>
      <w:pPr>
        <w:ind w:left="60" w:right="279"/>
        <w:spacing w:after="0" w:line="342" w:lineRule="auto"/>
        <w:rPr>
          <w:sz w:val="20"/>
          <w:szCs w:val="20"/>
          <w:color w:val="auto"/>
        </w:rPr>
      </w:pPr>
      <w:r>
        <w:rPr>
          <w:rFonts w:ascii="Arial" w:cs="Arial" w:eastAsia="Arial" w:hAnsi="Arial"/>
          <w:sz w:val="16"/>
          <w:szCs w:val="16"/>
          <w:i w:val="1"/>
          <w:iCs w:val="1"/>
          <w:color w:val="auto"/>
        </w:rPr>
        <w:t xml:space="preserve">Commitments and Contingencies: </w:t>
      </w:r>
      <w:r>
        <w:rPr>
          <w:rFonts w:ascii="Arial" w:cs="Arial" w:eastAsia="Arial" w:hAnsi="Arial"/>
          <w:sz w:val="16"/>
          <w:szCs w:val="16"/>
          <w:color w:val="auto"/>
        </w:rPr>
        <w:t>A description of other commitments and contingencies is set forth in Note 9, Note 11</w:t>
      </w:r>
      <w:r>
        <w:rPr>
          <w:rFonts w:ascii="Arial" w:cs="Arial" w:eastAsia="Arial" w:hAnsi="Arial"/>
          <w:sz w:val="16"/>
          <w:szCs w:val="16"/>
          <w:i w:val="1"/>
          <w:iCs w:val="1"/>
          <w:color w:val="auto"/>
        </w:rPr>
        <w:t xml:space="preserve"> </w:t>
      </w:r>
      <w:r>
        <w:rPr>
          <w:rFonts w:ascii="Arial" w:cs="Arial" w:eastAsia="Arial" w:hAnsi="Arial"/>
          <w:sz w:val="16"/>
          <w:szCs w:val="16"/>
          <w:color w:val="auto"/>
        </w:rPr>
        <w:t>and Note 17 to the Consolidated Financial Statements in Item 8 of Part II below, and is incorporated herein by reference.</w:t>
      </w:r>
    </w:p>
    <w:p>
      <w:pPr>
        <w:spacing w:after="0" w:line="124" w:lineRule="exact"/>
        <w:rPr>
          <w:sz w:val="20"/>
          <w:szCs w:val="20"/>
          <w:color w:val="auto"/>
        </w:rPr>
      </w:pPr>
    </w:p>
    <w:p>
      <w:pPr>
        <w:ind w:left="60" w:right="439"/>
        <w:spacing w:after="0" w:line="263" w:lineRule="auto"/>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Except as described below, the Company is not party to any off-balance sheet</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that have, or are reasonably likely to have, a current or future material effect on the Company’s financial condition, results of operations or cash flows.</w:t>
      </w:r>
    </w:p>
    <w:p>
      <w:pPr>
        <w:spacing w:after="0" w:line="184"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Future minimum payments under operating leases are $302.3 million as of December 31, 2020. In addition, the Company provided a lessor with a maximum residual value guarantee related to the lease of a vessel. Additional information related to leases and the vessel lease guarantee is set forth in Note 9 to the Consolidated Financial Statements in Item 8 of Part II below, and is incorporated herein by reference.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The Company’s significant accounting policies are described in Note 2 to the Consolidated Financial Statements in Item 8 of Part II below. The preparation of Consolidated Financial Statements in conformity with accounting principles generally accepted in the United States of America, upon which the Company’s Management Discussion and Analysis of Financial Condition and Results of Operations is based, requires that management exercise judgment when making accounting estimates about future events that may affect the amounts reported in the Consolidated Financial Statements and accompanying notes. Future events and their effects cannot be determined with certainty and actual results will, inevitably, differ from those accounting estimates. These differences could be material.</w:t>
      </w:r>
    </w:p>
    <w:p>
      <w:pPr>
        <w:spacing w:after="0" w:line="177" w:lineRule="exact"/>
        <w:rPr>
          <w:sz w:val="20"/>
          <w:szCs w:val="20"/>
          <w:color w:val="auto"/>
        </w:rPr>
      </w:pPr>
    </w:p>
    <w:p>
      <w:pPr>
        <w:ind w:left="60" w:right="159"/>
        <w:spacing w:after="0" w:line="271" w:lineRule="auto"/>
        <w:rPr>
          <w:sz w:val="20"/>
          <w:szCs w:val="20"/>
          <w:color w:val="auto"/>
        </w:rPr>
      </w:pPr>
      <w:r>
        <w:rPr>
          <w:rFonts w:ascii="Arial" w:cs="Arial" w:eastAsia="Arial" w:hAnsi="Arial"/>
          <w:sz w:val="17"/>
          <w:szCs w:val="17"/>
          <w:color w:val="auto"/>
        </w:rPr>
        <w:t>The Company considers an accounting estimate to be critical if: (i)(a) the accounting estimate requires the Company to make assumptions that are difficult or subjective about matters that were highly uncertain at the time that the accounting estimate was made, (b) changes in the estimate are reasonably likely to occur in periods after the period in which the estimate was made, or (c) use of different estimates by the Company could have been used; and (ii) changes in those accounting estimates would have had a material impact on the financial condition or results of operations of the Company. The critical accounting policies and estimates inherent in the preparation of the Company’s Consolidated Financial Statements are described below. Management has discussed the development and selection of these critical accounting estimates with the Audit Committee of our Board of Directors.</w:t>
      </w:r>
    </w:p>
    <w:p>
      <w:pPr>
        <w:spacing w:after="0" w:line="174" w:lineRule="exact"/>
        <w:rPr>
          <w:sz w:val="20"/>
          <w:szCs w:val="20"/>
          <w:color w:val="auto"/>
        </w:rPr>
      </w:pPr>
    </w:p>
    <w:p>
      <w:pPr>
        <w:ind w:left="60" w:right="99"/>
        <w:spacing w:after="0" w:line="261" w:lineRule="auto"/>
        <w:rPr>
          <w:sz w:val="20"/>
          <w:szCs w:val="20"/>
          <w:color w:val="auto"/>
        </w:rPr>
      </w:pPr>
      <w:r>
        <w:rPr>
          <w:rFonts w:ascii="Arial" w:cs="Arial" w:eastAsia="Arial" w:hAnsi="Arial"/>
          <w:sz w:val="18"/>
          <w:szCs w:val="18"/>
          <w:b w:val="1"/>
          <w:bCs w:val="1"/>
          <w:color w:val="auto"/>
        </w:rPr>
        <w:t xml:space="preserve">Long-Lived Assets, Intangible Assets and Goodwill: </w:t>
      </w:r>
      <w:r>
        <w:rPr>
          <w:rFonts w:ascii="Arial" w:cs="Arial" w:eastAsia="Arial" w:hAnsi="Arial"/>
          <w:sz w:val="18"/>
          <w:szCs w:val="18"/>
          <w:color w:val="auto"/>
        </w:rPr>
        <w:t>The Company evaluates its long-lived assets, intangible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goodwill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w:t>
      </w:r>
    </w:p>
    <w:p>
      <w:pPr>
        <w:spacing w:after="0" w:line="184"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i w:val="1"/>
          <w:iCs w:val="1"/>
          <w:color w:val="auto"/>
        </w:rPr>
        <w:t xml:space="preserve">Long-lived Assets and Finite-lived Intangible Assets: </w:t>
      </w:r>
      <w:r>
        <w:rPr>
          <w:rFonts w:ascii="Arial" w:cs="Arial" w:eastAsia="Arial" w:hAnsi="Arial"/>
          <w:sz w:val="16"/>
          <w:szCs w:val="16"/>
          <w:color w:val="auto"/>
        </w:rPr>
        <w:t>Long-lived assets and finite-lived intangible assets are grouped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lowest level reporting unit for which identifiable cash flows are available. In evaluating for impairment, the estimated future undiscounted cash flows generated by each of these asset groups are compared with the carrying value recorded for each asset group to determine if its carrying value is recoverable. If this review determines that the amount recorded will not be recovered, the amount recorded for the asset group is reduced to its estimated fair value. These asset impairment analyses are highly subjective because they require management to make assumptions and apply considerable judgments to, among other things, estimates of the timing and amount of future cash flows, expected useful lives of the assets, potential impact of future events, including changes in economic conditions and operating performance, and future costs of maintenance and improvements of the assets. If management uses different assumptions or if different conditions occur in future periods, the Company’s financial condition or its future operating results could be materially impacted. The Company has evaluated its long-lived assets and finite-lived intangible assets for impairment and determined that there was no impairment for the years ended December 31, 2020, 2019 and 2018.</w:t>
      </w:r>
    </w:p>
    <w:p>
      <w:pPr>
        <w:spacing w:after="0" w:line="168" w:lineRule="exact"/>
        <w:rPr>
          <w:sz w:val="20"/>
          <w:szCs w:val="20"/>
          <w:color w:val="auto"/>
        </w:rPr>
      </w:pPr>
    </w:p>
    <w:p>
      <w:pPr>
        <w:ind w:left="60" w:right="99"/>
        <w:spacing w:after="0" w:line="267" w:lineRule="auto"/>
        <w:rPr>
          <w:sz w:val="20"/>
          <w:szCs w:val="20"/>
          <w:color w:val="auto"/>
        </w:rPr>
      </w:pPr>
      <w:r>
        <w:rPr>
          <w:rFonts w:ascii="Arial" w:cs="Arial" w:eastAsia="Arial" w:hAnsi="Arial"/>
          <w:sz w:val="17"/>
          <w:szCs w:val="17"/>
          <w:i w:val="1"/>
          <w:iCs w:val="1"/>
          <w:color w:val="auto"/>
        </w:rPr>
        <w:t xml:space="preserve">Indefinite-life Intangible Assets and Goodwill: </w:t>
      </w:r>
      <w:r>
        <w:rPr>
          <w:rFonts w:ascii="Arial" w:cs="Arial" w:eastAsia="Arial" w:hAnsi="Arial"/>
          <w:sz w:val="17"/>
          <w:szCs w:val="17"/>
          <w:color w:val="auto"/>
        </w:rPr>
        <w:t>The Company’s intangible assets include goodwill, customer relationships</w:t>
      </w:r>
      <w:r>
        <w:rPr>
          <w:rFonts w:ascii="Arial" w:cs="Arial" w:eastAsia="Arial" w:hAnsi="Arial"/>
          <w:sz w:val="17"/>
          <w:szCs w:val="17"/>
          <w:i w:val="1"/>
          <w:iCs w:val="1"/>
          <w:color w:val="auto"/>
        </w:rPr>
        <w:t xml:space="preserve"> </w:t>
      </w:r>
      <w:r>
        <w:rPr>
          <w:rFonts w:ascii="Arial" w:cs="Arial" w:eastAsia="Arial" w:hAnsi="Arial"/>
          <w:sz w:val="17"/>
          <w:szCs w:val="17"/>
          <w:color w:val="auto"/>
        </w:rPr>
        <w:t>and a trade name, and are grouped at the lowest level reporting unit for which identifiable cash flows are available. In estimating the fair value of a reporting unit, the Company uses a combination of a discounted cash flow model and fair value based on market multiples of earnings before interest, income taxes, depreciation and amortization (“EBITDA”). The discounted cash flow approach requires the Company to use a number of assumptions, including market factors specific to the business, the amount and timing of estimated future cash flows generated by the business over an extended period of time, long-term growth rates for the business, and a discount rate that considers the risks related to the amount and timing of the cash flows. Although the assumptions used by the Company in its discounted cash flow model are consistent with the assumptions the Company used to generate its internal strategic plans and forecasts, significant judgment is required to estimate the amount and timing of future cash flows from the reporting unit and the risk of achieving those cash flows. When using market multiples of EBITDA, the Company makes judgments about the comparability of multiples in closed and proposed transactions. Accordingly, changes in assumptions and estimates, including, but not limited to, changes driven by external factors, such as industry and economic trends, and those driven by internal factors, such as changes in the Company’s business strategy and its internal forecasts, could have a material effect on the Company’s financial condition or its future operating results. The Company has evaluated its indefinite-life intangible assets and goodwill for impairment and determined that there was no impairment for the years ended December 31, 2020, 2019 and 2018.</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79"/>
        <w:spacing w:after="0" w:line="255" w:lineRule="auto"/>
        <w:rPr>
          <w:sz w:val="20"/>
          <w:szCs w:val="20"/>
          <w:color w:val="auto"/>
        </w:rPr>
      </w:pPr>
      <w:r>
        <w:rPr>
          <w:rFonts w:ascii="Arial" w:cs="Arial" w:eastAsia="Arial" w:hAnsi="Arial"/>
          <w:sz w:val="18"/>
          <w:szCs w:val="18"/>
          <w:b w:val="1"/>
          <w:bCs w:val="1"/>
          <w:color w:val="auto"/>
        </w:rPr>
        <w:t xml:space="preserve">Insurance Related Liabilities: </w:t>
      </w:r>
      <w:r>
        <w:rPr>
          <w:rFonts w:ascii="Arial" w:cs="Arial" w:eastAsia="Arial" w:hAnsi="Arial"/>
          <w:sz w:val="18"/>
          <w:szCs w:val="18"/>
          <w:color w:val="auto"/>
        </w:rPr>
        <w:t>The Company is uninsured for certain risks but when feasible, many of these risks are</w:t>
      </w:r>
      <w:r>
        <w:rPr>
          <w:rFonts w:ascii="Arial" w:cs="Arial" w:eastAsia="Arial" w:hAnsi="Arial"/>
          <w:sz w:val="18"/>
          <w:szCs w:val="18"/>
          <w:b w:val="1"/>
          <w:bCs w:val="1"/>
          <w:color w:val="auto"/>
        </w:rPr>
        <w:t xml:space="preserve"> </w:t>
      </w:r>
      <w:r>
        <w:rPr>
          <w:rFonts w:ascii="Arial" w:cs="Arial" w:eastAsia="Arial" w:hAnsi="Arial"/>
          <w:sz w:val="18"/>
          <w:szCs w:val="18"/>
          <w:color w:val="auto"/>
        </w:rPr>
        <w:t>mitigated by insurance. The Company purchases insurance with deductibles or self-insured retentions. Such insurance includes, but is not limited to, employee health, workers’ compensation, marine liability, cybersecurity, auto liability and physical damage to property and equipment. For certain risks, the Company elects to not purchase insurance because of the excessive cost of such insurance or the perceived remoteness of the risk. In addition, the Company retains all risk of loss that exceeds the limits of the Company’s insurance policies, or for other risks where insurance is not commercially available.</w:t>
      </w:r>
    </w:p>
    <w:p>
      <w:pPr>
        <w:spacing w:after="0" w:line="193"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When estimating its reserves for retained risks and related liabilities, the Company considers a number of factors, including historical claims experience, demographic factors, current trends, and analyses provided by independent third-parties. Periodically, management reviews its assumptions and estimates used to determine the adequacy of the Company’s reserves for retained risks and other related liabilities. The Company’s retained risks and other related liabilities contain uncertainties because management is required to apply judgment and make long-term assumptions to estimate the ultimate cost to settle reported claims, and of claims incurred but not reported, as of the balance sheet date. If management uses different assumptions or if different conditions occur in future periods, the Company’s financial condition or its future operating results could be materially impacted.</w:t>
      </w:r>
    </w:p>
    <w:p>
      <w:pPr>
        <w:spacing w:after="0" w:line="107" w:lineRule="exact"/>
        <w:rPr>
          <w:sz w:val="20"/>
          <w:szCs w:val="20"/>
          <w:color w:val="auto"/>
        </w:rPr>
      </w:pPr>
    </w:p>
    <w:p>
      <w:pPr>
        <w:ind w:left="60" w:right="119"/>
        <w:spacing w:after="0" w:line="292" w:lineRule="auto"/>
        <w:rPr>
          <w:sz w:val="20"/>
          <w:szCs w:val="20"/>
          <w:color w:val="auto"/>
        </w:rPr>
      </w:pPr>
      <w:r>
        <w:rPr>
          <w:rFonts w:ascii="Arial" w:cs="Arial" w:eastAsia="Arial" w:hAnsi="Arial"/>
          <w:sz w:val="16"/>
          <w:szCs w:val="16"/>
          <w:b w:val="1"/>
          <w:bCs w:val="1"/>
          <w:color w:val="auto"/>
        </w:rPr>
        <w:t xml:space="preserve">Pension and Post-Retirement Plans: </w:t>
      </w:r>
      <w:r>
        <w:rPr>
          <w:rFonts w:ascii="Arial" w:cs="Arial" w:eastAsia="Arial" w:hAnsi="Arial"/>
          <w:sz w:val="16"/>
          <w:szCs w:val="16"/>
          <w:color w:val="auto"/>
        </w:rPr>
        <w:t>The estimation of the Company’s pension and post-retirement benefit expenses and</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requires the Company to make various assumptions. These assumptions include factors such as discount rates, expected long-term rate of return on pension plan assets, salary growth, health care cost trend rates, inflation, retirement rates, mortality rates and expected contributions. Actual results that differ from the assumptions made could materially affect the Company’s financial condition or its future operating results. The effects of changing assumptions are included in unamortized net gains and losses, which directly affect accumulated other comprehensive income (loss). Additionally, these unamortized gains and losses are amortized and reclassified to income (loss) over future periods.</w:t>
      </w:r>
    </w:p>
    <w:p>
      <w:pPr>
        <w:spacing w:after="0" w:line="98"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Additional information about the Company’s pension and post-retirement plans and assumptions used is included in Note 11 to the Consolidated Financial Statements in Item 8 of Part II below.</w:t>
      </w:r>
    </w:p>
    <w:p>
      <w:pPr>
        <w:spacing w:after="0" w:line="99"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The Company’s income tax expense requires the Company to make various estimates and judgments.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These estimates and judgments are applied in the calculation of taxable income, tax credits, tax benefits and deductions, and in the calculation of certain deferred tax assets and liabilities, which arise from differences in the timing of recognition of revenue, costs and expenses for tax purposes. The calculation of deferred tax assets and liabilities may be impacted by various factors including but not limited to changes in tax rates; changes in tax laws, regulations, and rulings; changes in interpretations of existing tax laws, regulations and rulings; and changes in the evaluation of the Company’s ability to realize deferred tax assets including operating loss and tax credit carryforwards. Deferred tax assets and liabilities are adjusted to the extent necessary to reflect tax rates expected to be in effect when the temporary differences reverse. Significant changes to these estimates may result in an increase or decrease to the Company’s income taxes in a subsequent period.</w:t>
      </w:r>
    </w:p>
    <w:p>
      <w:pPr>
        <w:spacing w:after="0" w:line="181" w:lineRule="exact"/>
        <w:rPr>
          <w:sz w:val="20"/>
          <w:szCs w:val="20"/>
          <w:color w:val="auto"/>
        </w:rPr>
      </w:pPr>
    </w:p>
    <w:p>
      <w:pPr>
        <w:ind w:left="60" w:right="239"/>
        <w:spacing w:after="0" w:line="342" w:lineRule="auto"/>
        <w:rPr>
          <w:sz w:val="20"/>
          <w:szCs w:val="20"/>
          <w:color w:val="auto"/>
        </w:rPr>
      </w:pPr>
      <w:r>
        <w:rPr>
          <w:rFonts w:ascii="Arial" w:cs="Arial" w:eastAsia="Arial" w:hAnsi="Arial"/>
          <w:sz w:val="16"/>
          <w:szCs w:val="16"/>
          <w:color w:val="auto"/>
        </w:rPr>
        <w:t>The Company records a valuation allowance if, based on the weight of available evidence, management believes that it is more likely than not that some portion or all of a recorded deferred tax asset would not be realized in future periods.</w:t>
      </w:r>
    </w:p>
    <w:p>
      <w:pPr>
        <w:spacing w:after="0" w:line="124"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Additional information about the Company’s income taxes is included in Note 10 to the Consolidated Financial Statements in Item 8 of Part II below.</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MATTERS</w:t>
      </w:r>
    </w:p>
    <w:p>
      <w:pPr>
        <w:spacing w:after="0" w:line="162"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i w:val="1"/>
          <w:iCs w:val="1"/>
          <w:color w:val="auto"/>
        </w:rPr>
        <w:t xml:space="preserve">New Accounting Pronouncements: </w:t>
      </w:r>
      <w:r>
        <w:rPr>
          <w:rFonts w:ascii="Arial" w:cs="Arial" w:eastAsia="Arial" w:hAnsi="Arial"/>
          <w:sz w:val="18"/>
          <w:szCs w:val="18"/>
          <w:color w:val="auto"/>
        </w:rPr>
        <w:t>See Note 2 to the Consolidated Financial Statements in Item 8 of Part II below 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information on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0" w:right="59"/>
        <w:spacing w:after="0" w:line="291" w:lineRule="auto"/>
        <w:rPr>
          <w:sz w:val="20"/>
          <w:szCs w:val="20"/>
          <w:color w:val="auto"/>
        </w:rPr>
      </w:pPr>
      <w:r>
        <w:rPr>
          <w:rFonts w:ascii="Arial" w:cs="Arial" w:eastAsia="Arial" w:hAnsi="Arial"/>
          <w:sz w:val="16"/>
          <w:szCs w:val="16"/>
          <w:i w:val="1"/>
          <w:iCs w:val="1"/>
          <w:color w:val="auto"/>
        </w:rPr>
        <w:t xml:space="preserve">Debt and Interest Rate Risks: </w:t>
      </w:r>
      <w:r>
        <w:rPr>
          <w:rFonts w:ascii="Arial" w:cs="Arial" w:eastAsia="Arial" w:hAnsi="Arial"/>
          <w:sz w:val="16"/>
          <w:szCs w:val="16"/>
          <w:color w:val="auto"/>
        </w:rPr>
        <w:t>The Company is exposed to changes in interest rates, primarily as a result of its borrowing</w:t>
      </w:r>
      <w:r>
        <w:rPr>
          <w:rFonts w:ascii="Arial" w:cs="Arial" w:eastAsia="Arial" w:hAnsi="Arial"/>
          <w:sz w:val="16"/>
          <w:szCs w:val="16"/>
          <w:i w:val="1"/>
          <w:iCs w:val="1"/>
          <w:color w:val="auto"/>
        </w:rPr>
        <w:t xml:space="preserve"> </w:t>
      </w:r>
      <w:r>
        <w:rPr>
          <w:rFonts w:ascii="Arial" w:cs="Arial" w:eastAsia="Arial" w:hAnsi="Arial"/>
          <w:sz w:val="16"/>
          <w:szCs w:val="16"/>
          <w:color w:val="auto"/>
        </w:rPr>
        <w:t>and investing activities used to maintain liquidity and to fund business operations, including borrowings under its revolving credit facility and private placement term loans. In order to manage its exposure to changes in interest rates, the Company utilizes a balanced mix of both fixed-rate and variable-rate debt with various maturity dates. The nature and amount of the Company’s outstanding debt are expected to fluctuate as a result of future business requirements, market conditions and other factors. The Company’s outstanding variable and fixed rate debt was $71.8 million and $688.3 million as of December 31, 2020, and $379.1 million and $579.3 million as of December 31, 2019, respectively.</w:t>
      </w:r>
    </w:p>
    <w:p>
      <w:pPr>
        <w:spacing w:after="0" w:line="166"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Other than in certain events of default, the Company is not obligated to prepay its variable and fixed rate debt prior to maturity. For fixed rate debt, changes in market interest rates would not affect the Company’s financial condition or results of operations. For variable rate debt, a 100 basis point increase in the variable interest rate would have an impact on the Company’s results of operations for 2020 of approximately $0.7 million, assuming the December 31, 2020 balance of the variable rate debt was outstanding throughout the year. This change is not expected to have a material impact on the fair value of the Company’s variable rate debt.</w:t>
      </w:r>
    </w:p>
    <w:p>
      <w:pPr>
        <w:spacing w:after="0" w:line="192" w:lineRule="exact"/>
        <w:rPr>
          <w:sz w:val="20"/>
          <w:szCs w:val="20"/>
          <w:color w:val="auto"/>
        </w:rPr>
      </w:pPr>
    </w:p>
    <w:p>
      <w:pPr>
        <w:ind w:left="60" w:right="59"/>
        <w:spacing w:after="0" w:line="273" w:lineRule="auto"/>
        <w:rPr>
          <w:sz w:val="20"/>
          <w:szCs w:val="20"/>
          <w:color w:val="auto"/>
        </w:rPr>
      </w:pPr>
      <w:r>
        <w:rPr>
          <w:rFonts w:ascii="Arial" w:cs="Arial" w:eastAsia="Arial" w:hAnsi="Arial"/>
          <w:sz w:val="17"/>
          <w:szCs w:val="17"/>
          <w:color w:val="auto"/>
        </w:rPr>
        <w:t>Interest on certain borrowings by the Company is calculated using the London Interbank Offered Rate (“LIBOR”). Current expectations are that the use of LIBOR will be discontinued as a benchmark interest rate by mid-2023. The expected discontinuation of LIBOR will require the Company and its lenders to transition from a LIBOR measurement to an alternative benchmark interest rate. The transition from LIBOR to another benchmark rate or rates could have an adverse impact on the cost of certain borrowings by the Company that currently use LIBOR as a benchmark rate, and ultimately, adversely affect the Company’s financial condition and results of operations.</w:t>
      </w:r>
    </w:p>
    <w:p>
      <w:pPr>
        <w:spacing w:after="0" w:line="178"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Additional information about the Company’s debt is included in Note 8 to the Consolidated Financial Statements in Item 8 of Part II below.</w:t>
      </w:r>
    </w:p>
    <w:p>
      <w:pPr>
        <w:spacing w:after="0" w:line="170" w:lineRule="exact"/>
        <w:rPr>
          <w:sz w:val="20"/>
          <w:szCs w:val="20"/>
          <w:color w:val="auto"/>
        </w:rPr>
      </w:pPr>
    </w:p>
    <w:p>
      <w:pPr>
        <w:jc w:val="both"/>
        <w:ind w:left="60" w:right="439"/>
        <w:spacing w:after="0" w:line="287" w:lineRule="auto"/>
        <w:rPr>
          <w:sz w:val="20"/>
          <w:szCs w:val="20"/>
          <w:color w:val="auto"/>
        </w:rPr>
      </w:pPr>
      <w:r>
        <w:rPr>
          <w:rFonts w:ascii="Arial" w:cs="Arial" w:eastAsia="Arial" w:hAnsi="Arial"/>
          <w:sz w:val="16"/>
          <w:szCs w:val="16"/>
          <w:i w:val="1"/>
          <w:iCs w:val="1"/>
          <w:color w:val="auto"/>
        </w:rPr>
        <w:t xml:space="preserve">Investment Risks: </w:t>
      </w:r>
      <w:r>
        <w:rPr>
          <w:rFonts w:ascii="Arial" w:cs="Arial" w:eastAsia="Arial" w:hAnsi="Arial"/>
          <w:sz w:val="16"/>
          <w:szCs w:val="16"/>
          <w:color w:val="auto"/>
        </w:rPr>
        <w:t>From time to time, the Company may invest its excess cash in short-term money market funds that</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government securities or corporate debt securities, or in other deposit products allowed under the Company’s Cash Investment Policy. These money market funds and deposits maintain a weighted average maturity of less than</w:t>
      </w:r>
    </w:p>
    <w:p>
      <w:pPr>
        <w:spacing w:after="0" w:line="2" w:lineRule="exact"/>
        <w:rPr>
          <w:sz w:val="20"/>
          <w:szCs w:val="20"/>
          <w:color w:val="auto"/>
        </w:rPr>
      </w:pPr>
    </w:p>
    <w:p>
      <w:pPr>
        <w:jc w:val="both"/>
        <w:ind w:left="60" w:right="219"/>
        <w:spacing w:after="0" w:line="255" w:lineRule="auto"/>
        <w:rPr>
          <w:sz w:val="20"/>
          <w:szCs w:val="20"/>
          <w:color w:val="auto"/>
        </w:rPr>
      </w:pPr>
      <w:r>
        <w:rPr>
          <w:rFonts w:ascii="Arial" w:cs="Arial" w:eastAsia="Arial" w:hAnsi="Arial"/>
          <w:sz w:val="18"/>
          <w:szCs w:val="18"/>
          <w:color w:val="auto"/>
        </w:rPr>
        <w:t>90 days, and accordingly, a one percent change in interest rates is not expected to have a material impact on the fair value of these investments or on interest income. The Company had a nominal amount on deposit in money market funds as of December 31, 2020 and 2019.</w:t>
      </w:r>
    </w:p>
    <w:p>
      <w:pPr>
        <w:spacing w:after="0" w:line="190" w:lineRule="exact"/>
        <w:rPr>
          <w:sz w:val="20"/>
          <w:szCs w:val="20"/>
          <w:color w:val="auto"/>
        </w:rPr>
      </w:pPr>
    </w:p>
    <w:p>
      <w:pPr>
        <w:jc w:val="both"/>
        <w:ind w:left="60" w:right="219"/>
        <w:spacing w:after="0" w:line="277" w:lineRule="auto"/>
        <w:rPr>
          <w:sz w:val="20"/>
          <w:szCs w:val="20"/>
          <w:color w:val="auto"/>
        </w:rPr>
      </w:pPr>
      <w:r>
        <w:rPr>
          <w:rFonts w:ascii="Arial" w:cs="Arial" w:eastAsia="Arial" w:hAnsi="Arial"/>
          <w:sz w:val="18"/>
          <w:szCs w:val="18"/>
          <w:color w:val="auto"/>
        </w:rPr>
        <w:t>Through the CCF, the Company may, from time to time, invest in money market funds or other eligible investments. The Company’s cash deposits in the CCF as of December 31, 2020 and 2019 were nominal.</w:t>
      </w:r>
    </w:p>
    <w:p>
      <w:pPr>
        <w:spacing w:after="0" w:line="170"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i w:val="1"/>
          <w:iCs w:val="1"/>
          <w:color w:val="auto"/>
        </w:rPr>
        <w:t xml:space="preserve">Foreign Currency Risks: </w:t>
      </w:r>
      <w:r>
        <w:rPr>
          <w:rFonts w:ascii="Arial" w:cs="Arial" w:eastAsia="Arial" w:hAnsi="Arial"/>
          <w:sz w:val="17"/>
          <w:szCs w:val="17"/>
          <w:color w:val="auto"/>
        </w:rPr>
        <w:t>The Company has no material exposure to foreign currency risks, although it is indirectly</w:t>
      </w:r>
      <w:r>
        <w:rPr>
          <w:rFonts w:ascii="Arial" w:cs="Arial" w:eastAsia="Arial" w:hAnsi="Arial"/>
          <w:sz w:val="17"/>
          <w:szCs w:val="17"/>
          <w:i w:val="1"/>
          <w:iCs w:val="1"/>
          <w:color w:val="auto"/>
        </w:rPr>
        <w:t xml:space="preserve"> </w:t>
      </w:r>
      <w:r>
        <w:rPr>
          <w:rFonts w:ascii="Arial" w:cs="Arial" w:eastAsia="Arial" w:hAnsi="Arial"/>
          <w:sz w:val="17"/>
          <w:szCs w:val="17"/>
          <w:color w:val="auto"/>
        </w:rPr>
        <w:t>affected by changes in currency rates to the extent that changes in rates affect tourism in Hawaii, Guam, Alaska and other locations. Transactions related to the Company’s China service are primarily denominated in U.S. dollars, and therefore, a one percent change in the Chinese Yuan exchange rate would not have a material effect on the Company’s results of operations. Transactions related to the Company’s South Pacific service are primarily denominated in New Zealand dollars. However, a one percent change in the New Zealand dollar exchange rate is not expected to have a material effect on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8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080" w:type="dxa"/>
            <w:vAlign w:val="bottom"/>
            <w:gridSpan w:val="2"/>
            <w:vMerge w:val="restart"/>
          </w:tcPr>
          <w:p>
            <w:pPr>
              <w:ind w:left="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Management’s Annual Report on Internal Control Over Financial Reporting</w:t>
              </w:r>
            </w:hyperlink>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5"/>
        </w:trPr>
        <w:tc>
          <w:tcPr>
            <w:tcW w:w="8080" w:type="dxa"/>
            <w:vAlign w:val="bottom"/>
            <w:gridSpan w:val="2"/>
            <w:vMerge w:val="continue"/>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8080" w:type="dxa"/>
            <w:vAlign w:val="bottom"/>
            <w:gridSpan w:val="2"/>
          </w:tcPr>
          <w:p>
            <w:pPr>
              <w:ind w:left="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Report of Independent Registered Public Accounting Firm</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8080" w:type="dxa"/>
            <w:vAlign w:val="bottom"/>
            <w:gridSpan w:val="2"/>
          </w:tcPr>
          <w:p>
            <w:pPr>
              <w:ind w:left="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Consolidated Statements of Income and Comprehensive Income</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080" w:type="dxa"/>
            <w:vAlign w:val="bottom"/>
            <w:gridSpan w:val="2"/>
          </w:tcPr>
          <w:p>
            <w:pPr>
              <w:ind w:left="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Consolidated Balance Sheets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8080" w:type="dxa"/>
            <w:vAlign w:val="bottom"/>
            <w:gridSpan w:val="2"/>
          </w:tcPr>
          <w:p>
            <w:pPr>
              <w:ind w:left="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Consolidated Statements of Cash Flows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Consolidated Statements of Shareholders’ Equity</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18"/>
        </w:trPr>
        <w:tc>
          <w:tcPr>
            <w:tcW w:w="8080" w:type="dxa"/>
            <w:vAlign w:val="bottom"/>
            <w:gridSpan w:val="2"/>
          </w:tcPr>
          <w:p>
            <w:pPr>
              <w:ind w:left="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Notes to Consolidated Financial Statements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80" w:type="dxa"/>
            <w:vAlign w:val="bottom"/>
          </w:tcPr>
          <w:p>
            <w:pPr>
              <w:ind w:left="20"/>
              <w:spacing w:after="0"/>
              <w:rPr>
                <w:rFonts w:ascii="Arial" w:cs="Arial" w:eastAsia="Arial" w:hAnsi="Arial"/>
                <w:sz w:val="18"/>
                <w:szCs w:val="18"/>
                <w:color w:val="0000EE"/>
              </w:rPr>
            </w:pPr>
            <w:hyperlink w:anchor="page46">
              <w:r>
                <w:rPr>
                  <w:rFonts w:ascii="Arial" w:cs="Arial" w:eastAsia="Arial" w:hAnsi="Arial"/>
                  <w:sz w:val="18"/>
                  <w:szCs w:val="18"/>
                  <w:u w:val="single" w:color="auto"/>
                  <w:color w:val="0000EE"/>
                </w:rPr>
                <w:t>1</w:t>
              </w:r>
              <w:r>
                <w:rPr>
                  <w:rFonts w:ascii="Arial" w:cs="Arial" w:eastAsia="Arial" w:hAnsi="Arial"/>
                  <w:sz w:val="18"/>
                  <w:szCs w:val="18"/>
                  <w:color w:val="0000EE"/>
                </w:rPr>
                <w:t>.</w:t>
              </w:r>
            </w:hyperlink>
          </w:p>
        </w:tc>
        <w:tc>
          <w:tcPr>
            <w:tcW w:w="7700" w:type="dxa"/>
            <w:vAlign w:val="bottom"/>
          </w:tcPr>
          <w:p>
            <w:pPr>
              <w:ind w:left="1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Description of the Business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80" w:type="dxa"/>
            <w:vAlign w:val="bottom"/>
          </w:tcPr>
          <w:p>
            <w:pPr>
              <w:ind w:left="20"/>
              <w:spacing w:after="0"/>
              <w:rPr>
                <w:rFonts w:ascii="Arial" w:cs="Arial" w:eastAsia="Arial" w:hAnsi="Arial"/>
                <w:sz w:val="18"/>
                <w:szCs w:val="18"/>
                <w:color w:val="0000EE"/>
              </w:rPr>
            </w:pPr>
            <w:hyperlink w:anchor="page46">
              <w:r>
                <w:rPr>
                  <w:rFonts w:ascii="Arial" w:cs="Arial" w:eastAsia="Arial" w:hAnsi="Arial"/>
                  <w:sz w:val="18"/>
                  <w:szCs w:val="18"/>
                  <w:u w:val="single" w:color="auto"/>
                  <w:color w:val="0000EE"/>
                </w:rPr>
                <w:t>2</w:t>
              </w:r>
              <w:r>
                <w:rPr>
                  <w:rFonts w:ascii="Arial" w:cs="Arial" w:eastAsia="Arial" w:hAnsi="Arial"/>
                  <w:sz w:val="18"/>
                  <w:szCs w:val="18"/>
                  <w:color w:val="0000EE"/>
                </w:rPr>
                <w:t>.</w:t>
              </w:r>
            </w:hyperlink>
          </w:p>
        </w:tc>
        <w:tc>
          <w:tcPr>
            <w:tcW w:w="7700" w:type="dxa"/>
            <w:vAlign w:val="bottom"/>
          </w:tcPr>
          <w:p>
            <w:pPr>
              <w:ind w:left="1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Significant Accounting Policies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80" w:type="dxa"/>
            <w:vAlign w:val="bottom"/>
          </w:tcPr>
          <w:p>
            <w:pPr>
              <w:ind w:left="20"/>
              <w:spacing w:after="0"/>
              <w:rPr>
                <w:rFonts w:ascii="Arial" w:cs="Arial" w:eastAsia="Arial" w:hAnsi="Arial"/>
                <w:sz w:val="18"/>
                <w:szCs w:val="18"/>
                <w:color w:val="0000EE"/>
              </w:rPr>
            </w:pPr>
            <w:hyperlink w:anchor="page52">
              <w:r>
                <w:rPr>
                  <w:rFonts w:ascii="Arial" w:cs="Arial" w:eastAsia="Arial" w:hAnsi="Arial"/>
                  <w:sz w:val="18"/>
                  <w:szCs w:val="18"/>
                  <w:u w:val="single" w:color="auto"/>
                  <w:color w:val="0000EE"/>
                </w:rPr>
                <w:t>3</w:t>
              </w:r>
              <w:r>
                <w:rPr>
                  <w:rFonts w:ascii="Arial" w:cs="Arial" w:eastAsia="Arial" w:hAnsi="Arial"/>
                  <w:sz w:val="18"/>
                  <w:szCs w:val="18"/>
                  <w:color w:val="0000EE"/>
                </w:rPr>
                <w:t>.</w:t>
              </w:r>
            </w:hyperlink>
          </w:p>
        </w:tc>
        <w:tc>
          <w:tcPr>
            <w:tcW w:w="7700" w:type="dxa"/>
            <w:vAlign w:val="bottom"/>
          </w:tcPr>
          <w:p>
            <w:pPr>
              <w:ind w:left="1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Reportable Segments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80" w:type="dxa"/>
            <w:vAlign w:val="bottom"/>
          </w:tcPr>
          <w:p>
            <w:pPr>
              <w:ind w:left="20"/>
              <w:spacing w:after="0"/>
              <w:rPr>
                <w:rFonts w:ascii="Arial" w:cs="Arial" w:eastAsia="Arial" w:hAnsi="Arial"/>
                <w:sz w:val="18"/>
                <w:szCs w:val="18"/>
                <w:color w:val="0000EE"/>
              </w:rPr>
            </w:pPr>
            <w:hyperlink w:anchor="page53">
              <w:r>
                <w:rPr>
                  <w:rFonts w:ascii="Arial" w:cs="Arial" w:eastAsia="Arial" w:hAnsi="Arial"/>
                  <w:sz w:val="18"/>
                  <w:szCs w:val="18"/>
                  <w:u w:val="single" w:color="auto"/>
                  <w:color w:val="0000EE"/>
                </w:rPr>
                <w:t>4</w:t>
              </w:r>
              <w:r>
                <w:rPr>
                  <w:rFonts w:ascii="Arial" w:cs="Arial" w:eastAsia="Arial" w:hAnsi="Arial"/>
                  <w:sz w:val="18"/>
                  <w:szCs w:val="18"/>
                  <w:color w:val="0000EE"/>
                </w:rPr>
                <w:t>.</w:t>
              </w:r>
            </w:hyperlink>
          </w:p>
        </w:tc>
        <w:tc>
          <w:tcPr>
            <w:tcW w:w="7700" w:type="dxa"/>
            <w:vAlign w:val="bottom"/>
          </w:tcPr>
          <w:p>
            <w:pPr>
              <w:ind w:left="12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Investment in SSAT</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80" w:type="dxa"/>
            <w:vAlign w:val="bottom"/>
          </w:tcPr>
          <w:p>
            <w:pPr>
              <w:ind w:left="20"/>
              <w:spacing w:after="0"/>
              <w:rPr>
                <w:rFonts w:ascii="Arial" w:cs="Arial" w:eastAsia="Arial" w:hAnsi="Arial"/>
                <w:sz w:val="18"/>
                <w:szCs w:val="18"/>
                <w:color w:val="0000EE"/>
              </w:rPr>
            </w:pPr>
            <w:hyperlink w:anchor="page54">
              <w:r>
                <w:rPr>
                  <w:rFonts w:ascii="Arial" w:cs="Arial" w:eastAsia="Arial" w:hAnsi="Arial"/>
                  <w:sz w:val="18"/>
                  <w:szCs w:val="18"/>
                  <w:u w:val="single" w:color="auto"/>
                  <w:color w:val="0000EE"/>
                </w:rPr>
                <w:t>5</w:t>
              </w:r>
              <w:r>
                <w:rPr>
                  <w:rFonts w:ascii="Arial" w:cs="Arial" w:eastAsia="Arial" w:hAnsi="Arial"/>
                  <w:sz w:val="18"/>
                  <w:szCs w:val="18"/>
                  <w:color w:val="0000EE"/>
                </w:rPr>
                <w:t>.</w:t>
              </w:r>
            </w:hyperlink>
          </w:p>
        </w:tc>
        <w:tc>
          <w:tcPr>
            <w:tcW w:w="7700" w:type="dxa"/>
            <w:vAlign w:val="bottom"/>
          </w:tcPr>
          <w:p>
            <w:pPr>
              <w:ind w:left="1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Property and Equipment</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80" w:type="dxa"/>
            <w:vAlign w:val="bottom"/>
          </w:tcPr>
          <w:p>
            <w:pPr>
              <w:ind w:left="20"/>
              <w:spacing w:after="0"/>
              <w:rPr>
                <w:rFonts w:ascii="Arial" w:cs="Arial" w:eastAsia="Arial" w:hAnsi="Arial"/>
                <w:sz w:val="18"/>
                <w:szCs w:val="18"/>
                <w:color w:val="0000EE"/>
              </w:rPr>
            </w:pPr>
            <w:hyperlink w:anchor="page54">
              <w:r>
                <w:rPr>
                  <w:rFonts w:ascii="Arial" w:cs="Arial" w:eastAsia="Arial" w:hAnsi="Arial"/>
                  <w:sz w:val="18"/>
                  <w:szCs w:val="18"/>
                  <w:u w:val="single" w:color="auto"/>
                  <w:color w:val="0000EE"/>
                </w:rPr>
                <w:t>6</w:t>
              </w:r>
              <w:r>
                <w:rPr>
                  <w:rFonts w:ascii="Arial" w:cs="Arial" w:eastAsia="Arial" w:hAnsi="Arial"/>
                  <w:sz w:val="18"/>
                  <w:szCs w:val="18"/>
                  <w:color w:val="0000EE"/>
                </w:rPr>
                <w:t>.</w:t>
              </w:r>
            </w:hyperlink>
          </w:p>
        </w:tc>
        <w:tc>
          <w:tcPr>
            <w:tcW w:w="7700" w:type="dxa"/>
            <w:vAlign w:val="bottom"/>
          </w:tcPr>
          <w:p>
            <w:pPr>
              <w:ind w:left="1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Goodwill and Intangible Assets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80" w:type="dxa"/>
            <w:vAlign w:val="bottom"/>
          </w:tcPr>
          <w:p>
            <w:pPr>
              <w:ind w:left="20"/>
              <w:spacing w:after="0"/>
              <w:rPr>
                <w:rFonts w:ascii="Arial" w:cs="Arial" w:eastAsia="Arial" w:hAnsi="Arial"/>
                <w:sz w:val="18"/>
                <w:szCs w:val="18"/>
                <w:color w:val="0000EE"/>
              </w:rPr>
            </w:pPr>
            <w:hyperlink w:anchor="page55">
              <w:r>
                <w:rPr>
                  <w:rFonts w:ascii="Arial" w:cs="Arial" w:eastAsia="Arial" w:hAnsi="Arial"/>
                  <w:sz w:val="18"/>
                  <w:szCs w:val="18"/>
                  <w:u w:val="single" w:color="auto"/>
                  <w:color w:val="0000EE"/>
                </w:rPr>
                <w:t>7</w:t>
              </w:r>
              <w:r>
                <w:rPr>
                  <w:rFonts w:ascii="Arial" w:cs="Arial" w:eastAsia="Arial" w:hAnsi="Arial"/>
                  <w:sz w:val="18"/>
                  <w:szCs w:val="18"/>
                  <w:color w:val="0000EE"/>
                </w:rPr>
                <w:t>.</w:t>
              </w:r>
            </w:hyperlink>
          </w:p>
        </w:tc>
        <w:tc>
          <w:tcPr>
            <w:tcW w:w="7700" w:type="dxa"/>
            <w:vAlign w:val="bottom"/>
          </w:tcPr>
          <w:p>
            <w:pPr>
              <w:ind w:left="12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Capital Construction Fund</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80" w:type="dxa"/>
            <w:vAlign w:val="bottom"/>
          </w:tcPr>
          <w:p>
            <w:pPr>
              <w:ind w:left="20"/>
              <w:spacing w:after="0"/>
              <w:rPr>
                <w:rFonts w:ascii="Arial" w:cs="Arial" w:eastAsia="Arial" w:hAnsi="Arial"/>
                <w:sz w:val="18"/>
                <w:szCs w:val="18"/>
                <w:color w:val="0000EE"/>
              </w:rPr>
            </w:pPr>
            <w:hyperlink w:anchor="page56">
              <w:r>
                <w:rPr>
                  <w:rFonts w:ascii="Arial" w:cs="Arial" w:eastAsia="Arial" w:hAnsi="Arial"/>
                  <w:sz w:val="18"/>
                  <w:szCs w:val="18"/>
                  <w:u w:val="single" w:color="auto"/>
                  <w:color w:val="0000EE"/>
                </w:rPr>
                <w:t>8</w:t>
              </w:r>
              <w:r>
                <w:rPr>
                  <w:rFonts w:ascii="Arial" w:cs="Arial" w:eastAsia="Arial" w:hAnsi="Arial"/>
                  <w:sz w:val="18"/>
                  <w:szCs w:val="18"/>
                  <w:color w:val="0000EE"/>
                </w:rPr>
                <w:t>.</w:t>
              </w:r>
            </w:hyperlink>
          </w:p>
        </w:tc>
        <w:tc>
          <w:tcPr>
            <w:tcW w:w="7700" w:type="dxa"/>
            <w:vAlign w:val="bottom"/>
          </w:tcPr>
          <w:p>
            <w:pPr>
              <w:ind w:left="12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Debt</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380" w:type="dxa"/>
            <w:vAlign w:val="bottom"/>
          </w:tcPr>
          <w:p>
            <w:pPr>
              <w:ind w:left="20"/>
              <w:spacing w:after="0"/>
              <w:rPr>
                <w:rFonts w:ascii="Arial" w:cs="Arial" w:eastAsia="Arial" w:hAnsi="Arial"/>
                <w:sz w:val="18"/>
                <w:szCs w:val="18"/>
                <w:color w:val="0000EE"/>
              </w:rPr>
            </w:pPr>
            <w:hyperlink w:anchor="page60">
              <w:r>
                <w:rPr>
                  <w:rFonts w:ascii="Arial" w:cs="Arial" w:eastAsia="Arial" w:hAnsi="Arial"/>
                  <w:sz w:val="18"/>
                  <w:szCs w:val="18"/>
                  <w:u w:val="single" w:color="auto"/>
                  <w:color w:val="0000EE"/>
                </w:rPr>
                <w:t>9</w:t>
              </w:r>
              <w:r>
                <w:rPr>
                  <w:rFonts w:ascii="Arial" w:cs="Arial" w:eastAsia="Arial" w:hAnsi="Arial"/>
                  <w:sz w:val="18"/>
                  <w:szCs w:val="18"/>
                  <w:color w:val="0000EE"/>
                </w:rPr>
                <w:t>.</w:t>
              </w:r>
            </w:hyperlink>
          </w:p>
        </w:tc>
        <w:tc>
          <w:tcPr>
            <w:tcW w:w="7700" w:type="dxa"/>
            <w:vAlign w:val="bottom"/>
          </w:tcPr>
          <w:p>
            <w:pPr>
              <w:ind w:left="12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Leases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80" w:type="dxa"/>
            <w:vAlign w:val="bottom"/>
          </w:tcPr>
          <w:p>
            <w:pPr>
              <w:ind w:left="2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10.</w:t>
              </w:r>
            </w:hyperlink>
          </w:p>
        </w:tc>
        <w:tc>
          <w:tcPr>
            <w:tcW w:w="7700" w:type="dxa"/>
            <w:vAlign w:val="bottom"/>
          </w:tcPr>
          <w:p>
            <w:pPr>
              <w:ind w:left="12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Income Taxes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80" w:type="dxa"/>
            <w:vAlign w:val="bottom"/>
          </w:tcPr>
          <w:p>
            <w:pPr>
              <w:ind w:left="2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11.</w:t>
              </w:r>
            </w:hyperlink>
          </w:p>
        </w:tc>
        <w:tc>
          <w:tcPr>
            <w:tcW w:w="7700" w:type="dxa"/>
            <w:vAlign w:val="bottom"/>
          </w:tcPr>
          <w:p>
            <w:pPr>
              <w:ind w:left="12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Pension and Post-Retirement Plans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80" w:type="dxa"/>
            <w:vAlign w:val="bottom"/>
          </w:tcPr>
          <w:p>
            <w:pPr>
              <w:ind w:left="2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12.</w:t>
              </w:r>
            </w:hyperlink>
          </w:p>
        </w:tc>
        <w:tc>
          <w:tcPr>
            <w:tcW w:w="7700" w:type="dxa"/>
            <w:vAlign w:val="bottom"/>
          </w:tcPr>
          <w:p>
            <w:pPr>
              <w:ind w:left="12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Multi-Employer Withdrawal Liabilities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380" w:type="dxa"/>
            <w:vAlign w:val="bottom"/>
          </w:tcPr>
          <w:p>
            <w:pPr>
              <w:ind w:left="2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13.</w:t>
              </w:r>
            </w:hyperlink>
          </w:p>
        </w:tc>
        <w:tc>
          <w:tcPr>
            <w:tcW w:w="7700" w:type="dxa"/>
            <w:vAlign w:val="bottom"/>
          </w:tcPr>
          <w:p>
            <w:pPr>
              <w:ind w:left="12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Accumulated Other Comprehensive Income (Loss)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380" w:type="dxa"/>
            <w:vAlign w:val="bottom"/>
          </w:tcPr>
          <w:p>
            <w:pPr>
              <w:ind w:left="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14.</w:t>
              </w:r>
            </w:hyperlink>
          </w:p>
        </w:tc>
        <w:tc>
          <w:tcPr>
            <w:tcW w:w="7700" w:type="dxa"/>
            <w:vAlign w:val="bottom"/>
          </w:tcPr>
          <w:p>
            <w:pPr>
              <w:ind w:left="1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Earnings Per Share</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380" w:type="dxa"/>
            <w:vAlign w:val="bottom"/>
          </w:tcPr>
          <w:p>
            <w:pPr>
              <w:ind w:left="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15.</w:t>
              </w:r>
            </w:hyperlink>
          </w:p>
        </w:tc>
        <w:tc>
          <w:tcPr>
            <w:tcW w:w="7700" w:type="dxa"/>
            <w:vAlign w:val="bottom"/>
          </w:tcPr>
          <w:p>
            <w:pPr>
              <w:ind w:left="1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Share-Based Awards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380" w:type="dxa"/>
            <w:vAlign w:val="bottom"/>
          </w:tcPr>
          <w:p>
            <w:pPr>
              <w:ind w:left="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16.</w:t>
              </w:r>
            </w:hyperlink>
          </w:p>
        </w:tc>
        <w:tc>
          <w:tcPr>
            <w:tcW w:w="7700" w:type="dxa"/>
            <w:vAlign w:val="bottom"/>
          </w:tcPr>
          <w:p>
            <w:pPr>
              <w:ind w:left="1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Fair Value of Financial Instruments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80" w:type="dxa"/>
            <w:vAlign w:val="bottom"/>
          </w:tcPr>
          <w:p>
            <w:pPr>
              <w:ind w:left="2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17.</w:t>
              </w:r>
            </w:hyperlink>
          </w:p>
        </w:tc>
        <w:tc>
          <w:tcPr>
            <w:tcW w:w="7700" w:type="dxa"/>
            <w:vAlign w:val="bottom"/>
          </w:tcPr>
          <w:p>
            <w:pPr>
              <w:ind w:left="12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Commitments and Contingencies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380" w:type="dxa"/>
            <w:vAlign w:val="bottom"/>
          </w:tcPr>
          <w:p>
            <w:pPr>
              <w:ind w:left="2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18.</w:t>
              </w:r>
            </w:hyperlink>
          </w:p>
        </w:tc>
        <w:tc>
          <w:tcPr>
            <w:tcW w:w="7700" w:type="dxa"/>
            <w:vAlign w:val="bottom"/>
          </w:tcPr>
          <w:p>
            <w:pPr>
              <w:ind w:left="12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Quarterly Information (Unaudited)</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877"/>
        </w:trPr>
        <w:tc>
          <w:tcPr>
            <w:tcW w:w="380" w:type="dxa"/>
            <w:vAlign w:val="bottom"/>
          </w:tcPr>
          <w:p>
            <w:pPr>
              <w:spacing w:after="0"/>
              <w:rPr>
                <w:sz w:val="24"/>
                <w:szCs w:val="24"/>
                <w:color w:val="auto"/>
              </w:rPr>
            </w:pPr>
          </w:p>
        </w:tc>
        <w:tc>
          <w:tcPr>
            <w:tcW w:w="7700" w:type="dxa"/>
            <w:vAlign w:val="bottom"/>
          </w:tcPr>
          <w:p>
            <w:pPr>
              <w:ind w:left="3980"/>
              <w:spacing w:after="0"/>
              <w:rPr>
                <w:sz w:val="20"/>
                <w:szCs w:val="20"/>
                <w:color w:val="auto"/>
              </w:rPr>
            </w:pPr>
            <w:r>
              <w:rPr>
                <w:rFonts w:ascii="Arial" w:cs="Arial" w:eastAsia="Arial" w:hAnsi="Arial"/>
                <w:sz w:val="18"/>
                <w:szCs w:val="18"/>
                <w:color w:val="auto"/>
              </w:rPr>
              <w:t>36</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The management of Matson, Inc. and subsidiaries (the “Company”) has the responsibility for establishing and maintaining adequate internal control over financial reporting. Internal control over financial reporting is defined in Rule 13a-15(f) and 15d-15(f)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spacing w:after="0" w:line="177" w:lineRule="exact"/>
        <w:rPr>
          <w:sz w:val="20"/>
          <w:szCs w:val="20"/>
          <w:color w:val="auto"/>
        </w:rPr>
      </w:pPr>
    </w:p>
    <w:p>
      <w:pPr>
        <w:ind w:left="380" w:right="619" w:hanging="330"/>
        <w:spacing w:after="0" w:line="277"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assets of the company;</w:t>
      </w:r>
    </w:p>
    <w:p>
      <w:pPr>
        <w:spacing w:after="0" w:line="170" w:lineRule="exact"/>
        <w:rPr>
          <w:rFonts w:ascii="Arial" w:cs="Arial" w:eastAsia="Arial" w:hAnsi="Arial"/>
          <w:sz w:val="18"/>
          <w:szCs w:val="18"/>
          <w:color w:val="auto"/>
        </w:rPr>
      </w:pPr>
    </w:p>
    <w:p>
      <w:pPr>
        <w:ind w:left="380" w:right="199" w:hanging="330"/>
        <w:spacing w:after="0" w:line="259"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186" w:lineRule="exact"/>
        <w:rPr>
          <w:rFonts w:ascii="Arial" w:cs="Arial" w:eastAsia="Arial" w:hAnsi="Arial"/>
          <w:sz w:val="18"/>
          <w:szCs w:val="18"/>
          <w:color w:val="auto"/>
        </w:rPr>
      </w:pPr>
    </w:p>
    <w:p>
      <w:pPr>
        <w:ind w:left="380" w:right="199" w:hanging="330"/>
        <w:spacing w:after="0" w:line="277"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only provides reasonable assurance with respect to financial statement presentation and preparation.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 xml:space="preserve">Management assessed the effectiveness of the Company’s internal control over financial reporting as of December 31, 2020. In making this assessment, management used the criteria set forth by the Committee of Sponsoring Organizations of the Treadway Commission (COSO)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Based on its assessment, management believes that, as of December 31, 2020, the Company’s internal control over financial reporting is effective. The Company’s independent registered public accounting firm, Deloitte &amp; Touche LLP, has issued an attestation report on the Company’s internal control over financial reporting.</w:t>
      </w:r>
    </w:p>
    <w:p>
      <w:pPr>
        <w:spacing w:after="0" w:line="39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rPr>
              <w:t>/s/ Matthew J. Cox</w:t>
            </w:r>
          </w:p>
        </w:tc>
        <w:tc>
          <w:tcPr>
            <w:tcW w:w="4360" w:type="dxa"/>
            <w:vAlign w:val="bottom"/>
          </w:tcPr>
          <w:p>
            <w:pPr>
              <w:spacing w:after="0"/>
              <w:rPr>
                <w:sz w:val="20"/>
                <w:szCs w:val="20"/>
                <w:color w:val="auto"/>
              </w:rPr>
            </w:pPr>
            <w:r>
              <w:rPr>
                <w:rFonts w:ascii="Arial" w:cs="Arial" w:eastAsia="Arial" w:hAnsi="Arial"/>
                <w:sz w:val="18"/>
                <w:szCs w:val="18"/>
                <w:color w:val="auto"/>
              </w:rPr>
              <w:t>/s/ Joel M. Wine</w:t>
            </w:r>
          </w:p>
        </w:tc>
      </w:tr>
      <w:tr>
        <w:trPr>
          <w:trHeight w:val="195"/>
        </w:trPr>
        <w:tc>
          <w:tcPr>
            <w:tcW w:w="20" w:type="dxa"/>
            <w:vAlign w:val="bottom"/>
          </w:tcPr>
          <w:p>
            <w:pPr>
              <w:spacing w:after="0"/>
              <w:rPr>
                <w:sz w:val="16"/>
                <w:szCs w:val="16"/>
                <w:color w:val="auto"/>
              </w:rPr>
            </w:pPr>
          </w:p>
        </w:tc>
        <w:tc>
          <w:tcPr>
            <w:tcW w:w="4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Matthew J. Cox</w:t>
            </w:r>
          </w:p>
        </w:tc>
        <w:tc>
          <w:tcPr>
            <w:tcW w:w="180" w:type="dxa"/>
            <w:vAlign w:val="bottom"/>
          </w:tcPr>
          <w:p>
            <w:pPr>
              <w:spacing w:after="0"/>
              <w:rPr>
                <w:sz w:val="16"/>
                <w:szCs w:val="16"/>
                <w:color w:val="auto"/>
              </w:rPr>
            </w:pPr>
          </w:p>
        </w:tc>
        <w:tc>
          <w:tcPr>
            <w:tcW w:w="4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Joel M. Wine</w:t>
            </w:r>
          </w:p>
        </w:tc>
      </w:tr>
      <w:tr>
        <w:trPr>
          <w:trHeight w:val="216"/>
        </w:trPr>
        <w:tc>
          <w:tcPr>
            <w:tcW w:w="4540" w:type="dxa"/>
            <w:vAlign w:val="bottom"/>
            <w:gridSpan w:val="3"/>
          </w:tcPr>
          <w:p>
            <w:pPr>
              <w:spacing w:after="0"/>
              <w:rPr>
                <w:sz w:val="20"/>
                <w:szCs w:val="20"/>
                <w:color w:val="auto"/>
              </w:rPr>
            </w:pPr>
            <w:r>
              <w:rPr>
                <w:rFonts w:ascii="Arial" w:cs="Arial" w:eastAsia="Arial" w:hAnsi="Arial"/>
                <w:sz w:val="18"/>
                <w:szCs w:val="18"/>
                <w:color w:val="auto"/>
              </w:rPr>
              <w:t>Chairman and Chief Executive Officer</w:t>
            </w:r>
          </w:p>
        </w:tc>
        <w:tc>
          <w:tcPr>
            <w:tcW w:w="43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rPr>
              <w:t>February 26, 2021</w:t>
            </w:r>
          </w:p>
        </w:tc>
        <w:tc>
          <w:tcPr>
            <w:tcW w:w="4360" w:type="dxa"/>
            <w:vAlign w:val="bottom"/>
          </w:tcPr>
          <w:p>
            <w:pPr>
              <w:spacing w:after="0"/>
              <w:rPr>
                <w:sz w:val="20"/>
                <w:szCs w:val="20"/>
                <w:color w:val="auto"/>
              </w:rPr>
            </w:pPr>
            <w:r>
              <w:rPr>
                <w:rFonts w:ascii="Arial" w:cs="Arial" w:eastAsia="Arial" w:hAnsi="Arial"/>
                <w:sz w:val="18"/>
                <w:szCs w:val="18"/>
                <w:color w:val="auto"/>
              </w:rPr>
              <w:t>February 26,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To the Board of Directors and Shareholders of Matson, Inc.</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Opinions on the Financial Statements and Internal Control over Financial Reporting</w:t>
      </w:r>
    </w:p>
    <w:p>
      <w:pPr>
        <w:spacing w:after="0" w:line="25" w:lineRule="exact"/>
        <w:rPr>
          <w:sz w:val="20"/>
          <w:szCs w:val="20"/>
          <w:color w:val="auto"/>
        </w:rPr>
      </w:pPr>
    </w:p>
    <w:p>
      <w:pPr>
        <w:ind w:left="60" w:right="59"/>
        <w:spacing w:after="0" w:line="272" w:lineRule="auto"/>
        <w:rPr>
          <w:sz w:val="20"/>
          <w:szCs w:val="20"/>
          <w:color w:val="auto"/>
        </w:rPr>
      </w:pPr>
      <w:r>
        <w:rPr>
          <w:rFonts w:ascii="Arial" w:cs="Arial" w:eastAsia="Arial" w:hAnsi="Arial"/>
          <w:sz w:val="16"/>
          <w:szCs w:val="16"/>
          <w:color w:val="auto"/>
        </w:rPr>
        <w:t xml:space="preserve">We have audited the accompanying consolidated balance sheets of Matson, Inc. and subsidiaries (the “Company”) as of December 31, 2020 and 2019, the related consolidated statements of income and comprehensive income, shareholders' equity, and cash flows, for each of the three years in the period ended December 31, 2020, and the related notes (collectively referred to as the “financial statements”). We also have audited the Company’s internal control over financial reporting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w:t>
      </w:r>
    </w:p>
    <w:p>
      <w:pPr>
        <w:spacing w:after="0" w:line="166" w:lineRule="exact"/>
        <w:rPr>
          <w:sz w:val="20"/>
          <w:szCs w:val="20"/>
          <w:color w:val="auto"/>
        </w:rPr>
      </w:pPr>
    </w:p>
    <w:p>
      <w:pPr>
        <w:ind w:left="60" w:right="139"/>
        <w:spacing w:after="0" w:line="297" w:lineRule="auto"/>
        <w:rPr>
          <w:sz w:val="20"/>
          <w:szCs w:val="20"/>
          <w:color w:val="auto"/>
        </w:rPr>
      </w:pPr>
      <w:r>
        <w:rPr>
          <w:rFonts w:ascii="Arial" w:cs="Arial" w:eastAsia="Arial" w:hAnsi="Arial"/>
          <w:sz w:val="15"/>
          <w:szCs w:val="15"/>
          <w:color w:val="auto"/>
        </w:rPr>
        <w:t xml:space="preserve">In our opinion, the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COSO.</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Basis for Opinions</w:t>
      </w:r>
    </w:p>
    <w:p>
      <w:pPr>
        <w:spacing w:after="0" w:line="25" w:lineRule="exact"/>
        <w:rPr>
          <w:sz w:val="20"/>
          <w:szCs w:val="20"/>
          <w:color w:val="auto"/>
        </w:rPr>
      </w:pPr>
    </w:p>
    <w:p>
      <w:pPr>
        <w:ind w:left="60" w:right="99"/>
        <w:spacing w:after="0" w:line="268" w:lineRule="auto"/>
        <w:rPr>
          <w:sz w:val="20"/>
          <w:szCs w:val="20"/>
          <w:color w:val="auto"/>
        </w:rPr>
      </w:pPr>
      <w:r>
        <w:rPr>
          <w:rFonts w:ascii="Arial" w:cs="Arial" w:eastAsia="Arial" w:hAnsi="Arial"/>
          <w:sz w:val="16"/>
          <w:szCs w:val="16"/>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ind w:left="60" w:right="179"/>
        <w:spacing w:after="0" w:line="312"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37" w:lineRule="exact"/>
        <w:rPr>
          <w:sz w:val="20"/>
          <w:szCs w:val="20"/>
          <w:color w:val="auto"/>
        </w:rPr>
      </w:pPr>
    </w:p>
    <w:p>
      <w:pPr>
        <w:ind w:left="60" w:right="119"/>
        <w:spacing w:after="0" w:line="251"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5" w:lineRule="exact"/>
        <w:rPr>
          <w:sz w:val="20"/>
          <w:szCs w:val="20"/>
          <w:color w:val="auto"/>
        </w:rPr>
      </w:pPr>
    </w:p>
    <w:p>
      <w:pPr>
        <w:ind w:left="60" w:right="119"/>
        <w:spacing w:after="0" w:line="281"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2" w:lineRule="exact"/>
        <w:rPr>
          <w:sz w:val="20"/>
          <w:szCs w:val="20"/>
          <w:color w:val="auto"/>
        </w:rPr>
      </w:pPr>
    </w:p>
    <w:p>
      <w:pPr>
        <w:ind w:left="60" w:right="59" w:hanging="10"/>
        <w:spacing w:after="0" w:line="268" w:lineRule="auto"/>
        <w:tabs>
          <w:tab w:leader="none" w:pos="302" w:val="left"/>
        </w:tabs>
        <w:numPr>
          <w:ilvl w:val="0"/>
          <w:numId w:val="25"/>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1" w:lineRule="exact"/>
        <w:rPr>
          <w:sz w:val="20"/>
          <w:szCs w:val="20"/>
          <w:color w:val="auto"/>
        </w:rPr>
      </w:pPr>
    </w:p>
    <w:p>
      <w:pPr>
        <w:jc w:val="both"/>
        <w:ind w:left="60" w:right="559"/>
        <w:spacing w:after="0" w:line="312"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Critical Audit Matter</w:t>
      </w:r>
    </w:p>
    <w:p>
      <w:pPr>
        <w:spacing w:after="0" w:line="214"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Goodwill – Span Alaska Reporting Unit — Refer to Notes 2 and 6 to the financial statements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Critical Audit Matter Description</w:t>
      </w:r>
    </w:p>
    <w:p>
      <w:pPr>
        <w:spacing w:after="0" w:line="210" w:lineRule="exact"/>
        <w:rPr>
          <w:sz w:val="20"/>
          <w:szCs w:val="20"/>
          <w:color w:val="auto"/>
        </w:rPr>
      </w:pPr>
    </w:p>
    <w:p>
      <w:pPr>
        <w:ind w:left="60" w:right="79"/>
        <w:spacing w:after="0" w:line="268" w:lineRule="auto"/>
        <w:rPr>
          <w:sz w:val="20"/>
          <w:szCs w:val="20"/>
          <w:color w:val="auto"/>
        </w:rPr>
      </w:pPr>
      <w:r>
        <w:rPr>
          <w:rFonts w:ascii="Arial" w:cs="Arial" w:eastAsia="Arial" w:hAnsi="Arial"/>
          <w:sz w:val="16"/>
          <w:szCs w:val="16"/>
          <w:color w:val="auto"/>
        </w:rPr>
        <w:t>The Company’s evaluation of goodwill for impairment involves the comparison of the fair value of each reporting unit to its carrying value. In estimating the fair value of a reporting unit, the Company uses a combination of a discounted cash flow model and fair value based on market multiples of EBITDA. The discounted cash flow approach requires the Company to make several business assumptions related to discount rates and forecasts of future revenues. Changes in assumptions and estimates, including, but not limited to, changes driven by external factors, such as industry and economic trends, and those driven by internal factors, such as changes in the Company’s business strategy and its internal forecasts, could have a material effect on either the fair value, the amount of any goodwill impairment charge, or both. The goodwill balance was $327.8 million as of December 31, 2020, of which $78.6 million is allocated to a reporting unit in the Logistics reportable segment, resulting from the acquisition of Span Intermediate, LLC (“Span Alaska”) in fiscal year 2016. The Company has evaluated its goodwill for impairment as part of its annual assessment in fiscal year 2020 and determined that the fair value of the Span Alaska reporting unit exceeded the carrying amount as of the date of the impairment review.</w:t>
      </w:r>
    </w:p>
    <w:p>
      <w:pPr>
        <w:spacing w:after="0" w:line="170" w:lineRule="exact"/>
        <w:rPr>
          <w:sz w:val="20"/>
          <w:szCs w:val="20"/>
          <w:color w:val="auto"/>
        </w:rPr>
      </w:pPr>
    </w:p>
    <w:p>
      <w:pPr>
        <w:ind w:left="60" w:right="199"/>
        <w:spacing w:after="0" w:line="297" w:lineRule="auto"/>
        <w:rPr>
          <w:sz w:val="20"/>
          <w:szCs w:val="20"/>
          <w:color w:val="auto"/>
        </w:rPr>
      </w:pPr>
      <w:r>
        <w:rPr>
          <w:rFonts w:ascii="Arial" w:cs="Arial" w:eastAsia="Arial" w:hAnsi="Arial"/>
          <w:sz w:val="15"/>
          <w:szCs w:val="15"/>
          <w:color w:val="auto"/>
        </w:rPr>
        <w:t>We identified goodwill related to Span Alaska as a critical audit matter because of the significant estimates and assumptions management made to estimate the fair value of Span Alaska. Specifically, due to the sensitivity of Span Alaska’s operations to changes in the Alaskan economy, performing audit procedures to evaluate the reasonableness of management’s estimates and assumptions related to forecasts of future revenues and selection of the discount rate, required a high degree of auditor judgment and an increased extent of effort, including the need to involve our fair value specialists.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210" w:lineRule="exact"/>
        <w:rPr>
          <w:sz w:val="20"/>
          <w:szCs w:val="20"/>
          <w:color w:val="auto"/>
        </w:rPr>
      </w:pPr>
    </w:p>
    <w:p>
      <w:pPr>
        <w:ind w:left="60" w:right="159"/>
        <w:spacing w:after="0" w:line="274" w:lineRule="auto"/>
        <w:rPr>
          <w:sz w:val="20"/>
          <w:szCs w:val="20"/>
          <w:color w:val="auto"/>
        </w:rPr>
      </w:pPr>
      <w:r>
        <w:rPr>
          <w:rFonts w:ascii="Arial" w:cs="Arial" w:eastAsia="Arial" w:hAnsi="Arial"/>
          <w:sz w:val="17"/>
          <w:szCs w:val="17"/>
          <w:color w:val="auto"/>
        </w:rPr>
        <w:t>Our audit procedures related to the forecasts of future revenue, specifically as they relate to Span Alaska, and the selection of the discount rate for Span Alaska included the following, among others:</w:t>
      </w:r>
    </w:p>
    <w:p>
      <w:pPr>
        <w:spacing w:after="0" w:line="161" w:lineRule="exact"/>
        <w:rPr>
          <w:sz w:val="20"/>
          <w:szCs w:val="20"/>
          <w:color w:val="auto"/>
        </w:rPr>
      </w:pPr>
    </w:p>
    <w:p>
      <w:pPr>
        <w:ind w:left="380" w:right="679" w:hanging="330"/>
        <w:spacing w:after="0" w:line="257" w:lineRule="auto"/>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tested the effectiveness of controls over management’s goodwill impairment evaluation, including those over the forecasts of future revenue and the selection of the discount rate.</w:t>
      </w:r>
    </w:p>
    <w:p>
      <w:pPr>
        <w:ind w:left="380" w:right="539" w:hanging="330"/>
        <w:spacing w:after="0" w:line="248" w:lineRule="auto"/>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evaluated management’s ability to accurately forecast future revenue by comparing actual results to management’s historical forecasts.</w:t>
      </w:r>
    </w:p>
    <w:p>
      <w:pPr>
        <w:spacing w:after="0" w:line="1" w:lineRule="exact"/>
        <w:rPr>
          <w:rFonts w:ascii="Arial" w:cs="Arial" w:eastAsia="Arial" w:hAnsi="Arial"/>
          <w:sz w:val="17"/>
          <w:szCs w:val="17"/>
          <w:color w:val="auto"/>
        </w:rPr>
      </w:pPr>
    </w:p>
    <w:p>
      <w:pPr>
        <w:ind w:left="380" w:right="99" w:hanging="330"/>
        <w:spacing w:after="0" w:line="281" w:lineRule="auto"/>
        <w:tabs>
          <w:tab w:leader="none" w:pos="3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evaluated the reasonableness of management’s revenue forecast by comparing the forecasts to (1) historical revenues and operating margins, (2) internal communications to management and the Board of Directors, (3) external communications made by management to analysts and investors, (4) trends in the logistics industry and (5) trends in the Alaskan economy.</w:t>
      </w:r>
    </w:p>
    <w:p>
      <w:pPr>
        <w:spacing w:after="0" w:line="1" w:lineRule="exact"/>
        <w:rPr>
          <w:rFonts w:ascii="Arial" w:cs="Arial" w:eastAsia="Arial" w:hAnsi="Arial"/>
          <w:sz w:val="15"/>
          <w:szCs w:val="15"/>
          <w:color w:val="auto"/>
        </w:rPr>
      </w:pPr>
    </w:p>
    <w:p>
      <w:pPr>
        <w:jc w:val="both"/>
        <w:ind w:left="380" w:right="299" w:hanging="330"/>
        <w:spacing w:after="0" w:line="302" w:lineRule="auto"/>
        <w:tabs>
          <w:tab w:leader="none" w:pos="3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With the assistance of our fair value specialists, we evaluated the reasonableness of the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Deloitte &amp; Touche LLP</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San Francisco, California</w:t>
      </w:r>
    </w:p>
    <w:p>
      <w:pPr>
        <w:ind w:left="40"/>
        <w:spacing w:after="0"/>
        <w:rPr>
          <w:sz w:val="20"/>
          <w:szCs w:val="20"/>
          <w:color w:val="auto"/>
        </w:rPr>
      </w:pPr>
      <w:r>
        <w:rPr>
          <w:rFonts w:ascii="Arial" w:cs="Arial" w:eastAsia="Arial" w:hAnsi="Arial"/>
          <w:sz w:val="17"/>
          <w:szCs w:val="17"/>
          <w:color w:val="auto"/>
        </w:rPr>
        <w:t>February 26, 2021</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have served as the Company’s auditor since at least 1976; however, an earlier year could not be reliably determined.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8"/>
          </w:tcPr>
          <w:p>
            <w:pPr>
              <w:ind w:left="4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9"/>
              </w:rPr>
              <w:t>1,853.9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9"/>
              </w:rPr>
              <w:t>1,666.6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1,641.3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Revenue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2,383.3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2,203.1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costs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(1,904.3)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(1,878.0)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Income from SSAT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(2,103.0)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(2,074.0)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(2,059.0)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8"/>
                <w:szCs w:val="18"/>
                <w:color w:val="auto"/>
              </w:rPr>
              <w:t>Amortization of prior service cost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net loss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8"/>
                <w:szCs w:val="18"/>
                <w:color w:val="auto"/>
              </w:rPr>
              <w:t>Other adjustments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r>
              <w:rPr>
                <w:rFonts w:ascii="Arial" w:cs="Arial" w:eastAsia="Arial" w:hAnsi="Arial"/>
                <w:sz w:val="18"/>
                <w:szCs w:val="18"/>
                <w:u w:val="single" w:color="auto"/>
                <w:color w:val="auto"/>
              </w:rPr>
              <w:t>4</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6"/>
          </w:tcPr>
          <w:p>
            <w:pPr>
              <w:ind w:left="3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tcPr>
          <w:p>
            <w:pPr>
              <w:ind w:left="200"/>
              <w:spacing w:after="0" w:line="201" w:lineRule="exact"/>
              <w:rPr>
                <w:sz w:val="20"/>
                <w:szCs w:val="20"/>
                <w:color w:val="auto"/>
              </w:rPr>
            </w:pPr>
            <w:r>
              <w:rPr>
                <w:rFonts w:ascii="Arial" w:cs="Arial" w:eastAsia="Arial" w:hAnsi="Arial"/>
                <w:sz w:val="18"/>
                <w:szCs w:val="18"/>
                <w:color w:val="auto"/>
                <w:w w:val="99"/>
              </w:rPr>
              <w:t>Accounts receivable, net of allowance for credit loss of $6.3 million and $4.3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million, respectively</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Investment in SSAT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Operating lease right of use assets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dry-docking costs, net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long-term assets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2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2,900.6</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2,845.4</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Current portion of debt</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59.2</w:t>
            </w:r>
          </w:p>
        </w:tc>
        <w:tc>
          <w:tcPr>
            <w:tcW w:w="280" w:type="dxa"/>
            <w:vAlign w:val="bottom"/>
          </w:tcPr>
          <w:p>
            <w:pPr>
              <w:spacing w:after="0"/>
              <w:rPr>
                <w:sz w:val="18"/>
                <w:szCs w:val="18"/>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accruals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511.5</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Long-term debt, net of deferred loan fees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685.6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operating lease liabilities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long-term liabilities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1,427.9</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Common stock - common stock without par value; authorized, 150.0 million shares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($0.75 stated value per share); outstanding, 43.2 million shares in 2020 and 42.9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million shares in 2019</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Additional paid in capital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321.5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 net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658.1</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shareholders’ equity</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ind w:left="30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2,900.6</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3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193.1</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82.7</w:t>
            </w:r>
          </w:p>
        </w:tc>
        <w:tc>
          <w:tcPr>
            <w:tcW w:w="4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Reconciling adjustments: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tcPr>
          <w:p>
            <w:pPr>
              <w:ind w:left="300"/>
              <w:spacing w:after="0" w:line="149" w:lineRule="exact"/>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114.9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100.4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Amortization of operating lease right of use assets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tcPr>
          <w:p>
            <w:pPr>
              <w:ind w:left="300"/>
              <w:spacing w:after="0" w:line="149" w:lineRule="exact"/>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52.1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23.6</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29.3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Loss (Gain) on disposal of property and equipment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300"/>
              <w:spacing w:after="0" w:line="149" w:lineRule="exact"/>
              <w:rPr>
                <w:sz w:val="20"/>
                <w:szCs w:val="20"/>
                <w:color w:val="auto"/>
              </w:rPr>
            </w:pPr>
            <w:r>
              <w:rPr>
                <w:rFonts w:ascii="Arial" w:cs="Arial" w:eastAsia="Arial" w:hAnsi="Arial"/>
                <w:sz w:val="14"/>
                <w:szCs w:val="14"/>
                <w:color w:val="auto"/>
              </w:rPr>
              <w:t>Share-based compensation expense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Income from SSAT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tcPr>
          <w:p>
            <w:pPr>
              <w:ind w:left="300"/>
              <w:spacing w:after="0" w:line="149" w:lineRule="exact"/>
              <w:rPr>
                <w:sz w:val="20"/>
                <w:szCs w:val="20"/>
                <w:color w:val="auto"/>
              </w:rPr>
            </w:pPr>
            <w:r>
              <w:rPr>
                <w:rFonts w:ascii="Arial" w:cs="Arial" w:eastAsia="Arial" w:hAnsi="Arial"/>
                <w:sz w:val="14"/>
                <w:szCs w:val="14"/>
                <w:color w:val="auto"/>
              </w:rPr>
              <w:t>Distributions from SSAT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55.4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Changes in assets and liabilities: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tcPr>
          <w:p>
            <w:pPr>
              <w:ind w:left="300"/>
              <w:spacing w:after="0" w:line="149" w:lineRule="exact"/>
              <w:rPr>
                <w:sz w:val="20"/>
                <w:szCs w:val="20"/>
                <w:color w:val="auto"/>
              </w:rPr>
            </w:pPr>
            <w:r>
              <w:rPr>
                <w:rFonts w:ascii="Arial" w:cs="Arial" w:eastAsia="Arial" w:hAnsi="Arial"/>
                <w:sz w:val="14"/>
                <w:szCs w:val="14"/>
                <w:color w:val="auto"/>
              </w:rPr>
              <w:t>Accounts receivable, net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(29.1)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Deferred dry-docking payments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300"/>
              <w:spacing w:after="0" w:line="149" w:lineRule="exact"/>
              <w:rPr>
                <w:sz w:val="20"/>
                <w:szCs w:val="20"/>
                <w:color w:val="auto"/>
              </w:rPr>
            </w:pPr>
            <w:r>
              <w:rPr>
                <w:rFonts w:ascii="Arial" w:cs="Arial" w:eastAsia="Arial" w:hAnsi="Arial"/>
                <w:sz w:val="14"/>
                <w:szCs w:val="14"/>
                <w:color w:val="auto"/>
              </w:rPr>
              <w:t>Deferred dry-docking amortization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34.3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Prepaid expenses and other assets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tcPr>
          <w:p>
            <w:pPr>
              <w:ind w:left="300"/>
              <w:spacing w:after="0" w:line="149" w:lineRule="exact"/>
              <w:rPr>
                <w:sz w:val="20"/>
                <w:szCs w:val="20"/>
                <w:color w:val="auto"/>
              </w:rPr>
            </w:pPr>
            <w:r>
              <w:rPr>
                <w:rFonts w:ascii="Arial" w:cs="Arial" w:eastAsia="Arial" w:hAnsi="Arial"/>
                <w:sz w:val="14"/>
                <w:szCs w:val="14"/>
                <w:color w:val="auto"/>
              </w:rPr>
              <w:t>Accounts payable, accruals and other liabilities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44.8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Operating lease liabilities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tcBorders>
              <w:bottom w:val="single" w:sz="8" w:color="CCEEFF"/>
            </w:tcBorders>
          </w:tcPr>
          <w:p>
            <w:pPr>
              <w:ind w:left="300"/>
              <w:spacing w:after="0" w:line="149" w:lineRule="exact"/>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(9.8)</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operating activities</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429.8</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248.8</w:t>
            </w:r>
          </w:p>
        </w:tc>
        <w:tc>
          <w:tcPr>
            <w:tcW w:w="2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305.0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200"/>
              <w:spacing w:after="0" w:line="149" w:lineRule="exact"/>
              <w:rPr>
                <w:sz w:val="20"/>
                <w:szCs w:val="20"/>
                <w:color w:val="auto"/>
              </w:rPr>
            </w:pPr>
            <w:r>
              <w:rPr>
                <w:rFonts w:ascii="Arial" w:cs="Arial" w:eastAsia="Arial" w:hAnsi="Arial"/>
                <w:sz w:val="14"/>
                <w:szCs w:val="14"/>
                <w:color w:val="auto"/>
              </w:rPr>
              <w:t>Capitalized vessel construction expenditure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(87.8)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(219.1)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(338.6)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capital expenditures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tcPr>
          <w:p>
            <w:pPr>
              <w:ind w:left="200"/>
              <w:spacing w:after="0" w:line="149" w:lineRule="exact"/>
              <w:rPr>
                <w:sz w:val="20"/>
                <w:szCs w:val="20"/>
                <w:color w:val="auto"/>
              </w:rPr>
            </w:pPr>
            <w:r>
              <w:rPr>
                <w:rFonts w:ascii="Arial" w:cs="Arial" w:eastAsia="Arial" w:hAnsi="Arial"/>
                <w:sz w:val="14"/>
                <w:szCs w:val="14"/>
                <w:color w:val="auto"/>
              </w:rPr>
              <w:t>Proceeds from disposal of property and equipment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deposits into Capital Construction Fund</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(96.2)</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tcPr>
          <w:p>
            <w:pPr>
              <w:ind w:left="200"/>
              <w:spacing w:after="0" w:line="149" w:lineRule="exact"/>
              <w:rPr>
                <w:sz w:val="20"/>
                <w:szCs w:val="20"/>
                <w:color w:val="auto"/>
              </w:rPr>
            </w:pPr>
            <w:r>
              <w:rPr>
                <w:rFonts w:ascii="Arial" w:cs="Arial" w:eastAsia="Arial" w:hAnsi="Arial"/>
                <w:sz w:val="14"/>
                <w:szCs w:val="14"/>
                <w:color w:val="auto"/>
              </w:rPr>
              <w:t>Withdrawals from Capital Construction Fund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132.4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96.2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340.9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sale of other investments</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(177.0)</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(306.9)</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(260.3)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issuance of debt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200"/>
              <w:spacing w:after="0" w:line="149" w:lineRule="exact"/>
              <w:rPr>
                <w:sz w:val="20"/>
                <w:szCs w:val="20"/>
                <w:color w:val="auto"/>
              </w:rPr>
            </w:pPr>
            <w:r>
              <w:rPr>
                <w:rFonts w:ascii="Arial" w:cs="Arial" w:eastAsia="Arial" w:hAnsi="Arial"/>
                <w:sz w:val="14"/>
                <w:szCs w:val="14"/>
                <w:color w:val="auto"/>
              </w:rPr>
              <w:t>Repayments of debt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(216.5)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(42.1)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revolving credit facility</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622.1</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tcPr>
          <w:p>
            <w:pPr>
              <w:ind w:left="200"/>
              <w:spacing w:after="0" w:line="149" w:lineRule="exact"/>
              <w:rPr>
                <w:sz w:val="20"/>
                <w:szCs w:val="20"/>
                <w:color w:val="auto"/>
              </w:rPr>
            </w:pPr>
            <w:r>
              <w:rPr>
                <w:rFonts w:ascii="Arial" w:cs="Arial" w:eastAsia="Arial" w:hAnsi="Arial"/>
                <w:sz w:val="14"/>
                <w:szCs w:val="14"/>
                <w:color w:val="auto"/>
              </w:rPr>
              <w:t>Repayments of revolving credit facility</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(955.3)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(478.0)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(933.9)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 of financing costs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tcPr>
          <w:p>
            <w:pPr>
              <w:ind w:left="200"/>
              <w:spacing w:after="0" w:line="149" w:lineRule="exact"/>
              <w:rPr>
                <w:sz w:val="20"/>
                <w:szCs w:val="20"/>
                <w:color w:val="auto"/>
              </w:rPr>
            </w:pPr>
            <w:r>
              <w:rPr>
                <w:rFonts w:ascii="Arial" w:cs="Arial" w:eastAsia="Arial" w:hAnsi="Arial"/>
                <w:sz w:val="14"/>
                <w:szCs w:val="14"/>
                <w:color w:val="auto"/>
              </w:rPr>
              <w:t>Proceeds from issuance of 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 paid</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Tax withholding related to net share settlements of restricted stock units</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(261.5)</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62.0</w:t>
            </w:r>
          </w:p>
        </w:tc>
        <w:tc>
          <w:tcPr>
            <w:tcW w:w="2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(Decrease) Increase in Cash, Cash Equivalents and Restricted Cash</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Beginning of the Year</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28.4</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24.5</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End of the Year</w:t>
            </w: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19.7</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28.4</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24.5</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Reconciliation of Cash, Cash Equivalents, and Restricted Cash, at End of the Year:</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3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21.2</w:t>
            </w:r>
          </w:p>
        </w:tc>
        <w:tc>
          <w:tcPr>
            <w:tcW w:w="4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Cash</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2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4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Cash, Cash Equivalents and Restricted Cash, End of the Year</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19.7</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28.4</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Supplemental Cash Flow Information: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paid, net of capitalized interest</w:t>
            </w:r>
          </w:p>
        </w:tc>
        <w:tc>
          <w:tcPr>
            <w:tcW w:w="3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46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tcPr>
          <w:p>
            <w:pPr>
              <w:ind w:left="200"/>
              <w:spacing w:after="0" w:line="149" w:lineRule="exact"/>
              <w:rPr>
                <w:sz w:val="20"/>
                <w:szCs w:val="20"/>
                <w:color w:val="auto"/>
              </w:rPr>
            </w:pPr>
            <w:r>
              <w:rPr>
                <w:rFonts w:ascii="Arial" w:cs="Arial" w:eastAsia="Arial" w:hAnsi="Arial"/>
                <w:sz w:val="14"/>
                <w:szCs w:val="14"/>
                <w:color w:val="auto"/>
              </w:rPr>
              <w:t>Income tax paid, net of income tax refunds</w:t>
            </w:r>
          </w:p>
        </w:tc>
        <w:tc>
          <w:tcPr>
            <w:tcW w:w="3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(16.1)</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(24.2)</w:t>
            </w:r>
          </w:p>
        </w:tc>
        <w:tc>
          <w:tcPr>
            <w:tcW w:w="4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Non-cash Information: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expenditures included in accounts payable, accruals and other liabilities</w:t>
            </w:r>
          </w:p>
        </w:tc>
        <w:tc>
          <w:tcPr>
            <w:tcW w:w="3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46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348615</wp:posOffset>
            </wp:positionV>
            <wp:extent cx="64979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MATSON, INC. AND SUBSIDIARIES CONSOLIDATED STATEMENTS OF SHAREHOLDERS’ EQUITY For the three years ended December 31, 2020</w:t>
      </w:r>
    </w:p>
    <w:p>
      <w:pPr>
        <w:spacing w:after="0" w:line="38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7"/>
              </w:rPr>
              <w:t>Common Stock</w:t>
            </w:r>
          </w:p>
        </w:tc>
        <w:tc>
          <w:tcPr>
            <w:tcW w:w="8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gridSpan w:val="3"/>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91"/>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Stated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32"/>
              <w:spacing w:after="0" w:line="119" w:lineRule="exact"/>
              <w:rPr>
                <w:sz w:val="20"/>
                <w:szCs w:val="20"/>
                <w:color w:val="auto"/>
              </w:rPr>
            </w:pPr>
            <w:r>
              <w:rPr>
                <w:rFonts w:ascii="Arial" w:cs="Arial" w:eastAsia="Arial" w:hAnsi="Arial"/>
                <w:sz w:val="13"/>
                <w:szCs w:val="13"/>
                <w:b w:val="1"/>
                <w:bCs w:val="1"/>
                <w:color w:val="auto"/>
              </w:rPr>
              <w:t>Paid In</w:t>
            </w:r>
          </w:p>
        </w:tc>
        <w:tc>
          <w:tcPr>
            <w:tcW w:w="1100" w:type="dxa"/>
            <w:vAlign w:val="bottom"/>
            <w:gridSpan w:val="3"/>
          </w:tcPr>
          <w:p>
            <w:pPr>
              <w:jc w:val="center"/>
              <w:ind w:left="73"/>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0"/>
                <w:szCs w:val="10"/>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42.5</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$ 31.9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$ 380.5</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$ 677.2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10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comprehensive income (loss), net of tax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100"/>
              <w:spacing w:after="0"/>
              <w:rPr>
                <w:sz w:val="20"/>
                <w:szCs w:val="20"/>
                <w:color w:val="auto"/>
              </w:rPr>
            </w:pPr>
            <w:r>
              <w:rPr>
                <w:rFonts w:ascii="Arial" w:cs="Arial" w:eastAsia="Arial" w:hAnsi="Arial"/>
                <w:sz w:val="18"/>
                <w:szCs w:val="18"/>
                <w:color w:val="auto"/>
              </w:rPr>
              <w:t>Share-based compensation</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97"/>
              </w:rPr>
              <w:t>Shares issued, net of shares withheld for employee taxes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100"/>
              <w:spacing w:after="0"/>
              <w:rPr>
                <w:sz w:val="20"/>
                <w:szCs w:val="20"/>
                <w:color w:val="auto"/>
              </w:rPr>
            </w:pPr>
            <w:r>
              <w:rPr>
                <w:rFonts w:ascii="Arial" w:cs="Arial" w:eastAsia="Arial" w:hAnsi="Arial"/>
                <w:sz w:val="18"/>
                <w:szCs w:val="18"/>
                <w:color w:val="auto"/>
              </w:rPr>
              <w:t>Shares repurchased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Dividends ($0.82 per share)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gridSpan w:val="2"/>
          </w:tcPr>
          <w:p>
            <w:pPr>
              <w:spacing w:after="0"/>
              <w:rPr>
                <w:sz w:val="20"/>
                <w:szCs w:val="20"/>
                <w:color w:val="auto"/>
              </w:rPr>
            </w:pPr>
            <w:r>
              <w:rPr>
                <w:rFonts w:ascii="Arial" w:cs="Arial" w:eastAsia="Arial" w:hAnsi="Arial"/>
                <w:sz w:val="18"/>
                <w:szCs w:val="18"/>
                <w:color w:val="auto"/>
              </w:rPr>
              <w:t>Balance at December 31, 2018</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42.7</w:t>
            </w:r>
          </w:p>
        </w:tc>
        <w:tc>
          <w:tcPr>
            <w:tcW w:w="16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100"/>
              <w:spacing w:after="0"/>
              <w:rPr>
                <w:sz w:val="20"/>
                <w:szCs w:val="20"/>
                <w:color w:val="auto"/>
              </w:rPr>
            </w:pPr>
            <w:r>
              <w:rPr>
                <w:rFonts w:ascii="Arial" w:cs="Arial" w:eastAsia="Arial" w:hAnsi="Arial"/>
                <w:sz w:val="17"/>
                <w:szCs w:val="17"/>
                <w:color w:val="auto"/>
              </w:rPr>
              <w:t>Adoption of new lease accounting standard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comprehensive income (loss), net of tax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100"/>
              <w:spacing w:after="0"/>
              <w:rPr>
                <w:sz w:val="20"/>
                <w:szCs w:val="20"/>
                <w:color w:val="auto"/>
              </w:rPr>
            </w:pPr>
            <w:r>
              <w:rPr>
                <w:rFonts w:ascii="Arial" w:cs="Arial" w:eastAsia="Arial" w:hAnsi="Arial"/>
                <w:sz w:val="18"/>
                <w:szCs w:val="18"/>
                <w:color w:val="auto"/>
              </w:rPr>
              <w:t>Share-based compensation</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97"/>
              </w:rPr>
              <w:t>Shares issued, net of shares withheld for employee taxes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100"/>
              <w:spacing w:after="0"/>
              <w:rPr>
                <w:sz w:val="20"/>
                <w:szCs w:val="20"/>
                <w:color w:val="auto"/>
              </w:rPr>
            </w:pPr>
            <w:r>
              <w:rPr>
                <w:rFonts w:ascii="Arial" w:cs="Arial" w:eastAsia="Arial" w:hAnsi="Arial"/>
                <w:sz w:val="18"/>
                <w:szCs w:val="18"/>
                <w:color w:val="auto"/>
              </w:rPr>
              <w:t>Dividends ($0.86 per share)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SSAT’s adoption of new lease accounting standard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gridSpan w:val="2"/>
          </w:tcPr>
          <w:p>
            <w:pPr>
              <w:spacing w:after="0"/>
              <w:rPr>
                <w:sz w:val="20"/>
                <w:szCs w:val="20"/>
                <w:color w:val="auto"/>
              </w:rPr>
            </w:pPr>
            <w:r>
              <w:rPr>
                <w:rFonts w:ascii="Arial" w:cs="Arial" w:eastAsia="Arial" w:hAnsi="Arial"/>
                <w:sz w:val="18"/>
                <w:szCs w:val="18"/>
                <w:color w:val="auto"/>
              </w:rPr>
              <w:t>Balance at December 31, 2019</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42.9</w:t>
            </w:r>
          </w:p>
        </w:tc>
        <w:tc>
          <w:tcPr>
            <w:tcW w:w="16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306.2</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100"/>
              <w:spacing w:after="0"/>
              <w:rPr>
                <w:sz w:val="20"/>
                <w:szCs w:val="20"/>
                <w:color w:val="auto"/>
              </w:rPr>
            </w:pPr>
            <w:r>
              <w:rPr>
                <w:rFonts w:ascii="Arial" w:cs="Arial" w:eastAsia="Arial" w:hAnsi="Arial"/>
                <w:sz w:val="18"/>
                <w:szCs w:val="18"/>
                <w:color w:val="auto"/>
              </w:rPr>
              <w:t>Other comprehensive income (loss), net of tax</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Share-based compensation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100"/>
              <w:spacing w:after="0"/>
              <w:rPr>
                <w:sz w:val="20"/>
                <w:szCs w:val="20"/>
                <w:color w:val="auto"/>
              </w:rPr>
            </w:pPr>
            <w:r>
              <w:rPr>
                <w:rFonts w:ascii="Arial" w:cs="Arial" w:eastAsia="Arial" w:hAnsi="Arial"/>
                <w:sz w:val="17"/>
                <w:szCs w:val="17"/>
                <w:color w:val="auto"/>
                <w:w w:val="97"/>
              </w:rPr>
              <w:t>Shares issued, net of shares withheld for employee taxes</w:t>
            </w: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Equity interest in SSAT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100"/>
              <w:spacing w:after="0"/>
              <w:rPr>
                <w:sz w:val="20"/>
                <w:szCs w:val="20"/>
                <w:color w:val="auto"/>
              </w:rPr>
            </w:pPr>
            <w:r>
              <w:rPr>
                <w:rFonts w:ascii="Arial" w:cs="Arial" w:eastAsia="Arial" w:hAnsi="Arial"/>
                <w:sz w:val="18"/>
                <w:szCs w:val="18"/>
                <w:color w:val="auto"/>
              </w:rPr>
              <w:t>Dividends ($0.90 per share)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$ 658.1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$ 961.2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700" w:hanging="650"/>
        <w:spacing w:after="0"/>
        <w:tabs>
          <w:tab w:leader="none" w:pos="7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 For financial information on the Company’s reportable segments for the three years ended December 31, 2020, see Note 3.</w:t>
      </w:r>
    </w:p>
    <w:p>
      <w:pPr>
        <w:spacing w:after="0" w:line="187"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i w:val="1"/>
          <w:iCs w:val="1"/>
          <w:color w:val="auto"/>
        </w:rPr>
        <w:t xml:space="preserve">Ocean Transportation: </w:t>
      </w:r>
      <w:r>
        <w:rPr>
          <w:rFonts w:ascii="Arial" w:cs="Arial" w:eastAsia="Arial" w:hAnsi="Arial"/>
          <w:sz w:val="16"/>
          <w:szCs w:val="16"/>
          <w:color w:val="auto"/>
        </w:rPr>
        <w:t>Matson’s Ocean Transportation business is conducted through Matson Navigation Company, Inc.</w:t>
      </w:r>
      <w:r>
        <w:rPr>
          <w:rFonts w:ascii="Arial" w:cs="Arial" w:eastAsia="Arial" w:hAnsi="Arial"/>
          <w:sz w:val="16"/>
          <w:szCs w:val="16"/>
          <w:i w:val="1"/>
          <w:iCs w:val="1"/>
          <w:color w:val="auto"/>
        </w:rPr>
        <w:t xml:space="preserve"> </w:t>
      </w:r>
      <w:r>
        <w:rPr>
          <w:rFonts w:ascii="Arial" w:cs="Arial" w:eastAsia="Arial" w:hAnsi="Arial"/>
          <w:sz w:val="16"/>
          <w:szCs w:val="16"/>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two premium, expedited services from China to Long Beach, California, and provides services to Okinawa, Japan and various islands in the South Pacific, and operates an international export service from Dutch Harbor to Asia. In addition, subsidiaries of MatNav provide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65"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Matson has a 35 percent ownership interest in SSA Terminals, LLC, a joint venture between Matson Ventures, Inc., a wholly-owned subsidiary of MatNav, and SSA Ventures, Inc., a subsidiary of Carrix, Inc. (“SSAT”). SSAT currently provides terminal and stevedoring services to various carriers at seven terminal facilities on the U.S. West Coast, including three facilities dedicated for MatNav’s use. Matson records its share of income from SSAT in costs and expenses in the Consolidated Statements of Income and Comprehensive Income, and within the Ocean Transportation segment due to the nature of SSAT’s operations.</w:t>
      </w:r>
    </w:p>
    <w:p>
      <w:pPr>
        <w:spacing w:after="0" w:line="192"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i w:val="1"/>
          <w:iCs w:val="1"/>
          <w:color w:val="auto"/>
        </w:rPr>
        <w:t xml:space="preserve">Logistics: </w:t>
      </w:r>
      <w:r>
        <w:rPr>
          <w:rFonts w:ascii="Arial" w:cs="Arial" w:eastAsia="Arial" w:hAnsi="Arial"/>
          <w:sz w:val="17"/>
          <w:szCs w:val="17"/>
          <w:color w:val="auto"/>
        </w:rPr>
        <w:t>Matson’s Logistics business is conducted through Matson Logistics, Inc. (“Matson Logistics”), a wholly-owned</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of MatNav. Established in 1987, Matson Logistics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and distribution services; and (iv) supply chain management, non-vessel operating common carrier (“NVOCC”) freight forwarding and other services.</w:t>
      </w:r>
    </w:p>
    <w:p>
      <w:pPr>
        <w:spacing w:after="0" w:line="390" w:lineRule="exact"/>
        <w:rPr>
          <w:sz w:val="20"/>
          <w:szCs w:val="20"/>
          <w:color w:val="auto"/>
        </w:rPr>
      </w:pPr>
    </w:p>
    <w:p>
      <w:pPr>
        <w:ind w:left="700" w:hanging="650"/>
        <w:spacing w:after="0"/>
        <w:tabs>
          <w:tab w:leader="none" w:pos="7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The Consolidated Financial Statements include the accounts of 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 (see Note 4).</w:t>
      </w:r>
    </w:p>
    <w:p>
      <w:pPr>
        <w:spacing w:after="0" w:line="176"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The year end for Matson is December 31. The period end for MatNav occurred on the last Friday in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except for Matson Logistics Warehousing, Inc. and Matson South Pacific Holdco Limited whose period closed on December 31. Included in these Consolidated Financial Statements are 52 weeks in the 2020, 2019 and 2018 fiscal years for MatNav.</w:t>
      </w:r>
    </w:p>
    <w:p>
      <w:pPr>
        <w:spacing w:after="0" w:line="187"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i w:val="1"/>
          <w:iCs w:val="1"/>
          <w:color w:val="auto"/>
        </w:rPr>
        <w:t xml:space="preserve">Foreign Currency Transactions: </w:t>
      </w:r>
      <w:r>
        <w:rPr>
          <w:rFonts w:ascii="Arial" w:cs="Arial" w:eastAsia="Arial" w:hAnsi="Arial"/>
          <w:sz w:val="17"/>
          <w:szCs w:val="17"/>
          <w:color w:val="auto"/>
        </w:rPr>
        <w:t>The United States (U.S.) dollar is the functional currency for substantially all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of the Company’s foreign subsidiaries. Foreign currency denominated assets and liabilities of the Company’s foreign subsidiaries are translated into U.S. dollars at exchange rates existing at the respective balance sheet dates. Translation adjustments resulting from fluctuations in exchange rates are recorded as a component of accumulated other comprehensive loss (gain) within shareholders’ equity. The Company translates the result of operations of its foreign subsidiaries at the average exchange rate during the respective periods. Gains and losses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resulting from foreign currency transactions are included in Costs and Expenses in the Consolidated Statements of Income and Comprehensive Income.</w:t>
      </w:r>
    </w:p>
    <w:p>
      <w:pPr>
        <w:spacing w:after="0" w:line="170" w:lineRule="exact"/>
        <w:rPr>
          <w:sz w:val="20"/>
          <w:szCs w:val="20"/>
          <w:color w:val="auto"/>
        </w:rPr>
      </w:pPr>
    </w:p>
    <w:p>
      <w:pPr>
        <w:ind w:left="60" w:right="199"/>
        <w:spacing w:after="0" w:line="272"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the Consolidated Financial Statements in conformity with accounting principles</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accepted in the U.S. requires management to make estimates and assumptions that affect the amounts reported. Estimates and assumptions are used for, but not limited to: impairment of investments; impairment of long-lived assets, intangible assets and goodwill; capitalized interest; allowance for doubtful accounts; legal contingencies; insurance reserves and other related liabilities; accrual estimates; pension and post-retirement estimates; multi-employer withdrawal liabilities; operating lease assets and liabilities; and income taxes. Future results could be materially affected if actual results differ from these estimates and assumptions.</w:t>
      </w:r>
    </w:p>
    <w:p>
      <w:pPr>
        <w:spacing w:after="0" w:line="177"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i w:val="1"/>
          <w:iCs w:val="1"/>
          <w:color w:val="auto"/>
        </w:rPr>
        <w:t xml:space="preserve">Cash, Cash Equivalents and Restricted Cash: </w:t>
      </w:r>
      <w:r>
        <w:rPr>
          <w:rFonts w:ascii="Arial" w:cs="Arial" w:eastAsia="Arial" w:hAnsi="Arial"/>
          <w:sz w:val="18"/>
          <w:szCs w:val="18"/>
          <w:color w:val="auto"/>
        </w:rPr>
        <w:t>Cash equivalents consist of highly-liquid investments with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of three months or less. The Company carries these investments at cost, which approximates fair value. Outstanding checks in excess of funds on deposit totaled $19.9 million and $13.8 million at December 31, 2020 and 2019, respectively, and are included in current liabilities in the Consolidated Balance Sheets. Restricted cash relates to amounts that are subject to contractual restrictions and are not readily available. At December 31, 2020 and 2019, restricted cash was $5.3 million and $7.2 million, respectively, and are included in prepaid expenses and other assets in the Consolidated Balance Sheets.</w:t>
      </w:r>
    </w:p>
    <w:p>
      <w:pPr>
        <w:spacing w:after="0" w:line="195"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i w:val="1"/>
          <w:iCs w:val="1"/>
          <w:color w:val="auto"/>
        </w:rPr>
        <w:t xml:space="preserve">Accounts Receivable, net: </w:t>
      </w:r>
      <w:r>
        <w:rPr>
          <w:rFonts w:ascii="Arial" w:cs="Arial" w:eastAsia="Arial" w:hAnsi="Arial"/>
          <w:sz w:val="18"/>
          <w:szCs w:val="18"/>
          <w:color w:val="auto"/>
        </w:rPr>
        <w:t>Accounts receivable represent amounts due from trade customers arising in the normal course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Accounts receivable are shown net of allowance for doubtful accounts receivable in the Consolidated Balance Sheets. Allowance for doubtful accounts receivable is established by management based on estimates of collectability. Estimates of collectability are principally based on an evaluation of the current financial condition of the customer and the potential risks to collection, the customer’s payment history, expected future credit losses and other factors which are regularly monitored by the Company.</w:t>
      </w:r>
    </w:p>
    <w:p>
      <w:pPr>
        <w:spacing w:after="0" w:line="192" w:lineRule="exact"/>
        <w:rPr>
          <w:sz w:val="20"/>
          <w:szCs w:val="20"/>
          <w:color w:val="auto"/>
        </w:rPr>
      </w:pPr>
    </w:p>
    <w:p>
      <w:pPr>
        <w:ind w:left="60" w:right="319"/>
        <w:spacing w:after="0" w:line="258" w:lineRule="auto"/>
        <w:rPr>
          <w:sz w:val="20"/>
          <w:szCs w:val="20"/>
          <w:color w:val="auto"/>
        </w:rPr>
      </w:pPr>
      <w:r>
        <w:rPr>
          <w:rFonts w:ascii="Arial" w:cs="Arial" w:eastAsia="Arial" w:hAnsi="Arial"/>
          <w:sz w:val="18"/>
          <w:szCs w:val="18"/>
          <w:color w:val="auto"/>
        </w:rPr>
        <w:t>Changes in the allowance for doubtful accounts receivable for the three years ended December 31, 2020, 2019 and 2018 were as follows:</w:t>
      </w:r>
    </w:p>
    <w:tbl>
      <w:tblPr>
        <w:tblLayout w:type="fixed"/>
        <w:tblInd w:w="40" w:type="dxa"/>
        <w:tblCellMar>
          <w:top w:w="0" w:type="dxa"/>
          <w:left w:w="0" w:type="dxa"/>
          <w:bottom w:w="0" w:type="dxa"/>
          <w:right w:w="0" w:type="dxa"/>
        </w:tblCellMar>
      </w:tblPr>
      <w:tr>
        <w:trPr>
          <w:trHeight w:val="141"/>
        </w:trPr>
        <w:tc>
          <w:tcPr>
            <w:tcW w:w="4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 (in millions)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55"/>
              <w:spacing w:after="0" w:line="141" w:lineRule="exact"/>
              <w:rPr>
                <w:sz w:val="20"/>
                <w:szCs w:val="20"/>
                <w:color w:val="auto"/>
              </w:rPr>
            </w:pPr>
            <w:r>
              <w:rPr>
                <w:rFonts w:ascii="Arial" w:cs="Arial" w:eastAsia="Arial" w:hAnsi="Arial"/>
                <w:sz w:val="14"/>
                <w:szCs w:val="14"/>
                <w:b w:val="1"/>
                <w:bCs w:val="1"/>
                <w:color w:val="auto"/>
                <w:w w:val="99"/>
              </w:rPr>
              <w:t>Balance at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1"/>
              </w:rPr>
              <w:t>Expense (1)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97"/>
              <w:spacing w:after="0" w:line="141" w:lineRule="exact"/>
              <w:rPr>
                <w:sz w:val="20"/>
                <w:szCs w:val="20"/>
                <w:color w:val="auto"/>
              </w:rPr>
            </w:pPr>
            <w:r>
              <w:rPr>
                <w:rFonts w:ascii="Arial" w:cs="Arial" w:eastAsia="Arial" w:hAnsi="Arial"/>
                <w:sz w:val="14"/>
                <w:szCs w:val="14"/>
                <w:b w:val="1"/>
                <w:bCs w:val="1"/>
                <w:color w:val="auto"/>
              </w:rPr>
              <w:t>Write-offs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71"/>
        </w:trPr>
        <w:tc>
          <w:tcPr>
            <w:tcW w:w="42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Beginning of Year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Arial" w:cs="Arial" w:eastAsia="Arial" w:hAnsi="Arial"/>
                <w:sz w:val="14"/>
                <w:szCs w:val="14"/>
                <w:b w:val="1"/>
                <w:bCs w:val="1"/>
                <w:color w:val="auto"/>
                <w:w w:val="99"/>
              </w:rPr>
              <w:t>and 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End of 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2019</w:t>
            </w:r>
          </w:p>
        </w:tc>
        <w:tc>
          <w:tcPr>
            <w:tcW w:w="1960" w:type="dxa"/>
            <w:vAlign w:val="bottom"/>
          </w:tcPr>
          <w:p>
            <w:pPr>
              <w:spacing w:after="0"/>
              <w:rPr>
                <w:sz w:val="18"/>
                <w:szCs w:val="18"/>
                <w:color w:val="auto"/>
              </w:rPr>
            </w:pP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9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Expense is shown net of amounts recovered from previously reserved doubtful accounts.</w:t>
      </w:r>
    </w:p>
    <w:p>
      <w:pPr>
        <w:spacing w:after="0" w:line="208" w:lineRule="exact"/>
        <w:rPr>
          <w:sz w:val="20"/>
          <w:szCs w:val="20"/>
          <w:color w:val="auto"/>
        </w:rPr>
      </w:pPr>
    </w:p>
    <w:p>
      <w:pPr>
        <w:ind w:left="60" w:right="179"/>
        <w:spacing w:after="0" w:line="258" w:lineRule="auto"/>
        <w:rPr>
          <w:sz w:val="20"/>
          <w:szCs w:val="20"/>
          <w:color w:val="auto"/>
        </w:rPr>
      </w:pPr>
      <w:r>
        <w:rPr>
          <w:rFonts w:ascii="Arial" w:cs="Arial" w:eastAsia="Arial" w:hAnsi="Arial"/>
          <w:sz w:val="18"/>
          <w:szCs w:val="18"/>
          <w:i w:val="1"/>
          <w:iCs w:val="1"/>
          <w:color w:val="auto"/>
        </w:rPr>
        <w:t xml:space="preserve">Prepaid Expenses and Other Assets: </w:t>
      </w:r>
      <w:r>
        <w:rPr>
          <w:rFonts w:ascii="Arial" w:cs="Arial" w:eastAsia="Arial" w:hAnsi="Arial"/>
          <w:sz w:val="18"/>
          <w:szCs w:val="18"/>
          <w:color w:val="auto"/>
        </w:rPr>
        <w:t>Prepaid expenses and other assets consist of the following at December 31, 2020 and</w:t>
      </w:r>
      <w:r>
        <w:rPr>
          <w:rFonts w:ascii="Arial" w:cs="Arial" w:eastAsia="Arial" w:hAnsi="Arial"/>
          <w:sz w:val="18"/>
          <w:szCs w:val="18"/>
          <w:i w:val="1"/>
          <w:iCs w:val="1"/>
          <w:color w:val="auto"/>
        </w:rPr>
        <w:t xml:space="preserve"> </w:t>
      </w:r>
      <w:r>
        <w:rPr>
          <w:rFonts w:ascii="Arial" w:cs="Arial" w:eastAsia="Arial" w:hAnsi="Arial"/>
          <w:sz w:val="18"/>
          <w:szCs w:val="18"/>
          <w:color w:val="auto"/>
        </w:rPr>
        <w:t>2019:</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7020" w:type="dxa"/>
            <w:vAlign w:val="bottom"/>
            <w:vMerge w:val="restart"/>
          </w:tcPr>
          <w:p>
            <w:pPr>
              <w:spacing w:after="0"/>
              <w:rPr>
                <w:sz w:val="20"/>
                <w:szCs w:val="20"/>
                <w:color w:val="auto"/>
              </w:rPr>
            </w:pPr>
            <w:r>
              <w:rPr>
                <w:rFonts w:ascii="Arial" w:cs="Arial" w:eastAsia="Arial" w:hAnsi="Arial"/>
                <w:sz w:val="14"/>
                <w:szCs w:val="14"/>
                <w:b w:val="1"/>
                <w:bCs w:val="1"/>
                <w:color w:val="auto"/>
              </w:rPr>
              <w:t>Prepaid Expenses and Other Assets (in millions)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ind w:left="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0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Prepaid fuel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Prepaid insurance and insurance related receivables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Prepaid operating expenses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Restricted cash - vessel construction obligations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r>
              <w:rPr>
                <w:rFonts w:ascii="Arial" w:cs="Arial" w:eastAsia="Arial" w:hAnsi="Arial"/>
                <w:sz w:val="18"/>
                <w:szCs w:val="18"/>
                <w:u w:val="single" w:color="auto"/>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i w:val="1"/>
          <w:iCs w:val="1"/>
          <w:color w:val="auto"/>
        </w:rPr>
        <w:t xml:space="preserve">Deferred Loan Fees: </w:t>
      </w:r>
      <w:r>
        <w:rPr>
          <w:rFonts w:ascii="Arial" w:cs="Arial" w:eastAsia="Arial" w:hAnsi="Arial"/>
          <w:sz w:val="18"/>
          <w:szCs w:val="18"/>
          <w:color w:val="auto"/>
        </w:rPr>
        <w:t>The Company records deferred loan fees, excluding those related to the revolving credit facility, as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to Total Debt in the Company’s Consolidated Balance Sheets in accordance with Accounting Standards Update (“ASU”) 2015-03, Interest-Imputation of Interest (Subtopic 835-30): Simplifying the Presentation of Debt Issuance Costs (“ASU 2015-03”). These costs are being amortized over the life of the related debt using the effective interest method (see Note 8).</w:t>
      </w:r>
    </w:p>
    <w:p>
      <w:pPr>
        <w:spacing w:after="0" w:line="188"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Deferred loan fees related to the Company’s revolving credit facility are recorded in other long-term assets in the Company’s Consolidated Balance Sheets, and are amortized using the straight-line method as the difference between that and the use of the effective interest method is not material.</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Other Long-Term Assets: </w:t>
      </w:r>
      <w:r>
        <w:rPr>
          <w:rFonts w:ascii="Arial" w:cs="Arial" w:eastAsia="Arial" w:hAnsi="Arial"/>
          <w:sz w:val="18"/>
          <w:szCs w:val="18"/>
          <w:color w:val="auto"/>
        </w:rPr>
        <w:t>Other long-term assets consist of the following at December 31, 2020 and 2019:</w:t>
      </w:r>
    </w:p>
    <w:p>
      <w:pPr>
        <w:spacing w:after="0" w:line="10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020" w:type="dxa"/>
            <w:vAlign w:val="bottom"/>
            <w:vMerge w:val="restart"/>
          </w:tcPr>
          <w:p>
            <w:pPr>
              <w:spacing w:after="0"/>
              <w:rPr>
                <w:sz w:val="20"/>
                <w:szCs w:val="20"/>
                <w:color w:val="auto"/>
              </w:rPr>
            </w:pPr>
            <w:r>
              <w:rPr>
                <w:rFonts w:ascii="Arial" w:cs="Arial" w:eastAsia="Arial" w:hAnsi="Arial"/>
                <w:sz w:val="14"/>
                <w:szCs w:val="14"/>
                <w:b w:val="1"/>
                <w:bCs w:val="1"/>
                <w:color w:val="auto"/>
              </w:rPr>
              <w:t>Other Long-Term Assets (in millions)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ind w:left="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0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Vessel and equipment spare parts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Insurance related receivables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Deferred loan fees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Cloud computing software costs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r>
              <w:rPr>
                <w:rFonts w:ascii="Arial" w:cs="Arial" w:eastAsia="Arial" w:hAnsi="Arial"/>
                <w:sz w:val="18"/>
                <w:szCs w:val="18"/>
                <w:u w:val="single" w:color="auto"/>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Property and equipment is stated at cost. Property and equipment is depreciated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straight-line method over the estimated useful lives of the assets. The estimated useful lives of property and equipment range up to the following maximum life:</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Classification</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Life</w:t>
            </w:r>
          </w:p>
        </w:tc>
      </w:tr>
      <w:tr>
        <w:trPr>
          <w:trHeight w:val="209"/>
        </w:trPr>
        <w:tc>
          <w:tcPr>
            <w:tcW w:w="7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Vessels</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40 years</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30 years</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Terminal facilities</w:t>
            </w:r>
          </w:p>
        </w:tc>
        <w:tc>
          <w:tcPr>
            <w:tcW w:w="9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35 years</w:t>
            </w:r>
          </w:p>
        </w:tc>
      </w:tr>
    </w:tbl>
    <w:p>
      <w:pPr>
        <w:spacing w:after="0" w:line="202"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i w:val="1"/>
          <w:iCs w:val="1"/>
          <w:color w:val="auto"/>
        </w:rPr>
        <w:t xml:space="preserve">Capitalized Interest: </w:t>
      </w:r>
      <w:r>
        <w:rPr>
          <w:rFonts w:ascii="Arial" w:cs="Arial" w:eastAsia="Arial" w:hAnsi="Arial"/>
          <w:sz w:val="16"/>
          <w:szCs w:val="16"/>
          <w:color w:val="auto"/>
        </w:rPr>
        <w:t>The Company capitalizes interest costs during the period the qualified assets are being readied for</w:t>
      </w:r>
      <w:r>
        <w:rPr>
          <w:rFonts w:ascii="Arial" w:cs="Arial" w:eastAsia="Arial" w:hAnsi="Arial"/>
          <w:sz w:val="16"/>
          <w:szCs w:val="16"/>
          <w:i w:val="1"/>
          <w:iCs w:val="1"/>
          <w:color w:val="auto"/>
        </w:rPr>
        <w:t xml:space="preserve"> </w:t>
      </w:r>
      <w:r>
        <w:rPr>
          <w:rFonts w:ascii="Arial" w:cs="Arial" w:eastAsia="Arial" w:hAnsi="Arial"/>
          <w:sz w:val="16"/>
          <w:szCs w:val="16"/>
          <w:color w:val="auto"/>
        </w:rPr>
        <w:t>their intended use. The Company determined that the vessel construction costs are considered qualifying assets for the purposes of capitalizing interest on these assets. The amount of capitalized interest is calculated based on the amount of payments incurred related to the construction of these vessels using a weighted average interest rate. The weighted average interest rate is determined using the Company’s average borrowings outstanding during the period. Capitalized interest is included in vessel construction in progress in property and equipment in the Company’s Consolidated Balance Sheets (see Note 5). During the years ended December 31, 2020, 2019 and 2018, the Company capitalized $7.4 million, $15.6 million and $18.7 million of interest related to the construction of new vessels, respectively.</w:t>
      </w:r>
    </w:p>
    <w:p>
      <w:pPr>
        <w:spacing w:after="0" w:line="15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The Company adopted Accounting Standards Codification (“ASC”) 842,</w:t>
      </w:r>
      <w:r>
        <w:rPr>
          <w:rFonts w:ascii="Arial" w:cs="Arial" w:eastAsia="Arial" w:hAnsi="Arial"/>
          <w:sz w:val="17"/>
          <w:szCs w:val="17"/>
          <w:i w:val="1"/>
          <w:iCs w:val="1"/>
          <w:color w:val="auto"/>
        </w:rPr>
        <w:t xml:space="preserve"> Leases </w:t>
      </w:r>
      <w:r>
        <w:rPr>
          <w:rFonts w:ascii="Arial" w:cs="Arial" w:eastAsia="Arial" w:hAnsi="Arial"/>
          <w:sz w:val="17"/>
          <w:szCs w:val="17"/>
          <w:color w:val="auto"/>
        </w:rPr>
        <w:t>(“ASC 842”) on January 1, 2019.</w:t>
      </w:r>
      <w:r>
        <w:rPr>
          <w:rFonts w:ascii="Arial" w:cs="Arial" w:eastAsia="Arial" w:hAnsi="Arial"/>
          <w:sz w:val="17"/>
          <w:szCs w:val="17"/>
          <w:i w:val="1"/>
          <w:iCs w:val="1"/>
          <w:color w:val="auto"/>
        </w:rPr>
        <w:t xml:space="preserve"> </w:t>
      </w:r>
      <w:r>
        <w:rPr>
          <w:rFonts w:ascii="Arial" w:cs="Arial" w:eastAsia="Arial" w:hAnsi="Arial"/>
          <w:sz w:val="17"/>
          <w:szCs w:val="17"/>
          <w:color w:val="auto"/>
        </w:rPr>
        <w:t>ASC 842 requires lessees to record leases on their balance sheets but recognize the expenses in their income statements in a manner similar to pre-adoption practice. ASC 842 states that a lessee would recognize a lease liability for the obligation to make lease payments, and a right-of-use asset for the underlying leased asset for the period of the lease term. Refer to Note 9 for additional information on the Company’s lease related disclosures.</w:t>
      </w:r>
    </w:p>
    <w:p>
      <w:pPr>
        <w:spacing w:after="0" w:line="163"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i w:val="1"/>
          <w:iCs w:val="1"/>
          <w:color w:val="auto"/>
        </w:rPr>
        <w:t xml:space="preserve">Deferred Dry-docking Costs: </w:t>
      </w:r>
      <w:r>
        <w:rPr>
          <w:rFonts w:ascii="Arial" w:cs="Arial" w:eastAsia="Arial" w:hAnsi="Arial"/>
          <w:sz w:val="17"/>
          <w:szCs w:val="17"/>
          <w:color w:val="auto"/>
        </w:rPr>
        <w:t>U.S. flagged vessels must meet specified seaworthiness standards established by U.S. Coast</w:t>
      </w:r>
      <w:r>
        <w:rPr>
          <w:rFonts w:ascii="Arial" w:cs="Arial" w:eastAsia="Arial" w:hAnsi="Arial"/>
          <w:sz w:val="17"/>
          <w:szCs w:val="17"/>
          <w:i w:val="1"/>
          <w:iCs w:val="1"/>
          <w:color w:val="auto"/>
        </w:rPr>
        <w:t xml:space="preserve"> </w:t>
      </w:r>
      <w:r>
        <w:rPr>
          <w:rFonts w:ascii="Arial" w:cs="Arial" w:eastAsia="Arial" w:hAnsi="Arial"/>
          <w:sz w:val="17"/>
          <w:szCs w:val="17"/>
          <w:color w:val="auto"/>
        </w:rPr>
        <w:t>Guard rules and classification society rules. These standards require U.S. flagged vessels to undergo two dry-docking inspections within a five-year period, with a maximum of 36 months between them. However, U.S. flagged vessels that are enrolled in the U.S. Coast Guard’s Underwater Survey in Lieu of Dry-docking (“UWILD”) program are allowed to have their Intermediate Survey dry-docking requirement met with a less costly underwater inspection. Non-U.S. flagged vessels are required to meet applicable classification society rules and their own local standards for seaworthiness, which also mandate vessels to undergo two dry-docking inspections every five years.</w:t>
      </w:r>
    </w:p>
    <w:p>
      <w:pPr>
        <w:spacing w:after="0" w:line="164"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Company is responsible for maintaining its vessels in compliance with U.S. and international standards. As costs associated with dry-docking inspections provide future economic benefits to the Company through continued operation of the vessels, the costs are deferred and amortized until the scheduled date of the next required dry-docking, which is usually over a two to five-year period. Amortization of deferred dry-docking costs are charged to operating expenses of the Ocean Transportation segment in the Consolidated Statements of Income and Comprehensive Income. Routine vessel maintenance and repairs are charged to expense as incurred.</w:t>
      </w:r>
    </w:p>
    <w:p>
      <w:pPr>
        <w:spacing w:after="0" w:line="164"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i w:val="1"/>
          <w:iCs w:val="1"/>
          <w:color w:val="auto"/>
        </w:rPr>
        <w:t xml:space="preserve">Goodwill and Intangible Assets: </w:t>
      </w:r>
      <w:r>
        <w:rPr>
          <w:rFonts w:ascii="Arial" w:cs="Arial" w:eastAsia="Arial" w:hAnsi="Arial"/>
          <w:sz w:val="17"/>
          <w:szCs w:val="17"/>
          <w:color w:val="auto"/>
        </w:rPr>
        <w:t>Goodwill and intangible assets arise as a result of acquisitions made by the Company (see</w:t>
      </w:r>
      <w:r>
        <w:rPr>
          <w:rFonts w:ascii="Arial" w:cs="Arial" w:eastAsia="Arial" w:hAnsi="Arial"/>
          <w:sz w:val="17"/>
          <w:szCs w:val="17"/>
          <w:i w:val="1"/>
          <w:iCs w:val="1"/>
          <w:color w:val="auto"/>
        </w:rPr>
        <w:t xml:space="preserve"> </w:t>
      </w:r>
      <w:r>
        <w:rPr>
          <w:rFonts w:ascii="Arial" w:cs="Arial" w:eastAsia="Arial" w:hAnsi="Arial"/>
          <w:sz w:val="17"/>
          <w:szCs w:val="17"/>
          <w:color w:val="auto"/>
        </w:rPr>
        <w:t>Note 6). Intangible assets consist of customer relationships which are being amortized using the straight-line method over the expected useful lives ranging up to 21 years, and a trade name that has an indefinite life.</w:t>
      </w:r>
    </w:p>
    <w:p>
      <w:pPr>
        <w:spacing w:after="0" w:line="152"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i w:val="1"/>
          <w:iCs w:val="1"/>
          <w:color w:val="auto"/>
        </w:rPr>
        <w:t>Impairment Evaluation of Long-Lived Assets, Intangible Assets and Goodwill</w:t>
      </w:r>
      <w:r>
        <w:rPr>
          <w:rFonts w:ascii="Arial" w:cs="Arial" w:eastAsia="Arial" w:hAnsi="Arial"/>
          <w:sz w:val="17"/>
          <w:szCs w:val="17"/>
          <w:color w:val="auto"/>
        </w:rPr>
        <w:t>: The Company evaluates its long-lived</w:t>
      </w:r>
      <w:r>
        <w:rPr>
          <w:rFonts w:ascii="Arial" w:cs="Arial" w:eastAsia="Arial" w:hAnsi="Arial"/>
          <w:sz w:val="17"/>
          <w:szCs w:val="17"/>
          <w:i w:val="1"/>
          <w:iCs w:val="1"/>
          <w:color w:val="auto"/>
        </w:rPr>
        <w:t xml:space="preserve"> </w:t>
      </w:r>
      <w:r>
        <w:rPr>
          <w:rFonts w:ascii="Arial" w:cs="Arial" w:eastAsia="Arial" w:hAnsi="Arial"/>
          <w:sz w:val="17"/>
          <w:szCs w:val="17"/>
          <w:color w:val="auto"/>
        </w:rPr>
        <w:t>assets, intangible assets and goodwill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Long-lived assets and finite-lived intangible assets are grouped at the lowest level reporting unit for which identifiable cash flows are available. In evaluating for impairment, the estimated future undiscounted cash flows generated by each of these asset groups are compared with the carrying value recorded for each asset group to determine if its carrying value is recoverable. If this review determines that the amount recorded will not be recovered, the amount recorded for the asset group is reduced to its estimated fair value. No impairment charges of long-lived assets and finite-lived intangible assets were recorded for the years ended December 31, 2020, 2019 and 2018.</w:t>
      </w:r>
    </w:p>
    <w:p>
      <w:pPr>
        <w:spacing w:after="0" w:line="110" w:lineRule="exact"/>
        <w:rPr>
          <w:sz w:val="20"/>
          <w:szCs w:val="20"/>
          <w:color w:val="auto"/>
        </w:rPr>
      </w:pPr>
    </w:p>
    <w:p>
      <w:pPr>
        <w:ind w:left="60" w:right="199"/>
        <w:spacing w:after="0" w:line="293" w:lineRule="auto"/>
        <w:rPr>
          <w:sz w:val="20"/>
          <w:szCs w:val="20"/>
          <w:color w:val="auto"/>
        </w:rPr>
      </w:pPr>
      <w:r>
        <w:rPr>
          <w:rFonts w:ascii="Arial" w:cs="Arial" w:eastAsia="Arial" w:hAnsi="Arial"/>
          <w:sz w:val="16"/>
          <w:szCs w:val="16"/>
          <w:color w:val="auto"/>
        </w:rPr>
        <w:t>Indefinite-life intangible assets and goodwill are grouped at the lowest level reporting unit for which identifiable cash flows are available. In estimating the fair value of a reporting unit, the Company uses a combination of a discounted cash flow model and fair value based on market multiples of earnings before interest, taxes, depreciation and amortization. Based upon the Company’s evaluation of its indefinite-life intangible assets and goodwill for impairment, the Company determined that the fair value of each reporting unit exceeds book value. No impairment charges of indefinite-life intangible assets and goodwill were recorded for the years ended December 31, 2020, 2019 and 2018.</w:t>
      </w:r>
    </w:p>
    <w:p>
      <w:pPr>
        <w:spacing w:after="0" w:line="97" w:lineRule="exact"/>
        <w:rPr>
          <w:sz w:val="20"/>
          <w:szCs w:val="20"/>
          <w:color w:val="auto"/>
        </w:rPr>
      </w:pPr>
    </w:p>
    <w:p>
      <w:pPr>
        <w:ind w:left="60" w:right="579"/>
        <w:spacing w:after="0" w:line="301" w:lineRule="auto"/>
        <w:rPr>
          <w:sz w:val="20"/>
          <w:szCs w:val="20"/>
          <w:color w:val="auto"/>
        </w:rPr>
      </w:pPr>
      <w:r>
        <w:rPr>
          <w:rFonts w:ascii="Arial" w:cs="Arial" w:eastAsia="Arial" w:hAnsi="Arial"/>
          <w:sz w:val="16"/>
          <w:szCs w:val="16"/>
          <w:i w:val="1"/>
          <w:iCs w:val="1"/>
          <w:color w:val="auto"/>
        </w:rPr>
        <w:t xml:space="preserve">Impairment Evaluation of SSAT: </w:t>
      </w:r>
      <w:r>
        <w:rPr>
          <w:rFonts w:ascii="Arial" w:cs="Arial" w:eastAsia="Arial" w:hAnsi="Arial"/>
          <w:sz w:val="16"/>
          <w:szCs w:val="16"/>
          <w:color w:val="auto"/>
        </w:rPr>
        <w:t>The Company’s investment in SSAT, a related party, is evaluated for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whenever there is evidence of impairment during the reporting period. If any impairment is identified, the Company evaluates if the decrease in the fair value of the investment below its carrying value is other-than-temporary. No impairment was identified during the years ended December 31, 2020, 2019 and 2018.</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Other Liabilities: </w:t>
      </w:r>
      <w:r>
        <w:rPr>
          <w:rFonts w:ascii="Arial" w:cs="Arial" w:eastAsia="Arial" w:hAnsi="Arial"/>
          <w:sz w:val="18"/>
          <w:szCs w:val="18"/>
          <w:color w:val="auto"/>
        </w:rPr>
        <w:t>Other liabilities consist of the following at December 31, 2020 and 2019:</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 Liabilities (in millions)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10"/>
          </w:tcPr>
          <w:p>
            <w:pPr>
              <w:ind w:left="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Payroll and vacation</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Employee incentives and other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Multi-employer withdrawal liabilities - short term (see Note 12)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Income tax liabilities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Insurance reserves and other related liabilities - short term</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Deferred revenues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Interest on debt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Pension and post-retirement liabilities - short term (see Note 11)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short-term liabilities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tcPr>
          <w:p>
            <w:pPr>
              <w:ind w:left="10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r>
              <w:rPr>
                <w:rFonts w:ascii="Arial" w:cs="Arial" w:eastAsia="Arial" w:hAnsi="Arial"/>
                <w:sz w:val="18"/>
                <w:szCs w:val="18"/>
                <w:u w:val="single" w:color="auto"/>
                <w:color w:val="auto"/>
              </w:rPr>
              <w:t>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r>
              <w:rPr>
                <w:rFonts w:ascii="Arial" w:cs="Arial" w:eastAsia="Arial" w:hAnsi="Arial"/>
                <w:sz w:val="18"/>
                <w:szCs w:val="18"/>
                <w:u w:val="single" w:color="auto"/>
                <w:color w:val="auto"/>
              </w:rPr>
              <w:t>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40" w:type="dxa"/>
            <w:vAlign w:val="bottom"/>
            <w:gridSpan w:val="12"/>
          </w:tcPr>
          <w:p>
            <w:pPr>
              <w:ind w:left="20"/>
              <w:spacing w:after="0"/>
              <w:rPr>
                <w:sz w:val="20"/>
                <w:szCs w:val="20"/>
                <w:color w:val="auto"/>
              </w:rPr>
            </w:pPr>
            <w:r>
              <w:rPr>
                <w:rFonts w:ascii="Arial" w:cs="Arial" w:eastAsia="Arial" w:hAnsi="Arial"/>
                <w:sz w:val="18"/>
                <w:szCs w:val="18"/>
                <w:i w:val="1"/>
                <w:iCs w:val="1"/>
                <w:color w:val="auto"/>
                <w:w w:val="93"/>
              </w:rPr>
              <w:t xml:space="preserve">Other Long-Term Liabilities: </w:t>
            </w:r>
            <w:r>
              <w:rPr>
                <w:rFonts w:ascii="Arial" w:cs="Arial" w:eastAsia="Arial" w:hAnsi="Arial"/>
                <w:sz w:val="18"/>
                <w:szCs w:val="18"/>
                <w:color w:val="auto"/>
                <w:w w:val="93"/>
              </w:rPr>
              <w:t>Other long-term liabilities consist of the following at December 31, 2020 and 2019:</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 Long-Term Liabilities (in millions)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10"/>
          </w:tcPr>
          <w:p>
            <w:pPr>
              <w:ind w:left="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8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Pension and post-retirement liabilities (see Note 11)</w:t>
            </w:r>
          </w:p>
        </w:tc>
        <w:tc>
          <w:tcPr>
            <w:tcW w:w="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Multi-employer withdrawal liability (see Note 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Insurance reserves and other related liabilities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r>
              <w:rPr>
                <w:rFonts w:ascii="Arial" w:cs="Arial" w:eastAsia="Arial" w:hAnsi="Arial"/>
                <w:sz w:val="18"/>
                <w:szCs w:val="18"/>
                <w:u w:val="single" w:color="auto"/>
                <w:color w:val="auto"/>
              </w:rPr>
              <w:t>8</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r>
              <w:rPr>
                <w:rFonts w:ascii="Arial" w:cs="Arial" w:eastAsia="Arial" w:hAnsi="Arial"/>
                <w:sz w:val="18"/>
                <w:szCs w:val="18"/>
                <w:u w:val="single" w:color="auto"/>
                <w:color w:val="auto"/>
              </w:rPr>
              <w:t>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i w:val="1"/>
          <w:iCs w:val="1"/>
          <w:color w:val="auto"/>
        </w:rPr>
        <w:t xml:space="preserve">Pension and Post-Retirement Plans: </w:t>
      </w:r>
      <w:r>
        <w:rPr>
          <w:rFonts w:ascii="Arial" w:cs="Arial" w:eastAsia="Arial" w:hAnsi="Arial"/>
          <w:sz w:val="18"/>
          <w:szCs w:val="18"/>
          <w:color w:val="auto"/>
        </w:rPr>
        <w:t>The Company is a member of the Pacific Maritime Association (“PMA”)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Hawaii Stevedoring Industry Committee, which negotiate multi-employer pension plans covering certain shoreside bargaining unit personnel. The Company directly negotiates multi-employer pension plans covering other bargaining unit personnel. Pension costs are accrued in accordance with contribution rates established by the PMA, the parties to a plan or the trustees of a plan. Several trusteed, non-contributory, single-employer defined benefit plans and defined contribution plans cover substantially all other employees.</w:t>
      </w:r>
    </w:p>
    <w:p>
      <w:pPr>
        <w:spacing w:after="0" w:line="111"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The estimation of the Company’s pension and post-retirement benefit expenses and liabilities requires that the Company make various assumptions. These assumptions include factors such as discount rates, expected long-term rates of return on pension plan assets, salary growth, health care cost trend rates, inflation, retirement rates, mortality rates, and expected contributions. Actual results that differ from the assumptions made could materially affect the Company’s financial condition or its future operating results. Additional information about the Company’s pension and post-retirement plans is included in Note 11.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4" w:lineRule="auto"/>
        <w:rPr>
          <w:sz w:val="20"/>
          <w:szCs w:val="20"/>
          <w:color w:val="auto"/>
        </w:rPr>
      </w:pPr>
      <w:r>
        <w:rPr>
          <w:rFonts w:ascii="Arial" w:cs="Arial" w:eastAsia="Arial" w:hAnsi="Arial"/>
          <w:sz w:val="18"/>
          <w:szCs w:val="18"/>
          <w:i w:val="1"/>
          <w:iCs w:val="1"/>
          <w:color w:val="auto"/>
        </w:rPr>
        <w:t xml:space="preserve">Insurance Related Liabilities: </w:t>
      </w:r>
      <w:r>
        <w:rPr>
          <w:rFonts w:ascii="Arial" w:cs="Arial" w:eastAsia="Arial" w:hAnsi="Arial"/>
          <w:sz w:val="18"/>
          <w:szCs w:val="18"/>
          <w:color w:val="auto"/>
        </w:rPr>
        <w:t>The Company is uninsured for certain risks but when feasible, many of these risks are</w:t>
      </w:r>
      <w:r>
        <w:rPr>
          <w:rFonts w:ascii="Arial" w:cs="Arial" w:eastAsia="Arial" w:hAnsi="Arial"/>
          <w:sz w:val="18"/>
          <w:szCs w:val="18"/>
          <w:i w:val="1"/>
          <w:iCs w:val="1"/>
          <w:color w:val="auto"/>
        </w:rPr>
        <w:t xml:space="preserve"> </w:t>
      </w:r>
      <w:r>
        <w:rPr>
          <w:rFonts w:ascii="Arial" w:cs="Arial" w:eastAsia="Arial" w:hAnsi="Arial"/>
          <w:sz w:val="18"/>
          <w:szCs w:val="18"/>
          <w:color w:val="auto"/>
        </w:rPr>
        <w:t>mitigated by insurance. The Company purchases insurance with deductibles or self-insured retentions. Such insurance includes, but is not limited to, employee health, workers’ compensation, marine liability, cybersecurity, auto liability and physical damage to property and equipment. For certain risks, the Company elects to not purchase insurance because of the excessive cost of insurance or the perceived remoteness of the risk. In addition, the Company retains all risk of loss that exceeds the limits of the Company’s insurance policies, or for other risks where insurance is not commercially available.</w:t>
      </w:r>
    </w:p>
    <w:p>
      <w:pPr>
        <w:spacing w:after="0" w:line="114"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When estimating its reserves for retained risks and related liabilities, the Company considers a number of factors, including historical claims experience, demographic factors, current trends, and analyses provided by independent third-parties. Periodically, management reviews its assumptions and estimates used to determine the adequacy of the Company’s reserves for retained risks and other related liabilities.</w:t>
      </w:r>
    </w:p>
    <w:p>
      <w:pPr>
        <w:spacing w:after="0" w:line="106" w:lineRule="exact"/>
        <w:rPr>
          <w:sz w:val="20"/>
          <w:szCs w:val="20"/>
          <w:color w:val="auto"/>
        </w:rPr>
      </w:pPr>
    </w:p>
    <w:p>
      <w:pPr>
        <w:ind w:left="60" w:right="159"/>
        <w:spacing w:after="0" w:line="287" w:lineRule="auto"/>
        <w:rPr>
          <w:sz w:val="20"/>
          <w:szCs w:val="20"/>
          <w:color w:val="auto"/>
        </w:rPr>
      </w:pPr>
      <w:r>
        <w:rPr>
          <w:rFonts w:ascii="Arial" w:cs="Arial" w:eastAsia="Arial" w:hAnsi="Arial"/>
          <w:sz w:val="16"/>
          <w:szCs w:val="16"/>
          <w:i w:val="1"/>
          <w:iCs w:val="1"/>
          <w:color w:val="auto"/>
        </w:rPr>
        <w:t xml:space="preserve">Recognition of Revenues and Expenses: </w:t>
      </w:r>
      <w:r>
        <w:rPr>
          <w:rFonts w:ascii="Arial" w:cs="Arial" w:eastAsia="Arial" w:hAnsi="Arial"/>
          <w:sz w:val="16"/>
          <w:szCs w:val="16"/>
          <w:color w:val="auto"/>
        </w:rPr>
        <w:t>Revenue in the Company’s Consolidated Financial Statements is presented net of</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elimination of intercompany transactions. The following is a description of the Company’s principal revenue generating activities by segment, and the Company’s revenue recognition policy for each activity for the periods presented:</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Ocean Transportation (in millions) (1)</w:t>
            </w: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10"/>
        </w:trPr>
        <w:tc>
          <w:tcPr>
            <w:tcW w:w="58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Ocean Transportation services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1,821.7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1,625.8</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1,599.3</w:t>
            </w:r>
          </w:p>
        </w:tc>
        <w:tc>
          <w:tcPr>
            <w:tcW w:w="0" w:type="dxa"/>
            <w:vAlign w:val="bottom"/>
          </w:tcPr>
          <w:p>
            <w:pPr>
              <w:spacing w:after="0"/>
              <w:rPr>
                <w:sz w:val="1"/>
                <w:szCs w:val="1"/>
                <w:color w:val="auto"/>
              </w:rPr>
            </w:pPr>
          </w:p>
        </w:tc>
      </w:tr>
      <w:tr>
        <w:trPr>
          <w:trHeight w:val="216"/>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Terminal and other related services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6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Fuel sales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Vessel management and related services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1,853.</w:t>
            </w:r>
            <w:r>
              <w:rPr>
                <w:rFonts w:ascii="Arial" w:cs="Arial" w:eastAsia="Arial" w:hAnsi="Arial"/>
                <w:sz w:val="18"/>
                <w:szCs w:val="18"/>
                <w:u w:val="single" w:color="auto"/>
                <w:color w:val="auto"/>
                <w:w w:val="96"/>
              </w:rPr>
              <w:t>9</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1,666.</w:t>
            </w:r>
            <w:r>
              <w:rPr>
                <w:rFonts w:ascii="Arial" w:cs="Arial" w:eastAsia="Arial" w:hAnsi="Arial"/>
                <w:sz w:val="18"/>
                <w:szCs w:val="18"/>
                <w:u w:val="single" w:color="auto"/>
                <w:color w:val="auto"/>
                <w:w w:val="99"/>
              </w:rPr>
              <w:t>6</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1,641.</w:t>
            </w:r>
            <w:r>
              <w:rPr>
                <w:rFonts w:ascii="Arial" w:cs="Arial" w:eastAsia="Arial" w:hAnsi="Arial"/>
                <w:sz w:val="18"/>
                <w:szCs w:val="18"/>
                <w:u w:val="single" w:color="auto"/>
                <w:color w:val="auto"/>
                <w:w w:val="89"/>
              </w:rPr>
              <w:t>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99" w:hanging="330"/>
        <w:spacing w:after="0" w:line="253" w:lineRule="auto"/>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Ocean Transportation revenue transactions are primarily denominated in U.S. dollars except for less than 3 percent of Ocean Transportation services revenue and fuel sales revenue categories which are denominated in foreign currencies.</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Ocean Transportation services revenue is recognized ratably over the duration of a voyage based on the relative transit</w:t>
      </w:r>
    </w:p>
    <w:p>
      <w:pPr>
        <w:ind w:left="380" w:right="259"/>
        <w:spacing w:after="0" w:line="263" w:lineRule="auto"/>
        <w:rPr>
          <w:sz w:val="20"/>
          <w:szCs w:val="20"/>
          <w:color w:val="auto"/>
        </w:rPr>
      </w:pPr>
      <w:r>
        <w:rPr>
          <w:rFonts w:ascii="Arial" w:cs="Arial" w:eastAsia="Arial" w:hAnsi="Arial"/>
          <w:sz w:val="18"/>
          <w:szCs w:val="18"/>
          <w:color w:val="auto"/>
        </w:rPr>
        <w:t>time completed in each reporting period. Vessel operating costs and other ocean transportation operating costs, such as terminal operating overhead and selling, general and administrative expenses, are charged to operating costs as incurred.</w:t>
      </w:r>
    </w:p>
    <w:p>
      <w:pPr>
        <w:spacing w:after="0" w:line="21" w:lineRule="exact"/>
        <w:rPr>
          <w:sz w:val="20"/>
          <w:szCs w:val="20"/>
          <w:color w:val="auto"/>
        </w:rPr>
      </w:pPr>
    </w:p>
    <w:p>
      <w:pPr>
        <w:ind w:left="380" w:right="179"/>
        <w:spacing w:after="0" w:line="250" w:lineRule="auto"/>
        <w:rPr>
          <w:sz w:val="20"/>
          <w:szCs w:val="20"/>
          <w:color w:val="auto"/>
        </w:rPr>
      </w:pPr>
      <w:r>
        <w:rPr>
          <w:rFonts w:ascii="Arial" w:cs="Arial" w:eastAsia="Arial" w:hAnsi="Arial"/>
          <w:sz w:val="18"/>
          <w:szCs w:val="18"/>
          <w:color w:val="auto"/>
        </w:rPr>
        <w:t>Terminal and other related services revenue is recognized as the services are performed. Related costs are recognized as incurred.</w:t>
      </w:r>
    </w:p>
    <w:p>
      <w:pPr>
        <w:ind w:left="380" w:right="319"/>
        <w:spacing w:after="0" w:line="250" w:lineRule="auto"/>
        <w:rPr>
          <w:sz w:val="20"/>
          <w:szCs w:val="20"/>
          <w:color w:val="auto"/>
        </w:rPr>
      </w:pPr>
      <w:r>
        <w:rPr>
          <w:rFonts w:ascii="Arial" w:cs="Arial" w:eastAsia="Arial" w:hAnsi="Arial"/>
          <w:sz w:val="18"/>
          <w:szCs w:val="18"/>
          <w:color w:val="auto"/>
        </w:rPr>
        <w:t>Fuel sales revenue and related costs are recognized when the Company has completed delivery of the product to the customer in accordance with the terms and conditions of the contract.</w:t>
      </w:r>
    </w:p>
    <w:p>
      <w:pPr>
        <w:ind w:left="380" w:right="199"/>
        <w:spacing w:after="0" w:line="250" w:lineRule="auto"/>
        <w:rPr>
          <w:sz w:val="20"/>
          <w:szCs w:val="20"/>
          <w:color w:val="auto"/>
        </w:rPr>
      </w:pPr>
      <w:r>
        <w:rPr>
          <w:rFonts w:ascii="Arial" w:cs="Arial" w:eastAsia="Arial" w:hAnsi="Arial"/>
          <w:sz w:val="18"/>
          <w:szCs w:val="18"/>
          <w:color w:val="auto"/>
        </w:rPr>
        <w:t>Vessel management and related services revenue is recognized in proportion to the services completed. Related costs are recognized as incurred.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Logistics (in millions) (1)</w:t>
            </w:r>
          </w:p>
        </w:tc>
        <w:tc>
          <w:tcPr>
            <w:tcW w:w="2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jc w:val="right"/>
              <w:ind w:right="55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0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9"/>
              </w:rPr>
              <w:t>2019 (2)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99"/>
              </w:rPr>
              <w:t>2018 (2)</w:t>
            </w:r>
          </w:p>
        </w:tc>
        <w:tc>
          <w:tcPr>
            <w:tcW w:w="0" w:type="dxa"/>
            <w:vAlign w:val="bottom"/>
          </w:tcPr>
          <w:p>
            <w:pPr>
              <w:spacing w:after="0"/>
              <w:rPr>
                <w:sz w:val="1"/>
                <w:szCs w:val="1"/>
                <w:color w:val="auto"/>
              </w:rPr>
            </w:pPr>
          </w:p>
        </w:tc>
      </w:tr>
      <w:tr>
        <w:trPr>
          <w:trHeight w:val="210"/>
        </w:trPr>
        <w:tc>
          <w:tcPr>
            <w:tcW w:w="58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Transportation Brokerage and Freight Forwarding services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16"/>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Warehouse and distribution services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6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Supply chain management and other services</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9"/>
        </w:trPr>
        <w:tc>
          <w:tcPr>
            <w:tcW w:w="602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r>
              <w:rPr>
                <w:rFonts w:ascii="Arial" w:cs="Arial" w:eastAsia="Arial" w:hAnsi="Arial"/>
                <w:sz w:val="18"/>
                <w:szCs w:val="18"/>
                <w:u w:val="single" w:color="auto"/>
                <w:color w:val="auto"/>
              </w:rPr>
              <w:t>4</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r>
              <w:rPr>
                <w:rFonts w:ascii="Arial" w:cs="Arial" w:eastAsia="Arial" w:hAnsi="Arial"/>
                <w:sz w:val="18"/>
                <w:szCs w:val="18"/>
                <w:u w:val="single" w:color="auto"/>
                <w:color w:val="auto"/>
              </w:rPr>
              <w:t>5</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r>
              <w:rPr>
                <w:rFonts w:ascii="Arial" w:cs="Arial" w:eastAsia="Arial" w:hAnsi="Arial"/>
                <w:sz w:val="18"/>
                <w:szCs w:val="18"/>
                <w:u w:val="single" w:color="auto"/>
                <w:color w:val="auto"/>
              </w:rPr>
              <w:t>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159" w:hanging="330"/>
        <w:spacing w:after="0" w:line="248" w:lineRule="auto"/>
        <w:tabs>
          <w:tab w:leader="none" w:pos="3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Logistics revenue transactions are primarily denominated in U.S. dollars except for approximately 3 percent of transportation brokerage and freight forwarding services revenue, and supply chain management and other services revenue categories which are denominated in foreign currencies.</w:t>
      </w:r>
    </w:p>
    <w:p>
      <w:pPr>
        <w:ind w:left="380" w:right="299" w:hanging="330"/>
        <w:spacing w:after="0" w:line="286" w:lineRule="auto"/>
        <w:tabs>
          <w:tab w:leader="none" w:pos="3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Company has reclassified $15.8 million and $16.6 million from transportation brokerage and freight forwarding services to warehouse and distribution services, and supply chain management and other services for the years ended December 31, 2019 and 2018, respectively, to be consistent with its current period presentation. There was no change in total Logistics revenue for the years ended December 31, 2019 and 2018.</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Transportation Brokerage and Freight Forwarding services revenue consists of amounts billed to customers for</w:t>
      </w:r>
    </w:p>
    <w:p>
      <w:pPr>
        <w:ind w:left="380" w:right="99"/>
        <w:spacing w:after="0" w:line="273" w:lineRule="auto"/>
        <w:rPr>
          <w:sz w:val="20"/>
          <w:szCs w:val="20"/>
          <w:color w:val="auto"/>
        </w:rPr>
      </w:pPr>
      <w:r>
        <w:rPr>
          <w:rFonts w:ascii="Arial" w:cs="Arial" w:eastAsia="Arial" w:hAnsi="Arial"/>
          <w:sz w:val="17"/>
          <w:szCs w:val="17"/>
          <w:color w:val="auto"/>
        </w:rPr>
        <w:t>services provided. The primary costs include third-party purchased transportation services, agent commissions, labor and equipment. Revenue and the related purchased third-party transportation costs are recognized over the duration of a delivery based upon the relative transit time completed in each reporting period. Labor, agent commissions,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Warehousing and distribution services revenue consist of amounts billed to customers for storage, handling, and value-</w:t>
      </w:r>
    </w:p>
    <w:p>
      <w:pPr>
        <w:ind w:left="380" w:right="199"/>
        <w:spacing w:after="0" w:line="263" w:lineRule="auto"/>
        <w:rPr>
          <w:sz w:val="20"/>
          <w:szCs w:val="20"/>
          <w:color w:val="auto"/>
        </w:rPr>
      </w:pPr>
      <w:r>
        <w:rPr>
          <w:rFonts w:ascii="Arial" w:cs="Arial" w:eastAsia="Arial" w:hAnsi="Arial"/>
          <w:sz w:val="18"/>
          <w:szCs w:val="18"/>
          <w:color w:val="auto"/>
        </w:rPr>
        <w:t>added packaging of customer merchandise. Storage revenue is recognized in the month the service is provided to the customer. Storage related costs are recognized as incurred. Other warehousing and distribution services revenue and related costs are recognized in proportion to the services performed.</w:t>
      </w:r>
    </w:p>
    <w:p>
      <w:pPr>
        <w:spacing w:after="0" w:line="21" w:lineRule="exact"/>
        <w:rPr>
          <w:sz w:val="20"/>
          <w:szCs w:val="20"/>
          <w:color w:val="auto"/>
        </w:rPr>
      </w:pPr>
    </w:p>
    <w:p>
      <w:pPr>
        <w:ind w:left="380" w:right="319"/>
        <w:spacing w:after="0" w:line="260" w:lineRule="auto"/>
        <w:rPr>
          <w:sz w:val="20"/>
          <w:szCs w:val="20"/>
          <w:color w:val="auto"/>
        </w:rPr>
      </w:pPr>
      <w:r>
        <w:rPr>
          <w:rFonts w:ascii="Arial" w:cs="Arial" w:eastAsia="Arial" w:hAnsi="Arial"/>
          <w:sz w:val="18"/>
          <w:szCs w:val="18"/>
          <w:color w:val="auto"/>
        </w:rPr>
        <w:t>Supply chain management and other services revenue, and related costs are recognized in proportion to the services performed.</w:t>
      </w:r>
    </w:p>
    <w:p>
      <w:pPr>
        <w:spacing w:after="0" w:line="185"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The Company expenses sales commissions and contract acquisition costs as incurred because the amounts are generally immaterial. These expenses are included in selling, general and administration expenses in the Consolidated Statements of Income and Comprehensive Income.</w:t>
      </w:r>
    </w:p>
    <w:p>
      <w:pPr>
        <w:spacing w:after="0" w:line="110"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i w:val="1"/>
          <w:iCs w:val="1"/>
          <w:color w:val="auto"/>
        </w:rPr>
        <w:t xml:space="preserve">Customer Concentration: </w:t>
      </w:r>
      <w:r>
        <w:rPr>
          <w:rFonts w:ascii="Arial" w:cs="Arial" w:eastAsia="Arial" w:hAnsi="Arial"/>
          <w:sz w:val="18"/>
          <w:szCs w:val="18"/>
          <w:color w:val="auto"/>
        </w:rPr>
        <w:t>The Ocean Transportation segment serves customers in numerous industries and carries a wide</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cargo, mitigating its dependence upon any single customer or single type of cargo. In 2020, 2019 and 2018, the 10 largest Ocean Transportation customers accounted for approximately 22 percent, 23 percent and 24 percent of Ocean Transportation revenue, respectively. None of these customers individually account for more than 10 percent of Ocean Transportation operating revenues.</w:t>
      </w:r>
    </w:p>
    <w:p>
      <w:pPr>
        <w:spacing w:after="0" w:line="120" w:lineRule="exact"/>
        <w:rPr>
          <w:sz w:val="20"/>
          <w:szCs w:val="20"/>
          <w:color w:val="auto"/>
        </w:rPr>
      </w:pPr>
    </w:p>
    <w:p>
      <w:pPr>
        <w:jc w:val="both"/>
        <w:ind w:left="60" w:right="259"/>
        <w:spacing w:after="0" w:line="311" w:lineRule="auto"/>
        <w:rPr>
          <w:sz w:val="20"/>
          <w:szCs w:val="20"/>
          <w:color w:val="auto"/>
        </w:rPr>
      </w:pPr>
      <w:r>
        <w:rPr>
          <w:rFonts w:ascii="Arial" w:cs="Arial" w:eastAsia="Arial" w:hAnsi="Arial"/>
          <w:sz w:val="16"/>
          <w:szCs w:val="16"/>
          <w:color w:val="auto"/>
        </w:rPr>
        <w:t>The Logistics segment serves customers in numerous industries and geographical locations. In 2020, 2019 and 2018, the 10 largest Logistics customers accounted for approximately 19 percent, 21 percent and 23 percent of Logistics revenue, respectively. None of these customers individually account for more than 10 percent of Logistics operating revenues.</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Company recognizes dividends as a liability when approved by the Board of Directors.</w:t>
      </w:r>
    </w:p>
    <w:p>
      <w:pPr>
        <w:spacing w:after="0" w:line="158" w:lineRule="exact"/>
        <w:rPr>
          <w:sz w:val="20"/>
          <w:szCs w:val="20"/>
          <w:color w:val="auto"/>
        </w:rPr>
      </w:pPr>
    </w:p>
    <w:p>
      <w:pPr>
        <w:ind w:left="60" w:right="199"/>
        <w:spacing w:after="0" w:line="342" w:lineRule="auto"/>
        <w:rPr>
          <w:sz w:val="20"/>
          <w:szCs w:val="20"/>
          <w:color w:val="auto"/>
        </w:rPr>
      </w:pPr>
      <w:r>
        <w:rPr>
          <w:rFonts w:ascii="Arial" w:cs="Arial" w:eastAsia="Arial" w:hAnsi="Arial"/>
          <w:sz w:val="16"/>
          <w:szCs w:val="16"/>
          <w:i w:val="1"/>
          <w:iCs w:val="1"/>
          <w:color w:val="auto"/>
        </w:rPr>
        <w:t xml:space="preserve">Share-Based Compensation: </w:t>
      </w:r>
      <w:r>
        <w:rPr>
          <w:rFonts w:ascii="Arial" w:cs="Arial" w:eastAsia="Arial" w:hAnsi="Arial"/>
          <w:sz w:val="16"/>
          <w:szCs w:val="16"/>
          <w:color w:val="auto"/>
        </w:rPr>
        <w:t>The Company records compensation expense for all share-based awards made to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and directors. The Company’s various stock-based compensation plans are more fully described in Note 15.</w:t>
      </w:r>
    </w:p>
    <w:p>
      <w:pPr>
        <w:spacing w:after="0" w:line="56"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estimate of the Company’s income tax expense requires the Company to make various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judgments. These estimates and judgments are applied in the calculation of taxable income, tax credits, tax benefits and deductions, and in the calculation of certain deferred tax assets and liabilities, which arise from differences in the timing of recognition of revenue, costs and expenses for tax purposes. Deferred tax assets and liabilities are adjusted to the extent necessary to reflect tax rates expected to be in effect when the temporary differences reverse.</w:t>
      </w:r>
    </w:p>
    <w:p>
      <w:pPr>
        <w:spacing w:after="0" w:line="94"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color w:val="auto"/>
        </w:rPr>
        <w:t>The Company records a valuation allowance if, based on the weight of available evidence, management believes that it is more likely than not that some portion or all of a recorded deferred tax asset would not be realized in future periods. The Company’s income taxes are more fully described in Note 10.</w:t>
      </w:r>
    </w:p>
    <w:p>
      <w:pPr>
        <w:spacing w:after="0" w:line="116"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i w:val="1"/>
          <w:iCs w:val="1"/>
          <w:color w:val="auto"/>
        </w:rPr>
        <w:t xml:space="preserve">Rounding: </w:t>
      </w:r>
      <w:r>
        <w:rPr>
          <w:rFonts w:ascii="Arial" w:cs="Arial" w:eastAsia="Arial" w:hAnsi="Arial"/>
          <w:sz w:val="18"/>
          <w:szCs w:val="18"/>
          <w:color w:val="auto"/>
        </w:rPr>
        <w:t>Amounts in the Consolidated Financial Statements and Notes to the Consolidated Financial Statements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rounded to millions, except for per share calculations and percentages which were determined based on amounts before rounding. Accordingly, a recalculation of some per-share amounts and percentages, if based on the reported data, may be slightly different.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New Accounting Pronouncements</w:t>
      </w:r>
      <w:r>
        <w:rPr>
          <w:rFonts w:ascii="Arial" w:cs="Arial" w:eastAsia="Arial" w:hAnsi="Arial"/>
          <w:sz w:val="18"/>
          <w:szCs w:val="18"/>
          <w:color w:val="auto"/>
        </w:rPr>
        <w:t>:</w:t>
      </w:r>
    </w:p>
    <w:p>
      <w:pPr>
        <w:spacing w:after="0" w:line="144" w:lineRule="exact"/>
        <w:rPr>
          <w:sz w:val="20"/>
          <w:szCs w:val="20"/>
          <w:color w:val="auto"/>
        </w:rPr>
      </w:pPr>
    </w:p>
    <w:p>
      <w:pPr>
        <w:ind w:left="60" w:right="339"/>
        <w:spacing w:after="0" w:line="254" w:lineRule="auto"/>
        <w:rPr>
          <w:sz w:val="20"/>
          <w:szCs w:val="20"/>
          <w:color w:val="auto"/>
        </w:rPr>
      </w:pPr>
      <w:r>
        <w:rPr>
          <w:rFonts w:ascii="Arial" w:cs="Arial" w:eastAsia="Arial" w:hAnsi="Arial"/>
          <w:sz w:val="18"/>
          <w:szCs w:val="18"/>
          <w:i w:val="1"/>
          <w:iCs w:val="1"/>
          <w:color w:val="auto"/>
        </w:rPr>
        <w:t xml:space="preserve">Measurement of Credit Losses on Financial Instruments </w:t>
      </w:r>
      <w:r>
        <w:rPr>
          <w:rFonts w:ascii="Arial" w:cs="Arial" w:eastAsia="Arial" w:hAnsi="Arial"/>
          <w:sz w:val="18"/>
          <w:szCs w:val="18"/>
          <w:color w:val="auto"/>
        </w:rPr>
        <w:t>(“ASU 2016-13”)</w:t>
      </w:r>
      <w:r>
        <w:rPr>
          <w:rFonts w:ascii="Arial" w:cs="Arial" w:eastAsia="Arial" w:hAnsi="Arial"/>
          <w:sz w:val="18"/>
          <w:szCs w:val="18"/>
          <w:i w:val="1"/>
          <w:iCs w:val="1"/>
          <w:color w:val="auto"/>
        </w:rPr>
        <w:t xml:space="preserve">: </w:t>
      </w:r>
      <w:r>
        <w:rPr>
          <w:rFonts w:ascii="Arial" w:cs="Arial" w:eastAsia="Arial" w:hAnsi="Arial"/>
          <w:sz w:val="18"/>
          <w:szCs w:val="18"/>
          <w:color w:val="auto"/>
        </w:rPr>
        <w:t>In June 2016, the Financial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Board (“FASB”) issued ASU 2016-13 which amends the current approach to estimate credit losses on certain financial assets, including trade and other receivables, available-for-sale securities and other financial instruments. ASU 2016-13 requires entities to establish a valuation allowance for the expected lifetime losses of certain financial instruments. Subsequent changes in the valuation allowance are recorded in current earnings and reversal of previous losses is permitted. The new standard was effective for interim and annual periods beginning on or after December 15, 2019.</w:t>
      </w:r>
    </w:p>
    <w:p>
      <w:pPr>
        <w:spacing w:after="0" w:line="114"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The Company adopted ASU 2016-13 effective January 1, 2020 using the modified retrospective approach. Upon adoption, the Company included an evaluation of expected future credit losses as part of its estimate for determining the allowance for doubtful accounts. The impact of this change was not material to the Company’s allowance for doubtful accounts receivable in the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4" w:lineRule="auto"/>
        <w:rPr>
          <w:sz w:val="20"/>
          <w:szCs w:val="20"/>
          <w:color w:val="auto"/>
        </w:rPr>
      </w:pPr>
      <w:r>
        <w:rPr>
          <w:rFonts w:ascii="Arial" w:cs="Arial" w:eastAsia="Arial" w:hAnsi="Arial"/>
          <w:sz w:val="18"/>
          <w:szCs w:val="18"/>
          <w:i w:val="1"/>
          <w:iCs w:val="1"/>
          <w:color w:val="auto"/>
        </w:rPr>
        <w:t xml:space="preserve">Customer’s Accounting for Implementation Costs Incurred in a Cloud Computing Arrangement That is a Service Contract </w:t>
      </w:r>
      <w:r>
        <w:rPr>
          <w:rFonts w:ascii="Arial" w:cs="Arial" w:eastAsia="Arial" w:hAnsi="Arial"/>
          <w:sz w:val="18"/>
          <w:szCs w:val="18"/>
          <w:color w:val="auto"/>
        </w:rPr>
        <w:t>(“ASU 2018-15”): In August 2018, FASB issued ASU 2018-15 which aligns the requirements for capitalizing implementation costs incurred in a hosting arrangement that is a service contract with the requirements for capitalizing costs incurred to develop or obtain internal-use software. The Company adopted ASU 2018-15 on a prospective basis effective January 1, 2020. During the year ended December 31, 2020, the Company capitalized costs of $2.4 million related to cloud computing arrangements and which were included in other long-term assets on the Company’s Consolidated Balance Sheets as of December 31, 2020.</w:t>
      </w:r>
    </w:p>
    <w:p>
      <w:pPr>
        <w:spacing w:after="0" w:line="191" w:lineRule="exact"/>
        <w:rPr>
          <w:sz w:val="20"/>
          <w:szCs w:val="20"/>
          <w:color w:val="auto"/>
        </w:rPr>
      </w:pPr>
    </w:p>
    <w:p>
      <w:pPr>
        <w:ind w:left="700" w:hanging="650"/>
        <w:spacing w:after="0"/>
        <w:tabs>
          <w:tab w:leader="none" w:pos="7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148" w:lineRule="exact"/>
        <w:rPr>
          <w:sz w:val="20"/>
          <w:szCs w:val="20"/>
          <w:color w:val="auto"/>
        </w:rPr>
      </w:pPr>
    </w:p>
    <w:p>
      <w:pPr>
        <w:ind w:left="60" w:right="299"/>
        <w:spacing w:after="0" w:line="301" w:lineRule="auto"/>
        <w:rPr>
          <w:sz w:val="20"/>
          <w:szCs w:val="20"/>
          <w:color w:val="auto"/>
        </w:rPr>
      </w:pPr>
      <w:r>
        <w:rPr>
          <w:rFonts w:ascii="Arial" w:cs="Arial" w:eastAsia="Arial" w:hAnsi="Arial"/>
          <w:sz w:val="16"/>
          <w:szCs w:val="16"/>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76" w:lineRule="exact"/>
        <w:rPr>
          <w:sz w:val="20"/>
          <w:szCs w:val="20"/>
          <w:color w:val="auto"/>
        </w:rPr>
      </w:pPr>
    </w:p>
    <w:p>
      <w:pPr>
        <w:ind w:left="60" w:right="419"/>
        <w:spacing w:after="0" w:line="255" w:lineRule="auto"/>
        <w:rPr>
          <w:sz w:val="20"/>
          <w:szCs w:val="20"/>
          <w:color w:val="auto"/>
        </w:rPr>
      </w:pPr>
      <w:r>
        <w:rPr>
          <w:rFonts w:ascii="Arial" w:cs="Arial" w:eastAsia="Arial" w:hAnsi="Arial"/>
          <w:sz w:val="18"/>
          <w:szCs w:val="18"/>
          <w:color w:val="auto"/>
        </w:rPr>
        <w:t>The Company consists of two reportable segments, Ocean Transportation and Logistics, which are further described in Note 1. Reportable segments are measured based on operating income. In arrangements where the customer purchases ocean transportation and logistics services, the revenues are allocated to each reportable segment based upon the contractual amounts for each type of service. The Company’s SSAT segment has been aggregated into the Company’s Ocean Transportation segment due to the operations of SSAT being an integral part of the Company’s Ocean Transportation business (see Note 4).</w:t>
      </w:r>
    </w:p>
    <w:p>
      <w:pPr>
        <w:spacing w:after="0" w:line="111" w:lineRule="exact"/>
        <w:rPr>
          <w:sz w:val="20"/>
          <w:szCs w:val="20"/>
          <w:color w:val="auto"/>
        </w:rPr>
      </w:pPr>
    </w:p>
    <w:p>
      <w:pPr>
        <w:jc w:val="both"/>
        <w:ind w:left="60" w:right="279"/>
        <w:spacing w:after="0" w:line="301" w:lineRule="auto"/>
        <w:rPr>
          <w:sz w:val="20"/>
          <w:szCs w:val="20"/>
          <w:color w:val="auto"/>
        </w:rPr>
      </w:pPr>
      <w:r>
        <w:rPr>
          <w:rFonts w:ascii="Arial" w:cs="Arial" w:eastAsia="Arial" w:hAnsi="Arial"/>
          <w:sz w:val="16"/>
          <w:szCs w:val="16"/>
          <w:color w:val="auto"/>
        </w:rPr>
        <w:t>The Company’s Ocean Transportation segment provides ocean transportation services to the Logistics segment, and the Logistics segment provides logistics services to the Ocean Transportation segment in certain transactions. Accordingly, inter-segment revenue of $115.5 million, $102.3 million and $95.4 million for the years ended December 31, 2020, 2019 and 2018, respectively, have been eliminated from operating revenues in the table below.</w:t>
      </w:r>
    </w:p>
    <w:p>
      <w:pPr>
        <w:spacing w:after="0" w:line="76" w:lineRule="exact"/>
        <w:rPr>
          <w:sz w:val="20"/>
          <w:szCs w:val="20"/>
          <w:color w:val="auto"/>
        </w:rPr>
      </w:pPr>
    </w:p>
    <w:p>
      <w:pPr>
        <w:ind w:left="60" w:right="319"/>
        <w:spacing w:after="0" w:line="276" w:lineRule="auto"/>
        <w:rPr>
          <w:sz w:val="20"/>
          <w:szCs w:val="20"/>
          <w:color w:val="auto"/>
        </w:rPr>
      </w:pPr>
      <w:r>
        <w:rPr>
          <w:rFonts w:ascii="Arial" w:cs="Arial" w:eastAsia="Arial" w:hAnsi="Arial"/>
          <w:sz w:val="18"/>
          <w:szCs w:val="18"/>
          <w:color w:val="auto"/>
        </w:rPr>
        <w:t>Reportable segment financial information for the years ended December 31, 2020, 2019 and 2018, and identifiable asset segment information at December 31, 2020 and 2019, are as follows: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right"/>
              <w:ind w:right="451"/>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6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Ocean Transportation (1)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3"/>
              </w:rPr>
              <w:t>1,853.9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1,666.6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6"/>
              </w:rPr>
              <w:t>1,641.3</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 (2)</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581.5</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2,383.3</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2,203.1</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2,222.8</w:t>
            </w:r>
          </w:p>
        </w:tc>
        <w:tc>
          <w:tcPr>
            <w:tcW w:w="0" w:type="dxa"/>
            <w:vAlign w:val="bottom"/>
          </w:tcPr>
          <w:p>
            <w:pPr>
              <w:spacing w:after="0"/>
              <w:rPr>
                <w:sz w:val="1"/>
                <w:szCs w:val="1"/>
                <w:color w:val="auto"/>
              </w:rPr>
            </w:pPr>
          </w:p>
        </w:tc>
      </w:tr>
      <w:tr>
        <w:trPr>
          <w:trHeight w:val="197"/>
        </w:trPr>
        <w:tc>
          <w:tcPr>
            <w:tcW w:w="61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Ocean Transportation (3)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244.8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90.8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9"/>
        </w:trPr>
        <w:tc>
          <w:tcPr>
            <w:tcW w:w="6180" w:type="dxa"/>
            <w:vAlign w:val="bottom"/>
            <w:gridSpan w:val="2"/>
          </w:tcPr>
          <w:p>
            <w:pPr>
              <w:ind w:left="440"/>
              <w:spacing w:after="0"/>
              <w:rPr>
                <w:sz w:val="20"/>
                <w:szCs w:val="20"/>
                <w:color w:val="auto"/>
              </w:rPr>
            </w:pPr>
            <w:r>
              <w:rPr>
                <w:rFonts w:ascii="Arial" w:cs="Arial" w:eastAsia="Arial" w:hAnsi="Arial"/>
                <w:sz w:val="18"/>
                <w:szCs w:val="18"/>
                <w:color w:val="auto"/>
              </w:rPr>
              <w:t>Total Operating Income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6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6"/>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Ocean Transportation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190.0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294.5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Capital Expenditures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Ocean Transportation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Logistics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dry-docking amortization - Ocean Transportation</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Depreciation and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380" w:right="479" w:hanging="330"/>
        <w:spacing w:after="0" w:line="253" w:lineRule="auto"/>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Ocean Transportation operating revenue excludes inter-segment revenue of $59.1 million, $52.8 million and $51.7 million for the years ended December 31, 2020,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-211455</wp:posOffset>
            </wp:positionV>
            <wp:extent cx="141414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0" w:right="339" w:hanging="330"/>
        <w:spacing w:after="0" w:line="230" w:lineRule="auto"/>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Logistics operating revenue excludes inter-segment revenue of $56.4 million, $49.5 million and $43.7 million for the years ended December 31, 2020, 2019 and 2018, respectively.</w:t>
      </w:r>
    </w:p>
    <w:p>
      <w:pPr>
        <w:ind w:left="380" w:right="139" w:hanging="330"/>
        <w:spacing w:after="0" w:line="237" w:lineRule="auto"/>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Ocean Transportation segment information includes $26.3 million, $20.8 million, and $36.8 million of equity in income from the Company’s equity investment in SSAT for the years ended December 31, 2020, 2019 and 2018, respectively.</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215"/>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69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6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220"/>
              <w:spacing w:after="0"/>
              <w:rPr>
                <w:sz w:val="20"/>
                <w:szCs w:val="20"/>
                <w:color w:val="auto"/>
              </w:rPr>
            </w:pPr>
            <w:r>
              <w:rPr>
                <w:rFonts w:ascii="Arial" w:cs="Arial" w:eastAsia="Arial" w:hAnsi="Arial"/>
                <w:sz w:val="18"/>
                <w:szCs w:val="18"/>
                <w:color w:val="auto"/>
              </w:rPr>
              <w:t>Ocean Transportation (1)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2,431.1</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2,424.5</w:t>
            </w: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420.9</w:t>
            </w:r>
          </w:p>
        </w:tc>
      </w:tr>
      <w:tr>
        <w:trPr>
          <w:trHeight w:val="210"/>
        </w:trPr>
        <w:tc>
          <w:tcPr>
            <w:tcW w:w="20" w:type="dxa"/>
            <w:vAlign w:val="bottom"/>
          </w:tcPr>
          <w:p>
            <w:pPr>
              <w:spacing w:after="0"/>
              <w:rPr>
                <w:sz w:val="18"/>
                <w:szCs w:val="18"/>
                <w:color w:val="auto"/>
              </w:rPr>
            </w:pP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2,900.6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2,845.4</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r>
    </w:tbl>
    <w:p>
      <w:pPr>
        <w:spacing w:after="0" w:line="62" w:lineRule="exact"/>
        <w:rPr>
          <w:sz w:val="20"/>
          <w:szCs w:val="20"/>
          <w:color w:val="auto"/>
        </w:rPr>
      </w:pPr>
    </w:p>
    <w:p>
      <w:pPr>
        <w:ind w:left="380" w:right="239" w:hanging="330"/>
        <w:spacing w:after="0" w:line="253" w:lineRule="auto"/>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Ocean Transportation segment includes $48.7 million and $76.2 million related to the Company’s equity investment in SSAT as of December 31, 2020 and 2019, respectively.</w:t>
      </w:r>
    </w:p>
    <w:p>
      <w:pPr>
        <w:spacing w:after="0" w:line="200" w:lineRule="exact"/>
        <w:rPr>
          <w:sz w:val="20"/>
          <w:szCs w:val="20"/>
          <w:color w:val="auto"/>
        </w:rPr>
      </w:pPr>
    </w:p>
    <w:p>
      <w:pPr>
        <w:spacing w:after="0" w:line="217" w:lineRule="exact"/>
        <w:rPr>
          <w:sz w:val="20"/>
          <w:szCs w:val="20"/>
          <w:color w:val="auto"/>
        </w:rPr>
      </w:pPr>
    </w:p>
    <w:p>
      <w:pPr>
        <w:ind w:left="700" w:hanging="650"/>
        <w:spacing w:after="0"/>
        <w:tabs>
          <w:tab w:leader="none" w:pos="7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SSAT</w:t>
      </w:r>
    </w:p>
    <w:p>
      <w:pPr>
        <w:spacing w:after="0" w:line="135"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The Company accounts for its 35 percent ownership interest in SSAT using the equity method of accounting. The Company records its share of income from SSAT in costs and expenses within the Ocean Transportation segment due to operations of SSAT being an integral part of the Company’s Ocean Transportation business. The Company’s investment in SSAT was $48.7 million and $76.2 million at December 31, 2020 and 2019, respectively. During the year ended December 31, 2020, the Company recorded an increase of $2.2 million in its investment in SSAT and a corresponding increase in retained earnings related to the formation of a new subsidiary of SSAT, whose controlling interest is retained by SSAT.</w:t>
      </w:r>
    </w:p>
    <w:p>
      <w:pPr>
        <w:spacing w:after="0" w:line="164" w:lineRule="exact"/>
        <w:rPr>
          <w:sz w:val="20"/>
          <w:szCs w:val="20"/>
          <w:color w:val="auto"/>
        </w:rPr>
      </w:pPr>
    </w:p>
    <w:p>
      <w:pPr>
        <w:ind w:left="60" w:right="539"/>
        <w:spacing w:after="0" w:line="337" w:lineRule="auto"/>
        <w:rPr>
          <w:sz w:val="20"/>
          <w:szCs w:val="20"/>
          <w:color w:val="auto"/>
        </w:rPr>
      </w:pPr>
      <w:r>
        <w:rPr>
          <w:rFonts w:ascii="Arial" w:cs="Arial" w:eastAsia="Arial" w:hAnsi="Arial"/>
          <w:sz w:val="16"/>
          <w:szCs w:val="16"/>
          <w:color w:val="auto"/>
        </w:rPr>
        <w:t>The Company’s share of income recorded in the Consolidated Statements of Income and Comprehensive Income and dividends received by the Company during the years ended December 31, 2020, 2019 and 2018 are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2120" w:type="dxa"/>
            <w:vAlign w:val="bottom"/>
            <w:gridSpan w:val="8"/>
          </w:tcPr>
          <w:p>
            <w:pPr>
              <w:ind w:left="1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6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Company's share of net income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26.3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Distributions received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ind w:left="80"/>
              <w:spacing w:after="0"/>
              <w:rPr>
                <w:sz w:val="20"/>
                <w:szCs w:val="20"/>
                <w:color w:val="auto"/>
              </w:rPr>
            </w:pPr>
            <w:r>
              <w:rPr>
                <w:rFonts w:ascii="Arial" w:cs="Arial" w:eastAsia="Arial" w:hAnsi="Arial"/>
                <w:sz w:val="18"/>
                <w:szCs w:val="18"/>
                <w:color w:val="auto"/>
              </w:rPr>
              <w:t>55.4</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219"/>
        <w:spacing w:after="0" w:line="279" w:lineRule="auto"/>
        <w:rPr>
          <w:sz w:val="20"/>
          <w:szCs w:val="20"/>
          <w:color w:val="auto"/>
        </w:rPr>
      </w:pPr>
      <w:r>
        <w:rPr>
          <w:rFonts w:ascii="Arial" w:cs="Arial" w:eastAsia="Arial" w:hAnsi="Arial"/>
          <w:sz w:val="17"/>
          <w:szCs w:val="17"/>
          <w:color w:val="auto"/>
        </w:rPr>
        <w:t>The Company’s Ocean Transportation segment operating costs include $251.6 million, $218.7 million and $213.4 million for the years ended December 31, 2020, 2019 and 2018, respectively, for terminal services provided by SSAT. Accounts payable and accrued liabilities in the Consolidated Balance Sheets include $29.8 million and $63.6 million for terminal services payable to SSAT at December 31, 2020 and 2019, respectively.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condensed balance sheets of SSAT at December 31, 2020 and 2019 is as follows: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Condensed Balance Sheets (in millions)</w:t>
            </w: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ind w:left="1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400" w:type="dxa"/>
            <w:vAlign w:val="bottom"/>
            <w:gridSpan w:val="2"/>
            <w:vMerge w:val="continue"/>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assets</w:t>
            </w:r>
          </w:p>
        </w:tc>
        <w:tc>
          <w:tcPr>
            <w:tcW w:w="35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1,249.5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1,283.0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3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1,543.8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1,583.8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1,179.9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1,179.2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Arial" w:cs="Arial" w:eastAsia="Arial" w:hAnsi="Arial"/>
                <w:sz w:val="18"/>
                <w:szCs w:val="18"/>
                <w:color w:val="auto"/>
              </w:rPr>
              <w:t>Total Liabilities and Equity</w:t>
            </w: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1,543.8</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540" w:type="dxa"/>
            <w:vAlign w:val="bottom"/>
            <w:vMerge w:val="restart"/>
          </w:tcPr>
          <w:p>
            <w:pPr>
              <w:jc w:val="right"/>
              <w:ind w:right="231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Arial" w:cs="Arial" w:eastAsia="Arial" w:hAnsi="Arial"/>
          <w:sz w:val="18"/>
          <w:szCs w:val="18"/>
          <w:color w:val="auto"/>
        </w:rPr>
        <w:t>A summary of the condensed statements of operating income and net income of SSAT for years ended December 31, 2020, 2019 and 2018 are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Condensed Statements of Operating Income and Net Income (in millions)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9"/>
          </w:tcPr>
          <w:p>
            <w:pPr>
              <w:ind w:left="3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59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1,091.6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1,098.3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1,074.2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1,003.2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1,035.3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tcPr>
          <w:p>
            <w:pPr>
              <w:ind w:left="100"/>
              <w:spacing w:after="0"/>
              <w:rPr>
                <w:sz w:val="20"/>
                <w:szCs w:val="20"/>
                <w:color w:val="auto"/>
              </w:rPr>
            </w:pPr>
            <w:r>
              <w:rPr>
                <w:rFonts w:ascii="Arial" w:cs="Arial" w:eastAsia="Arial" w:hAnsi="Arial"/>
                <w:sz w:val="18"/>
                <w:szCs w:val="18"/>
                <w:color w:val="auto"/>
              </w:rPr>
              <w:t>Net Income (1)</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earnings from equity method investments held by SSAT less earnings allocated to non-controlling interests.</w:t>
      </w:r>
    </w:p>
    <w:p>
      <w:pPr>
        <w:spacing w:after="0" w:line="200" w:lineRule="exact"/>
        <w:rPr>
          <w:sz w:val="20"/>
          <w:szCs w:val="20"/>
          <w:color w:val="auto"/>
        </w:rPr>
      </w:pPr>
    </w:p>
    <w:p>
      <w:pPr>
        <w:spacing w:after="0" w:line="233" w:lineRule="exact"/>
        <w:rPr>
          <w:sz w:val="20"/>
          <w:szCs w:val="20"/>
          <w:color w:val="auto"/>
        </w:rPr>
      </w:pPr>
    </w:p>
    <w:p>
      <w:pPr>
        <w:ind w:left="700" w:hanging="650"/>
        <w:spacing w:after="0"/>
        <w:tabs>
          <w:tab w:leader="none" w:pos="7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0" w:right="59"/>
        <w:spacing w:after="0" w:line="258" w:lineRule="auto"/>
        <w:rPr>
          <w:sz w:val="20"/>
          <w:szCs w:val="20"/>
          <w:color w:val="auto"/>
        </w:rPr>
      </w:pPr>
      <w:r>
        <w:rPr>
          <w:rFonts w:ascii="Arial" w:cs="Arial" w:eastAsia="Arial" w:hAnsi="Arial"/>
          <w:sz w:val="18"/>
          <w:szCs w:val="18"/>
          <w:color w:val="auto"/>
        </w:rPr>
        <w:t>Property and equipment at December 31, 2020 and 2019, and depreciation expense for the years ended December 31, 2020, 2019 and 2018 is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2"/>
              </w:rPr>
              <w:t>As of December 31, 2020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13"/>
          </w:tcPr>
          <w:p>
            <w:pPr>
              <w:ind w:left="400"/>
              <w:spacing w:after="0"/>
              <w:rPr>
                <w:sz w:val="20"/>
                <w:szCs w:val="20"/>
                <w:color w:val="auto"/>
              </w:rPr>
            </w:pPr>
            <w:r>
              <w:rPr>
                <w:rFonts w:ascii="Arial" w:cs="Arial" w:eastAsia="Arial" w:hAnsi="Arial"/>
                <w:sz w:val="14"/>
                <w:szCs w:val="14"/>
                <w:b w:val="1"/>
                <w:bCs w:val="1"/>
                <w:color w:val="auto"/>
                <w:w w:val="94"/>
              </w:rPr>
              <w:t>As of December 31, 2019</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9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Net Book Value</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6"/>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102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w w:val="93"/>
              </w:rPr>
              <w:t>Net Book Value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0" w:type="dxa"/>
            <w:vAlign w:val="bottom"/>
            <w:gridSpan w:val="4"/>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980" w:type="dxa"/>
            <w:vAlign w:val="bottom"/>
            <w:gridSpan w:val="6"/>
          </w:tcPr>
          <w:p>
            <w:pPr>
              <w:ind w:left="20"/>
              <w:spacing w:after="0"/>
              <w:rPr>
                <w:sz w:val="20"/>
                <w:szCs w:val="20"/>
                <w:color w:val="auto"/>
              </w:rPr>
            </w:pPr>
            <w:r>
              <w:rPr>
                <w:rFonts w:ascii="Arial" w:cs="Arial" w:eastAsia="Arial" w:hAnsi="Arial"/>
                <w:sz w:val="14"/>
                <w:szCs w:val="14"/>
                <w:b w:val="1"/>
                <w:bCs w:val="1"/>
                <w:color w:val="auto"/>
              </w:rPr>
              <w:t>Depreciation</w:t>
            </w:r>
          </w:p>
        </w:tc>
        <w:tc>
          <w:tcPr>
            <w:tcW w:w="102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88"/>
              </w:rPr>
              <w:t>Vessels</w:t>
            </w:r>
          </w:p>
        </w:tc>
        <w:tc>
          <w:tcPr>
            <w:tcW w:w="2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$ 2,191.6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785.5</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1,406.1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$ 1,653.5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818.5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4"/>
          </w:tcPr>
          <w:p>
            <w:pPr>
              <w:ind w:left="20"/>
              <w:spacing w:after="0"/>
              <w:rPr>
                <w:sz w:val="20"/>
                <w:szCs w:val="20"/>
                <w:color w:val="auto"/>
              </w:rPr>
            </w:pPr>
            <w:r>
              <w:rPr>
                <w:rFonts w:ascii="Arial" w:cs="Arial" w:eastAsia="Arial" w:hAnsi="Arial"/>
                <w:sz w:val="18"/>
                <w:szCs w:val="18"/>
                <w:color w:val="auto"/>
              </w:rPr>
              <w:t>Containers and equipment</w:t>
            </w:r>
          </w:p>
        </w:tc>
        <w:tc>
          <w:tcPr>
            <w:tcW w:w="740" w:type="dxa"/>
            <w:vAlign w:val="bottom"/>
          </w:tcPr>
          <w:p>
            <w:pPr>
              <w:jc w:val="right"/>
              <w:spacing w:after="0"/>
              <w:rPr>
                <w:sz w:val="20"/>
                <w:szCs w:val="20"/>
                <w:color w:val="auto"/>
              </w:rPr>
            </w:pPr>
            <w:r>
              <w:rPr>
                <w:rFonts w:ascii="Arial" w:cs="Arial" w:eastAsia="Arial" w:hAnsi="Arial"/>
                <w:sz w:val="18"/>
                <w:szCs w:val="18"/>
                <w:color w:val="auto"/>
              </w:rPr>
              <w:t>572.3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391.8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544.5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378.8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165.7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Terminal facilities and other property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114.4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4"/>
          </w:tcPr>
          <w:p>
            <w:pPr>
              <w:ind w:left="20"/>
              <w:spacing w:after="0"/>
              <w:rPr>
                <w:sz w:val="20"/>
                <w:szCs w:val="20"/>
                <w:color w:val="auto"/>
              </w:rPr>
            </w:pPr>
            <w:r>
              <w:rPr>
                <w:rFonts w:ascii="Arial" w:cs="Arial" w:eastAsia="Arial" w:hAnsi="Arial"/>
                <w:sz w:val="18"/>
                <w:szCs w:val="18"/>
                <w:color w:val="auto"/>
              </w:rPr>
              <w:t>Vessel construction in progress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488.9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488.9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construction in progress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Total</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$ 2,912.3</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1,222.</w:t>
            </w:r>
            <w:r>
              <w:rPr>
                <w:rFonts w:ascii="Arial" w:cs="Arial" w:eastAsia="Arial" w:hAnsi="Arial"/>
                <w:sz w:val="18"/>
                <w:szCs w:val="18"/>
                <w:u w:val="single" w:color="auto"/>
                <w:color w:val="auto"/>
                <w:w w:val="93"/>
              </w:rPr>
              <w:t>4</w:t>
            </w: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1,689.9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$ 2,836.7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1,238.6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1,598.</w:t>
            </w:r>
            <w:r>
              <w:rPr>
                <w:rFonts w:ascii="Arial" w:cs="Arial" w:eastAsia="Arial" w:hAnsi="Arial"/>
                <w:sz w:val="18"/>
                <w:szCs w:val="18"/>
                <w:u w:val="single" w:color="auto"/>
                <w:color w:val="auto"/>
                <w:w w:val="89"/>
              </w:rPr>
              <w:t>1</w:t>
            </w: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3"/>
          </w:tcPr>
          <w:p>
            <w:pPr>
              <w:ind w:left="280"/>
              <w:spacing w:after="0"/>
              <w:rPr>
                <w:sz w:val="20"/>
                <w:szCs w:val="20"/>
                <w:color w:val="auto"/>
              </w:rPr>
            </w:pPr>
            <w:r>
              <w:rPr>
                <w:rFonts w:ascii="Arial" w:cs="Arial" w:eastAsia="Arial" w:hAnsi="Arial"/>
                <w:sz w:val="14"/>
                <w:szCs w:val="14"/>
                <w:b w:val="1"/>
                <w:bCs w:val="1"/>
                <w:color w:val="auto"/>
                <w:w w:val="93"/>
              </w:rPr>
              <w:t>Years Ended December 31,</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00" w:type="dxa"/>
            <w:vAlign w:val="bottom"/>
            <w:gridSpan w:val="4"/>
            <w:vMerge w:val="continue"/>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5"/>
          </w:tcPr>
          <w:p>
            <w:pPr>
              <w:ind w:left="28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w w:val="83"/>
              </w:rPr>
              <w:t>2018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auto"/>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74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5"/>
              </w:rPr>
              <w:t>97.1</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80.5</w:t>
            </w:r>
          </w:p>
        </w:tc>
        <w:tc>
          <w:tcPr>
            <w:tcW w:w="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6.</w:t>
            </w:r>
          </w:p>
        </w:tc>
        <w:tc>
          <w:tcPr>
            <w:tcW w:w="3480" w:type="dxa"/>
            <w:vAlign w:val="bottom"/>
            <w:gridSpan w:val="5"/>
            <w:vMerge w:val="restart"/>
          </w:tcPr>
          <w:p>
            <w:pPr>
              <w:ind w:left="60"/>
              <w:spacing w:after="0"/>
              <w:rPr>
                <w:sz w:val="20"/>
                <w:szCs w:val="20"/>
                <w:color w:val="auto"/>
              </w:rPr>
            </w:pPr>
            <w:r>
              <w:rPr>
                <w:rFonts w:ascii="Arial" w:cs="Arial" w:eastAsia="Arial" w:hAnsi="Arial"/>
                <w:sz w:val="18"/>
                <w:szCs w:val="18"/>
                <w:b w:val="1"/>
                <w:bCs w:val="1"/>
                <w:color w:val="auto"/>
              </w:rPr>
              <w:t>GOODWILL AND INTANGIBLE ASSETS</w:t>
            </w: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00" w:type="dxa"/>
            <w:vAlign w:val="bottom"/>
            <w:gridSpan w:val="2"/>
            <w:vMerge w:val="continue"/>
          </w:tcPr>
          <w:p>
            <w:pPr>
              <w:spacing w:after="0"/>
              <w:rPr>
                <w:sz w:val="24"/>
                <w:szCs w:val="24"/>
                <w:color w:val="auto"/>
              </w:rPr>
            </w:pPr>
          </w:p>
        </w:tc>
        <w:tc>
          <w:tcPr>
            <w:tcW w:w="3480" w:type="dxa"/>
            <w:vAlign w:val="bottom"/>
            <w:gridSpan w:val="5"/>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80" w:type="dxa"/>
            <w:vAlign w:val="bottom"/>
            <w:gridSpan w:val="16"/>
          </w:tcPr>
          <w:p>
            <w:pPr>
              <w:ind w:left="20"/>
              <w:spacing w:after="0"/>
              <w:rPr>
                <w:sz w:val="20"/>
                <w:szCs w:val="20"/>
                <w:color w:val="auto"/>
              </w:rPr>
            </w:pPr>
            <w:r>
              <w:rPr>
                <w:rFonts w:ascii="Arial" w:cs="Arial" w:eastAsia="Arial" w:hAnsi="Arial"/>
                <w:sz w:val="18"/>
                <w:szCs w:val="18"/>
                <w:color w:val="auto"/>
                <w:w w:val="95"/>
              </w:rPr>
              <w:t>Goodwill by segment as of December 31, 2020 and 2019 consists of the following:</w:t>
            </w:r>
          </w:p>
        </w:tc>
        <w:tc>
          <w:tcPr>
            <w:tcW w:w="6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Ocean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0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7"/>
              </w:rPr>
              <w:t>Logistics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0" w:type="dxa"/>
            <w:vAlign w:val="bottom"/>
            <w:tcBorders>
              <w:bottom w:val="single" w:sz="8" w:color="auto"/>
            </w:tcBorders>
            <w:gridSpan w:val="4"/>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Transportation</w:t>
            </w:r>
          </w:p>
        </w:tc>
        <w:tc>
          <w:tcPr>
            <w:tcW w:w="1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4"/>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  105.2</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3"/>
              </w:rPr>
              <w:t>327.</w:t>
            </w:r>
            <w:r>
              <w:rPr>
                <w:rFonts w:ascii="Arial" w:cs="Arial" w:eastAsia="Arial" w:hAnsi="Arial"/>
                <w:sz w:val="18"/>
                <w:szCs w:val="18"/>
                <w:u w:val="single" w:color="auto"/>
                <w:color w:val="auto"/>
                <w:w w:val="93"/>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Logistics goodwill of $105.2 million includes $78.6 million acquired as part of the acquisition of Span Intermediate, LLC (“Span Alaska”) in August 2016 that was allocated to the Span Alaska reporting unit, and $26.6 million relates to other Logistics acquisitions that were allocated to the Logistics reporting unit.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Intangible assets by segment as of December 31, 2020 and 2019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As of December 31, 2020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w w:val="92"/>
              </w:rPr>
              <w:t>As of December 31, 2019</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Book Value</w:t>
            </w:r>
          </w:p>
        </w:tc>
        <w:tc>
          <w:tcPr>
            <w:tcW w:w="54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9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5"/>
              </w:rPr>
              <w:t>Net Book Value</w:t>
            </w:r>
          </w:p>
        </w:tc>
        <w:tc>
          <w:tcPr>
            <w:tcW w:w="0" w:type="dxa"/>
            <w:vAlign w:val="bottom"/>
          </w:tcPr>
          <w:p>
            <w:pPr>
              <w:spacing w:after="0"/>
              <w:rPr>
                <w:sz w:val="1"/>
                <w:szCs w:val="1"/>
                <w:color w:val="auto"/>
              </w:rPr>
            </w:pPr>
          </w:p>
        </w:tc>
      </w:tr>
      <w:tr>
        <w:trPr>
          <w:trHeight w:val="171"/>
        </w:trPr>
        <w:tc>
          <w:tcPr>
            <w:tcW w:w="3380" w:type="dxa"/>
            <w:vAlign w:val="bottom"/>
            <w:gridSpan w:val="2"/>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160" w:type="dxa"/>
            <w:vAlign w:val="bottom"/>
            <w:gridSpan w:val="3"/>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5"/>
              </w:rPr>
              <w:t>Ocean Transportation - Customer relationships</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$ 140.6</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$ 140.6</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80" w:type="dxa"/>
            <w:vAlign w:val="bottom"/>
            <w:gridSpan w:val="2"/>
          </w:tcPr>
          <w:p>
            <w:pPr>
              <w:ind w:left="20"/>
              <w:spacing w:after="0"/>
              <w:rPr>
                <w:sz w:val="20"/>
                <w:szCs w:val="20"/>
                <w:color w:val="auto"/>
              </w:rPr>
            </w:pPr>
            <w:r>
              <w:rPr>
                <w:rFonts w:ascii="Arial" w:cs="Arial" w:eastAsia="Arial" w:hAnsi="Arial"/>
                <w:sz w:val="16"/>
                <w:szCs w:val="16"/>
                <w:color w:val="auto"/>
              </w:rPr>
              <w:t>Logistics:</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3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Customer relationships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gridSpan w:val="2"/>
          </w:tcPr>
          <w:p>
            <w:pPr>
              <w:ind w:left="120"/>
              <w:spacing w:after="0"/>
              <w:rPr>
                <w:sz w:val="20"/>
                <w:szCs w:val="20"/>
                <w:color w:val="auto"/>
              </w:rPr>
            </w:pPr>
            <w:r>
              <w:rPr>
                <w:rFonts w:ascii="Arial" w:cs="Arial" w:eastAsia="Arial" w:hAnsi="Arial"/>
                <w:sz w:val="16"/>
                <w:szCs w:val="16"/>
                <w:color w:val="auto"/>
              </w:rPr>
              <w:t>Trade name</w:t>
            </w:r>
          </w:p>
        </w:tc>
        <w:tc>
          <w:tcPr>
            <w:tcW w:w="540" w:type="dxa"/>
            <w:vAlign w:val="bottom"/>
          </w:tcPr>
          <w:p>
            <w:pPr>
              <w:jc w:val="right"/>
              <w:spacing w:after="0"/>
              <w:rPr>
                <w:sz w:val="20"/>
                <w:szCs w:val="20"/>
                <w:color w:val="auto"/>
              </w:rPr>
            </w:pPr>
            <w:r>
              <w:rPr>
                <w:rFonts w:ascii="Arial" w:cs="Arial" w:eastAsia="Arial" w:hAnsi="Arial"/>
                <w:sz w:val="16"/>
                <w:szCs w:val="16"/>
                <w:color w:val="auto"/>
              </w:rPr>
              <w:t>27.3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27.3</w:t>
            </w: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Logistics</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$ 258.0</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w:t>
            </w:r>
          </w:p>
        </w:tc>
        <w:tc>
          <w:tcPr>
            <w:tcW w:w="160" w:type="dxa"/>
            <w:vAlign w:val="bottom"/>
          </w:tcPr>
          <w:p>
            <w:pPr>
              <w:spacing w:after="0"/>
              <w:rPr>
                <w:sz w:val="17"/>
                <w:szCs w:val="17"/>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192.0</w:t>
            </w:r>
          </w:p>
        </w:tc>
        <w:tc>
          <w:tcPr>
            <w:tcW w:w="200" w:type="dxa"/>
            <w:vAlign w:val="bottom"/>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$ 258.0</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140" w:type="dxa"/>
            <w:vAlign w:val="bottom"/>
          </w:tcPr>
          <w:p>
            <w:pPr>
              <w:spacing w:after="0"/>
              <w:rPr>
                <w:sz w:val="17"/>
                <w:szCs w:val="17"/>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86" w:lineRule="auto"/>
        <w:rPr>
          <w:sz w:val="20"/>
          <w:szCs w:val="20"/>
          <w:color w:val="auto"/>
        </w:rPr>
      </w:pPr>
      <w:r>
        <w:rPr>
          <w:rFonts w:ascii="Arial" w:cs="Arial" w:eastAsia="Arial" w:hAnsi="Arial"/>
          <w:sz w:val="17"/>
          <w:szCs w:val="17"/>
          <w:color w:val="auto"/>
        </w:rPr>
        <w:t>Ocean Transportation intangible assets of $140.6 million relate to customer relationships acquired as part of the acquisition of Horizon Lines, Inc. (“Horizon”) on May 29, 2015, and are being amortized over 21 years. Logistics intangible assets include $79.3 million of customer relationships which are being amortized over 20 years, and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spacing w:after="0" w:line="342" w:lineRule="auto"/>
        <w:rPr>
          <w:sz w:val="20"/>
          <w:szCs w:val="20"/>
          <w:color w:val="auto"/>
        </w:rPr>
      </w:pPr>
      <w:r>
        <w:rPr>
          <w:rFonts w:ascii="Arial" w:cs="Arial" w:eastAsia="Arial" w:hAnsi="Arial"/>
          <w:sz w:val="16"/>
          <w:szCs w:val="16"/>
          <w:color w:val="auto"/>
        </w:rPr>
        <w:t>$27.3 million of an indefinite life trade name, both acquired as part of the Span Alaska acquisition. The remaining Logistics customer relationships of $10.8 million are being amortized over a period of up to 13 years.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Intangible assets related amortization expense for 2020, 2019 and 2018, is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center"/>
              <w:ind w:left="322"/>
              <w:spacing w:after="0"/>
              <w:rPr>
                <w:sz w:val="20"/>
                <w:szCs w:val="20"/>
                <w:color w:val="auto"/>
              </w:rPr>
            </w:pPr>
            <w:r>
              <w:rPr>
                <w:rFonts w:ascii="Arial" w:cs="Arial" w:eastAsia="Arial" w:hAnsi="Arial"/>
                <w:sz w:val="14"/>
                <w:szCs w:val="14"/>
                <w:b w:val="1"/>
                <w:bCs w:val="1"/>
                <w:color w:val="auto"/>
                <w:w w:val="91"/>
              </w:rPr>
              <w:t>Years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58" w:lineRule="auto"/>
        <w:rPr>
          <w:sz w:val="20"/>
          <w:szCs w:val="20"/>
          <w:color w:val="auto"/>
        </w:rPr>
      </w:pPr>
      <w:r>
        <w:rPr>
          <w:rFonts w:ascii="Arial" w:cs="Arial" w:eastAsia="Arial" w:hAnsi="Arial"/>
          <w:sz w:val="18"/>
          <w:szCs w:val="18"/>
          <w:color w:val="auto"/>
        </w:rPr>
        <w:t>As of December 31, 2020, estimated amortization expense related to customer relationship intangible assets during the next five years and thereafter is as follows:</w:t>
      </w:r>
    </w:p>
    <w:tbl>
      <w:tblPr>
        <w:tblLayout w:type="fixed"/>
        <w:tblInd w:w="60" w:type="dxa"/>
        <w:tblCellMar>
          <w:top w:w="0" w:type="dxa"/>
          <w:left w:w="0" w:type="dxa"/>
          <w:bottom w:w="0" w:type="dxa"/>
          <w:right w:w="0" w:type="dxa"/>
        </w:tblCellMar>
      </w:tblPr>
      <w:tr>
        <w:trPr>
          <w:trHeight w:val="141"/>
        </w:trPr>
        <w:tc>
          <w:tcPr>
            <w:tcW w:w="7500" w:type="dxa"/>
            <w:vAlign w:val="bottom"/>
            <w:vMerge w:val="restart"/>
          </w:tcPr>
          <w:p>
            <w:pPr>
              <w:spacing w:after="0"/>
              <w:rPr>
                <w:sz w:val="20"/>
                <w:szCs w:val="20"/>
                <w:color w:val="auto"/>
              </w:rPr>
            </w:pPr>
            <w:r>
              <w:rPr>
                <w:rFonts w:ascii="Arial" w:cs="Arial" w:eastAsia="Arial" w:hAnsi="Arial"/>
                <w:sz w:val="14"/>
                <w:szCs w:val="14"/>
                <w:b w:val="1"/>
                <w:bCs w:val="1"/>
                <w:color w:val="auto"/>
              </w:rPr>
              <w:t>Year (in millions)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91"/>
              </w:rPr>
              <w:t>Customer</w:t>
            </w:r>
          </w:p>
        </w:tc>
        <w:tc>
          <w:tcPr>
            <w:tcW w:w="0" w:type="dxa"/>
            <w:vAlign w:val="bottom"/>
          </w:tcPr>
          <w:p>
            <w:pPr>
              <w:spacing w:after="0"/>
              <w:rPr>
                <w:sz w:val="1"/>
                <w:szCs w:val="1"/>
                <w:color w:val="auto"/>
              </w:rPr>
            </w:pPr>
          </w:p>
        </w:tc>
      </w:tr>
      <w:tr>
        <w:trPr>
          <w:trHeight w:val="171"/>
        </w:trPr>
        <w:tc>
          <w:tcPr>
            <w:tcW w:w="7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Relationships</w:t>
            </w:r>
          </w:p>
        </w:tc>
        <w:tc>
          <w:tcPr>
            <w:tcW w:w="0" w:type="dxa"/>
            <w:vAlign w:val="bottom"/>
          </w:tcPr>
          <w:p>
            <w:pPr>
              <w:spacing w:after="0"/>
              <w:rPr>
                <w:sz w:val="1"/>
                <w:szCs w:val="1"/>
                <w:color w:val="auto"/>
              </w:rPr>
            </w:pPr>
          </w:p>
        </w:tc>
      </w:tr>
      <w:tr>
        <w:trPr>
          <w:trHeight w:val="209"/>
        </w:trPr>
        <w:tc>
          <w:tcPr>
            <w:tcW w:w="7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700" w:hanging="650"/>
        <w:spacing w:after="0"/>
        <w:tabs>
          <w:tab w:leader="none" w:pos="7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CAPITAL CONSTRUCTION FUND</w:t>
      </w:r>
    </w:p>
    <w:p>
      <w:pPr>
        <w:spacing w:after="0" w:line="229"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The Company is party to an agreement with the U.S. Department of Transportation, Maritime Administration (“MARAD”) that established a Capital Construction Fund (“CCF”) program under provisions of the Merchant Marine Act of 1936, as amended (the “Merchant Marine Act”). The CCF program was created to assist owners and operators of U.S. flagged vessels in raising capital necessary for the modernization and expansion of the U.S. merchant marine fleet. CCF funds may be used for the acquisition, construction, or reconstruction of vessels, and for repayment of existing vessel indebtedness through the deferment of federal income taxes on certain deposits of monies and other property placed into the CCF. Qualified withdrawals from the CCF must be used for investment in vessels built in the U.S. and used between covered U.S. ports as described by the Merchant Marine Act, and for other qualifying expenditures (see Item 1 of Part 1 for additional information on Maritime Laws and the Jones Act). Participants of the CCF must also meet certain U.S. citizenship requirements.</w:t>
      </w:r>
    </w:p>
    <w:p>
      <w:pPr>
        <w:spacing w:after="0" w:line="185"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Deposits into the CCF are limited by certain applicable earnings and other conditions. Such deposits, once made, are available as tax deductions in the Company’s income tax provision. Qualified withdrawals from the CCF do not give rise to a current income tax liability, but reduce the depreciable basis of the vessels or certain related equipment for income tax purposes. However, if withdrawals are made from the CCF for general corporate purposes or other non-qualified purposes, or upon termination of the agreement, they are taxable with interest payable from the year of deposit.</w:t>
      </w:r>
    </w:p>
    <w:p>
      <w:pPr>
        <w:spacing w:after="0" w:line="161" w:lineRule="exact"/>
        <w:rPr>
          <w:sz w:val="20"/>
          <w:szCs w:val="20"/>
          <w:color w:val="auto"/>
        </w:rPr>
      </w:pPr>
    </w:p>
    <w:p>
      <w:pPr>
        <w:ind w:left="60" w:right="239"/>
        <w:spacing w:after="0" w:line="255" w:lineRule="auto"/>
        <w:rPr>
          <w:sz w:val="20"/>
          <w:szCs w:val="20"/>
          <w:color w:val="auto"/>
        </w:rPr>
      </w:pPr>
      <w:r>
        <w:rPr>
          <w:rFonts w:ascii="Arial" w:cs="Arial" w:eastAsia="Arial" w:hAnsi="Arial"/>
          <w:sz w:val="18"/>
          <w:szCs w:val="18"/>
          <w:color w:val="auto"/>
        </w:rPr>
        <w:t>Deposits not committed for qualified purposes within 25 years from the date of deposit will be treated as non-qualified withdrawals over the subsequent five years. Under the terms of the CCF agreement, the Company may designate certain qualified earnings as “accrued deposits” or may designate, as obligations of the CCF, qualified withdrawals to reimburse qualified expenditures initially made with operating funds. Such accrued deposits to, and withdrawals from, the CCF are reflected in the Consolidated Balance Sheets either as obligations of the Company’s current assets or as receivables from the CCF.</w:t>
      </w:r>
    </w:p>
    <w:p>
      <w:pPr>
        <w:spacing w:after="0" w:line="192" w:lineRule="exact"/>
        <w:rPr>
          <w:sz w:val="20"/>
          <w:szCs w:val="20"/>
          <w:color w:val="auto"/>
        </w:rPr>
      </w:pPr>
    </w:p>
    <w:p>
      <w:pPr>
        <w:ind w:left="60" w:right="339"/>
        <w:spacing w:after="0" w:line="257" w:lineRule="auto"/>
        <w:rPr>
          <w:sz w:val="20"/>
          <w:szCs w:val="20"/>
          <w:color w:val="auto"/>
        </w:rPr>
      </w:pPr>
      <w:r>
        <w:rPr>
          <w:rFonts w:ascii="Arial" w:cs="Arial" w:eastAsia="Arial" w:hAnsi="Arial"/>
          <w:sz w:val="18"/>
          <w:szCs w:val="18"/>
          <w:color w:val="auto"/>
        </w:rPr>
        <w:t>As of December 31, 2020 and 2019, $1.7 million of eligible accounts receivable were assigned to the CCF. Due to the nature of the assignment of eligible accounts receivable into the CCF, such assigned amounts are classified as part of accounts receivable in the Consolidated Balance Sheets. At December 31, 2020 and 2019, the amounts on deposit in the CCF invested in a money market fund, which is classified as other long-term assets in the Company’s Consolidated Balance Sheets, were nominal.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8.</w:t>
            </w:r>
          </w:p>
        </w:tc>
        <w:tc>
          <w:tcPr>
            <w:tcW w:w="6920" w:type="dxa"/>
            <w:vAlign w:val="bottom"/>
          </w:tcPr>
          <w:p>
            <w:pPr>
              <w:ind w:left="480"/>
              <w:spacing w:after="0"/>
              <w:rPr>
                <w:sz w:val="20"/>
                <w:szCs w:val="20"/>
                <w:color w:val="auto"/>
              </w:rPr>
            </w:pPr>
            <w:r>
              <w:rPr>
                <w:rFonts w:ascii="Arial" w:cs="Arial" w:eastAsia="Arial" w:hAnsi="Arial"/>
                <w:sz w:val="18"/>
                <w:szCs w:val="18"/>
                <w:b w:val="1"/>
                <w:bCs w:val="1"/>
                <w:color w:val="auto"/>
              </w:rPr>
              <w:t>DEBT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80" w:type="dxa"/>
            <w:vAlign w:val="bottom"/>
            <w:gridSpan w:val="2"/>
          </w:tcPr>
          <w:p>
            <w:pPr>
              <w:spacing w:after="0"/>
              <w:rPr>
                <w:sz w:val="20"/>
                <w:szCs w:val="20"/>
                <w:color w:val="auto"/>
              </w:rPr>
            </w:pPr>
            <w:r>
              <w:rPr>
                <w:rFonts w:ascii="Arial" w:cs="Arial" w:eastAsia="Arial" w:hAnsi="Arial"/>
                <w:sz w:val="18"/>
                <w:szCs w:val="18"/>
                <w:color w:val="auto"/>
              </w:rPr>
              <w:t>At December 31, 2020 and 2019, the Company’s debt consisted of the following:</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6"/>
            <w:vMerge w:val="restart"/>
          </w:tcPr>
          <w:p>
            <w:pPr>
              <w:jc w:val="right"/>
              <w:ind w:right="320"/>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62"/>
        </w:trPr>
        <w:tc>
          <w:tcPr>
            <w:tcW w:w="7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8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Placement Term Loans: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920" w:type="dxa"/>
            <w:vAlign w:val="bottom"/>
          </w:tcPr>
          <w:p>
            <w:pPr>
              <w:ind w:left="60"/>
              <w:spacing w:after="0"/>
              <w:rPr>
                <w:sz w:val="20"/>
                <w:szCs w:val="20"/>
                <w:color w:val="auto"/>
              </w:rPr>
            </w:pPr>
            <w:r>
              <w:rPr>
                <w:rFonts w:ascii="Arial" w:cs="Arial" w:eastAsia="Arial" w:hAnsi="Arial"/>
                <w:sz w:val="18"/>
                <w:szCs w:val="18"/>
                <w:color w:val="auto"/>
              </w:rPr>
              <w:t>5.79 %, payable through 2020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3.66 %, payable through 2023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920" w:type="dxa"/>
            <w:vAlign w:val="bottom"/>
          </w:tcPr>
          <w:p>
            <w:pPr>
              <w:ind w:left="60"/>
              <w:spacing w:after="0"/>
              <w:rPr>
                <w:sz w:val="20"/>
                <w:szCs w:val="20"/>
                <w:color w:val="auto"/>
              </w:rPr>
            </w:pPr>
            <w:r>
              <w:rPr>
                <w:rFonts w:ascii="Arial" w:cs="Arial" w:eastAsia="Arial" w:hAnsi="Arial"/>
                <w:sz w:val="18"/>
                <w:szCs w:val="18"/>
                <w:color w:val="auto"/>
              </w:rPr>
              <w:t>4.16 %, payable through 2027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3.37 %, payable through 2027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920" w:type="dxa"/>
            <w:vAlign w:val="bottom"/>
          </w:tcPr>
          <w:p>
            <w:pPr>
              <w:ind w:left="60"/>
              <w:spacing w:after="0"/>
              <w:rPr>
                <w:sz w:val="20"/>
                <w:szCs w:val="20"/>
                <w:color w:val="auto"/>
              </w:rPr>
            </w:pPr>
            <w:r>
              <w:rPr>
                <w:rFonts w:ascii="Arial" w:cs="Arial" w:eastAsia="Arial" w:hAnsi="Arial"/>
                <w:sz w:val="18"/>
                <w:szCs w:val="18"/>
                <w:color w:val="auto"/>
              </w:rPr>
              <w:t>3.14 %, payable through 2031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169.6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4.31 %, payable through 2032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920" w:type="dxa"/>
            <w:vAlign w:val="bottom"/>
          </w:tcPr>
          <w:p>
            <w:pPr>
              <w:ind w:left="60"/>
              <w:spacing w:after="0"/>
              <w:rPr>
                <w:sz w:val="20"/>
                <w:szCs w:val="20"/>
                <w:color w:val="auto"/>
              </w:rPr>
            </w:pPr>
            <w:r>
              <w:rPr>
                <w:rFonts w:ascii="Arial" w:cs="Arial" w:eastAsia="Arial" w:hAnsi="Arial"/>
                <w:sz w:val="18"/>
                <w:szCs w:val="18"/>
                <w:color w:val="auto"/>
              </w:rPr>
              <w:t>4.35 %, payable through 2044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3.92 %, payable through 2045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Title XI Debt: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5.34 %, payable through 2028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920" w:type="dxa"/>
            <w:vAlign w:val="bottom"/>
          </w:tcPr>
          <w:p>
            <w:pPr>
              <w:ind w:left="60"/>
              <w:spacing w:after="0"/>
              <w:rPr>
                <w:sz w:val="20"/>
                <w:szCs w:val="20"/>
                <w:color w:val="auto"/>
              </w:rPr>
            </w:pPr>
            <w:r>
              <w:rPr>
                <w:rFonts w:ascii="Arial" w:cs="Arial" w:eastAsia="Arial" w:hAnsi="Arial"/>
                <w:sz w:val="18"/>
                <w:szCs w:val="18"/>
                <w:color w:val="auto"/>
              </w:rPr>
              <w:t>5.27 %, payable through 2029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1.22 %, payable through 2043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920" w:type="dxa"/>
            <w:vAlign w:val="bottom"/>
          </w:tcPr>
          <w:p>
            <w:pPr>
              <w:ind w:left="60"/>
              <w:spacing w:after="0"/>
              <w:rPr>
                <w:sz w:val="20"/>
                <w:szCs w:val="20"/>
                <w:color w:val="auto"/>
              </w:rPr>
            </w:pPr>
            <w:r>
              <w:rPr>
                <w:rFonts w:ascii="Arial" w:cs="Arial" w:eastAsia="Arial" w:hAnsi="Arial"/>
                <w:sz w:val="18"/>
                <w:szCs w:val="18"/>
                <w:color w:val="auto"/>
              </w:rPr>
              <w:t>1.35 %, payable through 2044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Revolving credit facility, maturity date of June 29, 2022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760.1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gridSpan w:val="2"/>
          </w:tcPr>
          <w:p>
            <w:pPr>
              <w:ind w:left="100"/>
              <w:spacing w:after="0"/>
              <w:rPr>
                <w:sz w:val="20"/>
                <w:szCs w:val="20"/>
                <w:color w:val="auto"/>
              </w:rPr>
            </w:pPr>
            <w:r>
              <w:rPr>
                <w:rFonts w:ascii="Arial" w:cs="Arial" w:eastAsia="Arial" w:hAnsi="Arial"/>
                <w:sz w:val="18"/>
                <w:szCs w:val="18"/>
                <w:color w:val="auto"/>
              </w:rPr>
              <w:t>Total Long-term Debt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700.9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Deferred loan fees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080" w:type="dxa"/>
            <w:vAlign w:val="bottom"/>
            <w:gridSpan w:val="2"/>
          </w:tcPr>
          <w:p>
            <w:pPr>
              <w:ind w:left="100"/>
              <w:spacing w:after="0"/>
              <w:rPr>
                <w:sz w:val="20"/>
                <w:szCs w:val="20"/>
                <w:color w:val="auto"/>
              </w:rPr>
            </w:pPr>
            <w:r>
              <w:rPr>
                <w:rFonts w:ascii="Arial" w:cs="Arial" w:eastAsia="Arial" w:hAnsi="Arial"/>
                <w:sz w:val="18"/>
                <w:szCs w:val="18"/>
                <w:color w:val="auto"/>
              </w:rPr>
              <w:t>Total Long-term Debt, net of deferred loan fees</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description of the Company’s debt:</w:t>
      </w:r>
    </w:p>
    <w:p>
      <w:pPr>
        <w:spacing w:after="0" w:line="221" w:lineRule="exact"/>
        <w:rPr>
          <w:sz w:val="20"/>
          <w:szCs w:val="20"/>
          <w:color w:val="auto"/>
        </w:rPr>
      </w:pPr>
    </w:p>
    <w:p>
      <w:pPr>
        <w:ind w:left="60" w:right="419"/>
        <w:spacing w:after="0" w:line="347" w:lineRule="auto"/>
        <w:rPr>
          <w:sz w:val="20"/>
          <w:szCs w:val="20"/>
          <w:color w:val="auto"/>
        </w:rPr>
      </w:pPr>
      <w:r>
        <w:rPr>
          <w:rFonts w:ascii="Arial" w:cs="Arial" w:eastAsia="Arial" w:hAnsi="Arial"/>
          <w:sz w:val="16"/>
          <w:szCs w:val="16"/>
          <w:b w:val="1"/>
          <w:bCs w:val="1"/>
          <w:i w:val="1"/>
          <w:iCs w:val="1"/>
          <w:color w:val="auto"/>
        </w:rPr>
        <w:t>Private Placement Term Loans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5.79 percent notes payable through 2020 are amortized by semi-annual principal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payments of $3.5 million plus interest. These notes were fully paid off during the year ended December 31, 2020.</w:t>
      </w:r>
    </w:p>
    <w:p>
      <w:pPr>
        <w:spacing w:after="0" w:line="120"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During the second quarter of 2012, the Company issued $170.0 million of unsecured notes, which funded in three tranches, $77.5 million at an interest rate of 3.66 percent, $55.0 million at an interest rate of 4.16 percent, and $37.5 million at an interest rate of 4.31 percent (the “2012 Notes”). Principal and interest are payable semi-annually. The 2012 Notes began to amortize in 2015 with aggregate semi-annual payments of $4.6 million which continued through 2016, followed by $8.4 million in 2017 through mid-year 2023, $3.8 million through mid-year 2027, and $1.2 million thereafter.</w:t>
      </w:r>
    </w:p>
    <w:p>
      <w:pPr>
        <w:spacing w:after="0" w:line="161" w:lineRule="exact"/>
        <w:rPr>
          <w:sz w:val="20"/>
          <w:szCs w:val="20"/>
          <w:color w:val="auto"/>
        </w:rPr>
      </w:pPr>
    </w:p>
    <w:p>
      <w:pPr>
        <w:ind w:left="60" w:right="239"/>
        <w:spacing w:after="0" w:line="308" w:lineRule="auto"/>
        <w:rPr>
          <w:sz w:val="20"/>
          <w:szCs w:val="20"/>
          <w:color w:val="auto"/>
        </w:rPr>
      </w:pPr>
      <w:r>
        <w:rPr>
          <w:rFonts w:ascii="Arial" w:cs="Arial" w:eastAsia="Arial" w:hAnsi="Arial"/>
          <w:sz w:val="17"/>
          <w:szCs w:val="17"/>
          <w:color w:val="auto"/>
        </w:rPr>
        <w:t>In January 2014, the Company issued $100.0 million of 30-year senior unsecured notes at an interest rate of 4.35 percent, payable semi-annually. These notes were fully paid off during the year ended December 31, 2020.</w:t>
      </w:r>
    </w:p>
    <w:p>
      <w:pPr>
        <w:spacing w:after="0" w:line="146" w:lineRule="exact"/>
        <w:rPr>
          <w:sz w:val="20"/>
          <w:szCs w:val="20"/>
          <w:color w:val="auto"/>
        </w:rPr>
      </w:pPr>
    </w:p>
    <w:p>
      <w:pPr>
        <w:ind w:left="60" w:right="579"/>
        <w:spacing w:after="0" w:line="308" w:lineRule="auto"/>
        <w:rPr>
          <w:sz w:val="20"/>
          <w:szCs w:val="20"/>
          <w:color w:val="auto"/>
        </w:rPr>
      </w:pPr>
      <w:r>
        <w:rPr>
          <w:rFonts w:ascii="Arial" w:cs="Arial" w:eastAsia="Arial" w:hAnsi="Arial"/>
          <w:sz w:val="17"/>
          <w:szCs w:val="17"/>
          <w:color w:val="auto"/>
        </w:rPr>
        <w:t>In July 2015, the Company issued $75.0 million of 30-year senior unsecured notes at an interest rate of 3.92 percent, payable semi-annually. These notes were fully paid off during the year ended December 31, 2020.</w:t>
      </w:r>
    </w:p>
    <w:p>
      <w:pPr>
        <w:spacing w:after="0" w:line="146" w:lineRule="exact"/>
        <w:rPr>
          <w:sz w:val="20"/>
          <w:szCs w:val="20"/>
          <w:color w:val="auto"/>
        </w:rPr>
      </w:pPr>
    </w:p>
    <w:p>
      <w:pPr>
        <w:jc w:val="both"/>
        <w:ind w:left="60" w:right="419"/>
        <w:spacing w:after="0" w:line="287" w:lineRule="auto"/>
        <w:rPr>
          <w:sz w:val="20"/>
          <w:szCs w:val="20"/>
          <w:color w:val="auto"/>
        </w:rPr>
      </w:pPr>
      <w:r>
        <w:rPr>
          <w:rFonts w:ascii="Arial" w:cs="Arial" w:eastAsia="Arial" w:hAnsi="Arial"/>
          <w:sz w:val="16"/>
          <w:szCs w:val="16"/>
          <w:color w:val="auto"/>
        </w:rPr>
        <w:t>In September 2016, the Company issued $200.0 million of 15-year senior unsecured notes (the “Series D Notes”) at an interest rate of 3.14 percent, payable semi-annually. The Series D Notes began to amortize in 2019, with semi-annual principal payments of $6.0 million. During the years 2020 through 2023, semi-annual principal payments will be</w:t>
      </w:r>
    </w:p>
    <w:p>
      <w:pPr>
        <w:spacing w:after="0" w:line="2" w:lineRule="exact"/>
        <w:rPr>
          <w:sz w:val="20"/>
          <w:szCs w:val="20"/>
          <w:color w:val="auto"/>
        </w:rPr>
      </w:pPr>
    </w:p>
    <w:p>
      <w:pPr>
        <w:ind w:left="60" w:right="259" w:firstLine="45"/>
        <w:spacing w:after="0" w:line="260" w:lineRule="auto"/>
        <w:rPr>
          <w:sz w:val="20"/>
          <w:szCs w:val="20"/>
          <w:color w:val="auto"/>
        </w:rPr>
      </w:pPr>
      <w:r>
        <w:rPr>
          <w:rFonts w:ascii="Arial" w:cs="Arial" w:eastAsia="Arial" w:hAnsi="Arial"/>
          <w:sz w:val="18"/>
          <w:szCs w:val="18"/>
          <w:color w:val="auto"/>
        </w:rPr>
        <w:t>$9.2 million. Starting in 2024, and in each year thereafter through maturity in 2031, the semi-annual principal payments will be $7.15 million.</w:t>
      </w:r>
    </w:p>
    <w:p>
      <w:pPr>
        <w:spacing w:after="0" w:line="185" w:lineRule="exact"/>
        <w:rPr>
          <w:sz w:val="20"/>
          <w:szCs w:val="20"/>
          <w:color w:val="auto"/>
        </w:rPr>
      </w:pPr>
    </w:p>
    <w:p>
      <w:pPr>
        <w:ind w:left="60" w:right="99"/>
        <w:spacing w:after="0" w:line="286" w:lineRule="auto"/>
        <w:rPr>
          <w:sz w:val="20"/>
          <w:szCs w:val="20"/>
          <w:color w:val="auto"/>
        </w:rPr>
      </w:pPr>
      <w:r>
        <w:rPr>
          <w:rFonts w:ascii="Arial" w:cs="Arial" w:eastAsia="Arial" w:hAnsi="Arial"/>
          <w:sz w:val="17"/>
          <w:szCs w:val="17"/>
          <w:color w:val="auto"/>
        </w:rPr>
        <w:t>In December 2016, the Company issued $75 million of 11-year senior unsecured notes at an interest rate of 3.37 percent, payable semi-annually (the “Series A Notes”). The Series A Notes will begin to amortize in 2021, with principal payments of $5.8 million in 2021 and $11.5 million per year, paid semi-annually, from 2022 through 2027.</w:t>
      </w:r>
    </w:p>
    <w:p>
      <w:pPr>
        <w:spacing w:after="0" w:line="165" w:lineRule="exact"/>
        <w:rPr>
          <w:sz w:val="20"/>
          <w:szCs w:val="20"/>
          <w:color w:val="auto"/>
        </w:rPr>
      </w:pPr>
    </w:p>
    <w:p>
      <w:pPr>
        <w:ind w:left="60" w:right="119"/>
        <w:spacing w:after="0" w:line="286" w:lineRule="auto"/>
        <w:rPr>
          <w:sz w:val="20"/>
          <w:szCs w:val="20"/>
          <w:color w:val="auto"/>
        </w:rPr>
      </w:pPr>
      <w:r>
        <w:rPr>
          <w:rFonts w:ascii="Arial" w:cs="Arial" w:eastAsia="Arial" w:hAnsi="Arial"/>
          <w:sz w:val="17"/>
          <w:szCs w:val="17"/>
          <w:b w:val="1"/>
          <w:bCs w:val="1"/>
          <w:i w:val="1"/>
          <w:iCs w:val="1"/>
          <w:color w:val="auto"/>
        </w:rPr>
        <w:t xml:space="preserve">Existing and 2020 Title XI Bonds: </w:t>
      </w:r>
      <w:r>
        <w:rPr>
          <w:rFonts w:ascii="Arial" w:cs="Arial" w:eastAsia="Arial" w:hAnsi="Arial"/>
          <w:sz w:val="17"/>
          <w:szCs w:val="17"/>
          <w:color w:val="auto"/>
        </w:rPr>
        <w:t>In September 2003, MatNav issued $55.0 million in U.S. Government guaranteed ship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financing bonds (Title XI) to finance the delivery of </w:t>
      </w:r>
      <w:r>
        <w:rPr>
          <w:rFonts w:ascii="Arial" w:cs="Arial" w:eastAsia="Arial" w:hAnsi="Arial"/>
          <w:sz w:val="17"/>
          <w:szCs w:val="17"/>
          <w:i w:val="1"/>
          <w:iCs w:val="1"/>
          <w:color w:val="auto"/>
        </w:rPr>
        <w:t>Manukai</w:t>
      </w:r>
      <w:r>
        <w:rPr>
          <w:rFonts w:ascii="Arial" w:cs="Arial" w:eastAsia="Arial" w:hAnsi="Arial"/>
          <w:sz w:val="17"/>
          <w:szCs w:val="17"/>
          <w:color w:val="auto"/>
        </w:rPr>
        <w:t xml:space="preserve"> (the “Manukai Title XI Bonds”). The Manukai Title XI Bonds have a final maturity in September 2028 with a coupon rate of 5.34 percent. The Manukai Title XI Bonds are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57" w:lineRule="auto"/>
        <w:rPr>
          <w:sz w:val="20"/>
          <w:szCs w:val="20"/>
          <w:color w:val="auto"/>
        </w:rPr>
      </w:pPr>
      <w:r>
        <w:rPr>
          <w:rFonts w:ascii="Arial" w:cs="Arial" w:eastAsia="Arial" w:hAnsi="Arial"/>
          <w:sz w:val="18"/>
          <w:szCs w:val="18"/>
          <w:color w:val="auto"/>
        </w:rPr>
        <w:t xml:space="preserve">amortized by semi-annual payments of $1.1 million plus interest. In August 2004, MatNav issued $55.0 million of U.S. Government guaranteed ship financing bonds (Title XI) to finance the delivery of </w:t>
      </w:r>
      <w:r>
        <w:rPr>
          <w:rFonts w:ascii="Arial" w:cs="Arial" w:eastAsia="Arial" w:hAnsi="Arial"/>
          <w:sz w:val="18"/>
          <w:szCs w:val="18"/>
          <w:i w:val="1"/>
          <w:iCs w:val="1"/>
          <w:color w:val="auto"/>
        </w:rPr>
        <w:t>Maunawili</w:t>
      </w:r>
      <w:r>
        <w:rPr>
          <w:rFonts w:ascii="Arial" w:cs="Arial" w:eastAsia="Arial" w:hAnsi="Arial"/>
          <w:sz w:val="18"/>
          <w:szCs w:val="18"/>
          <w:color w:val="auto"/>
        </w:rPr>
        <w:t xml:space="preserve"> (the “Maunawili Title XI Bonds”, and together with the Manukai Title XI Bonds, the “Existing Title XI Bonds”). The Maunawili Title XI Bonds have a final maturity in July 2029 with a coupon rate of 5.27 percent. The Maunawili Title XI Bonds are amortized by semi-annual payments of $1.1 million plus interest.</w:t>
      </w:r>
    </w:p>
    <w:p>
      <w:pPr>
        <w:spacing w:after="0" w:line="188" w:lineRule="exact"/>
        <w:rPr>
          <w:sz w:val="20"/>
          <w:szCs w:val="20"/>
          <w:color w:val="auto"/>
        </w:rPr>
      </w:pPr>
    </w:p>
    <w:p>
      <w:pPr>
        <w:ind w:left="60" w:right="279"/>
        <w:spacing w:after="0" w:line="296" w:lineRule="auto"/>
        <w:rPr>
          <w:sz w:val="20"/>
          <w:szCs w:val="20"/>
          <w:color w:val="auto"/>
        </w:rPr>
      </w:pPr>
      <w:r>
        <w:rPr>
          <w:rFonts w:ascii="Arial" w:cs="Arial" w:eastAsia="Arial" w:hAnsi="Arial"/>
          <w:sz w:val="16"/>
          <w:szCs w:val="16"/>
          <w:color w:val="auto"/>
        </w:rPr>
        <w:t xml:space="preserve">On April 27, 2020, MatNav issued $185.9 million in U.S. Government guaranteed vessel financing bonds to partially refinance debt incurred in connection with the construction of </w:t>
      </w:r>
      <w:r>
        <w:rPr>
          <w:rFonts w:ascii="Arial" w:cs="Arial" w:eastAsia="Arial" w:hAnsi="Arial"/>
          <w:sz w:val="16"/>
          <w:szCs w:val="16"/>
          <w:i w:val="1"/>
          <w:iCs w:val="1"/>
          <w:color w:val="auto"/>
        </w:rPr>
        <w:t>Daniel K. Inouye</w:t>
      </w:r>
      <w:r>
        <w:rPr>
          <w:rFonts w:ascii="Arial" w:cs="Arial" w:eastAsia="Arial" w:hAnsi="Arial"/>
          <w:sz w:val="16"/>
          <w:szCs w:val="16"/>
          <w:color w:val="auto"/>
        </w:rPr>
        <w:t xml:space="preserve"> (the “DKI Title XI Debt”). A fee of approximately $8.7 million was paid to MARAD out of the proceeds at closing. The secured DKI Title XI Debt matures on October 15, 2043 and has a cash interest rate of 1.22 percent, payable semi-annually in arrears on April 15 and October 15, commencing on October 15, 2020, together with a principal payment of approximately $4.0 million.</w:t>
      </w:r>
    </w:p>
    <w:p>
      <w:pPr>
        <w:spacing w:after="0" w:line="161"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 xml:space="preserve">On June 22, 2020, MatNav issued $139.6 million in U.S. Government guaranteed vessel financing bonds to partially refinance debt incurred in connection with the construction of </w:t>
      </w:r>
      <w:r>
        <w:rPr>
          <w:rFonts w:ascii="Arial" w:cs="Arial" w:eastAsia="Arial" w:hAnsi="Arial"/>
          <w:sz w:val="17"/>
          <w:szCs w:val="17"/>
          <w:i w:val="1"/>
          <w:iCs w:val="1"/>
          <w:color w:val="auto"/>
        </w:rPr>
        <w:t>Kaimana Hila</w:t>
      </w:r>
      <w:r>
        <w:rPr>
          <w:rFonts w:ascii="Arial" w:cs="Arial" w:eastAsia="Arial" w:hAnsi="Arial"/>
          <w:sz w:val="17"/>
          <w:szCs w:val="17"/>
          <w:color w:val="auto"/>
        </w:rPr>
        <w:t xml:space="preserve"> (the “KMH Title XI Debt”, and together with the DKI Title XI Debt, the “2020 Title XI Debt”). A fee of approximately $6.7 million was paid to MARAD out of the proceeds at closing. The secured KMH Title XI Debt matures on March 15, 2044 and has a cash interest rate of</w:t>
      </w:r>
    </w:p>
    <w:p>
      <w:pPr>
        <w:spacing w:after="0" w:line="2" w:lineRule="exact"/>
        <w:rPr>
          <w:sz w:val="20"/>
          <w:szCs w:val="20"/>
          <w:color w:val="auto"/>
        </w:rPr>
      </w:pPr>
    </w:p>
    <w:p>
      <w:pPr>
        <w:ind w:left="60" w:right="519" w:firstLine="45"/>
        <w:spacing w:after="0" w:line="260" w:lineRule="auto"/>
        <w:rPr>
          <w:sz w:val="20"/>
          <w:szCs w:val="20"/>
          <w:color w:val="auto"/>
        </w:rPr>
      </w:pPr>
      <w:r>
        <w:rPr>
          <w:rFonts w:ascii="Arial" w:cs="Arial" w:eastAsia="Arial" w:hAnsi="Arial"/>
          <w:sz w:val="18"/>
          <w:szCs w:val="18"/>
          <w:color w:val="auto"/>
        </w:rPr>
        <w:t>1.35 percent, payable semi-annually in arrears on March 15 and September 15, commencing on September 15, 2020, together with a principal payment of approximately $3.0 million.</w:t>
      </w:r>
    </w:p>
    <w:p>
      <w:pPr>
        <w:spacing w:after="0" w:line="185"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 xml:space="preserve">MatNav may prepay any amounts outstanding under the 2020 Title XI Debt agreements subject to a potential prepayment premium or other adjustment, in accordance with the 2020 Title XI Debt agreements. Once amounts under the 2020 Title XI Debt are repaid, they may not be reborrowed. Mandatory prepayments are required under certain limited circumstances, including specified casualty events with respect to the vessels </w:t>
      </w:r>
      <w:r>
        <w:rPr>
          <w:rFonts w:ascii="Arial" w:cs="Arial" w:eastAsia="Arial" w:hAnsi="Arial"/>
          <w:sz w:val="18"/>
          <w:szCs w:val="18"/>
          <w:i w:val="1"/>
          <w:iCs w:val="1"/>
          <w:color w:val="auto"/>
        </w:rPr>
        <w:t>Daniel K. Inouye</w:t>
      </w:r>
      <w:r>
        <w:rPr>
          <w:rFonts w:ascii="Arial" w:cs="Arial" w:eastAsia="Arial" w:hAnsi="Arial"/>
          <w:sz w:val="18"/>
          <w:szCs w:val="18"/>
          <w:color w:val="auto"/>
        </w:rPr>
        <w:t xml:space="preserve"> and </w:t>
      </w:r>
      <w:r>
        <w:rPr>
          <w:rFonts w:ascii="Arial" w:cs="Arial" w:eastAsia="Arial" w:hAnsi="Arial"/>
          <w:sz w:val="18"/>
          <w:szCs w:val="18"/>
          <w:i w:val="1"/>
          <w:iCs w:val="1"/>
          <w:color w:val="auto"/>
        </w:rPr>
        <w:t>Kaimana Hila</w:t>
      </w:r>
      <w:r>
        <w:rPr>
          <w:rFonts w:ascii="Arial" w:cs="Arial" w:eastAsia="Arial" w:hAnsi="Arial"/>
          <w:sz w:val="18"/>
          <w:szCs w:val="18"/>
          <w:color w:val="auto"/>
        </w:rPr>
        <w:t xml:space="preserve"> (the “Vessels”).</w:t>
      </w:r>
    </w:p>
    <w:p>
      <w:pPr>
        <w:spacing w:after="0" w:line="188"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b w:val="1"/>
          <w:bCs w:val="1"/>
          <w:i w:val="1"/>
          <w:iCs w:val="1"/>
          <w:color w:val="auto"/>
        </w:rPr>
        <w:t xml:space="preserve">Revolving Credit Facility: </w:t>
      </w:r>
      <w:r>
        <w:rPr>
          <w:rFonts w:ascii="Arial" w:cs="Arial" w:eastAsia="Arial" w:hAnsi="Arial"/>
          <w:sz w:val="17"/>
          <w:szCs w:val="17"/>
          <w:color w:val="auto"/>
        </w:rPr>
        <w:t>On June 29, 2017, the Company entered into an amended and restated credit agreement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provides the Company with additional sources of liquidity for working capital, capital expenditures and investment opportunities, and amends and restates the Company’s previously amended and restated credit agreement (the “Credit Agreement” or the “revolving credit facility”). The Credit Agreement expires on June 29, 2022, and provides for committed aggregate borrowing of up to $650 million, with an uncommitted option to increase the aggregate borrowing by up to $250 million. The aggregate borrowing within the Credit Agreement includes a $100 million sublimit for the issuance of standby and commercial letters of credit, and a $50 million sublimit for swing line loans. The Company may prepay any amounts outstanding under the Credit Agreement without premium or penalty. All obligations of the Company under the Credit Agreement are guaranteed by MatNav and certain other subsidiaries.</w:t>
      </w:r>
    </w:p>
    <w:p>
      <w:pPr>
        <w:spacing w:after="0" w:line="181"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color w:val="auto"/>
        </w:rPr>
        <w:t>On March 31, 2020, the Company entered into a First Amendment to Amended and Restated Credit Agreement (the “Credit Agreement Amendment”). The Credit Agreement Amendment provides for amendments to certain covenants and other terms, including increasing the permitted consolidated leverage ratio from March 31, 2020 to December 30, 2021, amending the pricing grid to provide for pricing ranging from, at the Company’s election, LIBOR plus a margin between 1.75 percent and 3.50 percent, or a base rate plus a margin between 0.75 percent and 2.50 percent depending on the Company’s consolidated net leverage ratio; providing for additional limitations on stock redemptions and repurchases, sale leaseback transactions and asset sales during the period from March 31, 2020 through December 30, 2021; and providing for additional limitations on the incurrence of priority debt through December 21, 2027. In addition, the Credit Agreement Amendment adds a “most favored lender” provision for the benefit of the lenders with respect to the Company’s Private Debt Agreements (as defined below). Pursuant to the Credit Agreement Amendment, commencing March 31, 2020, borrowings under the Credit Agreement bear interest at either LIBOR plus a margin of between 1.75 percent and 3.50 percent or the base rate plus a margin of between 0.75 percent and 2.50 percent. Letters of credit are subject to fees based on the Company’s consolidated net leverage ratio at a rate of between 1.75 percent and 3.50 percent, and the Company also pays a commitment fee of between 0.25 percent and 0.55 percent depending on the Company’s consolidated net leverage ratio.</w:t>
      </w:r>
    </w:p>
    <w:p>
      <w:pPr>
        <w:spacing w:after="0" w:line="182" w:lineRule="exact"/>
        <w:rPr>
          <w:sz w:val="20"/>
          <w:szCs w:val="20"/>
          <w:color w:val="auto"/>
        </w:rPr>
      </w:pPr>
    </w:p>
    <w:p>
      <w:pPr>
        <w:jc w:val="both"/>
        <w:ind w:left="60" w:right="99"/>
        <w:spacing w:after="0" w:line="259" w:lineRule="auto"/>
        <w:rPr>
          <w:sz w:val="20"/>
          <w:szCs w:val="20"/>
          <w:color w:val="auto"/>
        </w:rPr>
      </w:pPr>
      <w:r>
        <w:rPr>
          <w:rFonts w:ascii="Arial" w:cs="Arial" w:eastAsia="Arial" w:hAnsi="Arial"/>
          <w:sz w:val="18"/>
          <w:szCs w:val="18"/>
          <w:color w:val="auto"/>
        </w:rPr>
        <w:t>As of December 31, 2020, the Company had $570.1 million of remaining borrowing availability under the revolving credit facility. The Company had $8.1 million of letters of credit outstanding as of December 31, 2020. Based on the Company’s consolidated net leverage ratio, which stipulates borrowing margins, the interest rate applicable to revolving credit facility was approximately 2.50 percent at December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b w:val="1"/>
          <w:bCs w:val="1"/>
          <w:i w:val="1"/>
          <w:iCs w:val="1"/>
          <w:color w:val="auto"/>
        </w:rPr>
        <w:t xml:space="preserve">Amendments to Existing Private Placement Term Loan Facilities and New Shelf Facilities (“Private Loan Facilities”): </w:t>
      </w:r>
      <w:r>
        <w:rPr>
          <w:rFonts w:ascii="Arial" w:cs="Arial" w:eastAsia="Arial" w:hAnsi="Arial"/>
          <w:sz w:val="18"/>
          <w:szCs w:val="18"/>
          <w:color w:val="auto"/>
        </w:rPr>
        <w:t>On June 29, 2017, the Company and the holders of the Company’s term loans entered into amendments (collectively, the “2017 Amendments”) to each of Company’s Private Loan Facilities. The 2017 Amendments provide for amendments to certain covenants and other terms, including (at the Company’s option under certain circumstances) adjustments to the required consolidated leverage ratio, and, in connection with the exercise of such option, the payment of additional interest for certain pre-defined periods.</w:t>
      </w:r>
    </w:p>
    <w:p>
      <w:pPr>
        <w:spacing w:after="0" w:line="192"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On March 31, 2020, the Company and the holders of notes party thereto entered into amendments (collectively, the “2020 Amendments”) to each of the Company’s Private Loan Facilities. The 2020 Amendments modify certain covenants and other terms, including increasing the permitted consolidated leverage ratio from March 31, 2020 to December 30, 2021; providing for additional quarterly interest enhancement payments based on the Company’s consolidated leverage ratio from the quarter ended March 31, 2020 through the quarters ending December 31, 2021; providing for an additional 25 basis points of interest on the notes commencing on January 1, 2022 (subject to termination of such incremental interest upon the Company meeting a consolidated leverage ratio of less than 3:00 to 1:00 for two consecutive fiscal quarters); providing for additional fee payments to be made for the quarters ending June 30, 2021 and September 30, 2021; providing for prepayment at par at the option of the holders with proceeds of certain 2020 Title XI Debt and dispositions of capital assets; providing for additional limitations on stock redemptions and repurchases, sale leaseback transactions and asset sales during the period from March 31, 2020 through and including December 30, 2021; and providing for additional limitations on incurrence of priority debt through December 21, 2027. In addition, the 2020 Amendments add a “most favored lender” provision for the benefit of the noteholders with respect to the other Private Debt Agreements.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 xml:space="preserve">Debt Maturities: </w:t>
      </w:r>
      <w:r>
        <w:rPr>
          <w:rFonts w:ascii="Arial" w:cs="Arial" w:eastAsia="Arial" w:hAnsi="Arial"/>
          <w:sz w:val="17"/>
          <w:szCs w:val="17"/>
          <w:color w:val="auto"/>
        </w:rPr>
        <w:t>At December 31, 2020, debt maturities during the next five years and thereafter are as follows: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(in millions)</w:t>
            </w:r>
          </w:p>
        </w:tc>
        <w:tc>
          <w:tcPr>
            <w:tcW w:w="220" w:type="dxa"/>
            <w:vAlign w:val="bottom"/>
          </w:tcPr>
          <w:p>
            <w:pPr>
              <w:spacing w:after="0"/>
              <w:rPr>
                <w:sz w:val="14"/>
                <w:szCs w:val="14"/>
                <w:color w:val="auto"/>
              </w:rPr>
            </w:pPr>
          </w:p>
        </w:tc>
        <w:tc>
          <w:tcPr>
            <w:tcW w:w="100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7680" w:type="dxa"/>
            <w:vAlign w:val="bottom"/>
            <w:gridSpan w:val="2"/>
            <w:vMerge w:val="continue"/>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10"/>
        </w:trPr>
        <w:tc>
          <w:tcPr>
            <w:tcW w:w="7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900" w:type="dxa"/>
            <w:vAlign w:val="bottom"/>
            <w:gridSpan w:val="4"/>
          </w:tcPr>
          <w:p>
            <w:pPr>
              <w:ind w:left="20"/>
              <w:spacing w:after="0"/>
              <w:rPr>
                <w:sz w:val="20"/>
                <w:szCs w:val="20"/>
                <w:color w:val="auto"/>
              </w:rPr>
            </w:pPr>
            <w:r>
              <w:rPr>
                <w:rFonts w:ascii="Arial" w:cs="Arial" w:eastAsia="Arial" w:hAnsi="Arial"/>
                <w:sz w:val="18"/>
                <w:szCs w:val="18"/>
                <w:b w:val="1"/>
                <w:bCs w:val="1"/>
                <w:i w:val="1"/>
                <w:iCs w:val="1"/>
                <w:color w:val="auto"/>
                <w:w w:val="97"/>
              </w:rPr>
              <w:t xml:space="preserve">Deferred Loan Fees: </w:t>
            </w:r>
            <w:r>
              <w:rPr>
                <w:rFonts w:ascii="Arial" w:cs="Arial" w:eastAsia="Arial" w:hAnsi="Arial"/>
                <w:sz w:val="18"/>
                <w:szCs w:val="18"/>
                <w:color w:val="auto"/>
                <w:w w:val="97"/>
              </w:rPr>
              <w:t>Activity relating to deferred loan fees for the year ended December 31, 2020 are as follows:</w:t>
            </w:r>
          </w:p>
        </w:tc>
        <w:tc>
          <w:tcPr>
            <w:tcW w:w="0" w:type="dxa"/>
            <w:vAlign w:val="bottom"/>
          </w:tcPr>
          <w:p>
            <w:pPr>
              <w:spacing w:after="0"/>
              <w:rPr>
                <w:sz w:val="1"/>
                <w:szCs w:val="1"/>
                <w:color w:val="auto"/>
              </w:rPr>
            </w:pPr>
          </w:p>
        </w:tc>
      </w:tr>
      <w:tr>
        <w:trPr>
          <w:trHeight w:val="299"/>
        </w:trPr>
        <w:tc>
          <w:tcPr>
            <w:tcW w:w="7680" w:type="dxa"/>
            <w:vAlign w:val="bottom"/>
            <w:gridSpan w:val="2"/>
          </w:tcPr>
          <w:p>
            <w:pPr>
              <w:ind w:left="20"/>
              <w:spacing w:after="0"/>
              <w:rPr>
                <w:sz w:val="20"/>
                <w:szCs w:val="20"/>
                <w:color w:val="auto"/>
              </w:rPr>
            </w:pPr>
            <w:r>
              <w:rPr>
                <w:rFonts w:ascii="Arial" w:cs="Arial" w:eastAsia="Arial" w:hAnsi="Arial"/>
                <w:sz w:val="14"/>
                <w:szCs w:val="14"/>
                <w:b w:val="1"/>
                <w:bCs w:val="1"/>
                <w:color w:val="auto"/>
              </w:rPr>
              <w:t>Deferred Loan Fees (in millions)</w:t>
            </w:r>
          </w:p>
        </w:tc>
        <w:tc>
          <w:tcPr>
            <w:tcW w:w="220" w:type="dxa"/>
            <w:vAlign w:val="bottom"/>
          </w:tcPr>
          <w:p>
            <w:pPr>
              <w:spacing w:after="0"/>
              <w:rPr>
                <w:sz w:val="24"/>
                <w:szCs w:val="24"/>
                <w:color w:val="auto"/>
              </w:rPr>
            </w:pPr>
          </w:p>
        </w:tc>
        <w:tc>
          <w:tcPr>
            <w:tcW w:w="100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-8890</wp:posOffset>
            </wp:positionV>
            <wp:extent cx="564896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ind w:left="60"/>
        <w:spacing w:after="0"/>
        <w:rPr>
          <w:sz w:val="20"/>
          <w:szCs w:val="20"/>
          <w:color w:val="auto"/>
        </w:rPr>
      </w:pPr>
      <w:r>
        <w:rPr>
          <w:rFonts w:ascii="Arial" w:cs="Arial" w:eastAsia="Arial" w:hAnsi="Arial"/>
          <w:sz w:val="16"/>
          <w:szCs w:val="16"/>
          <w:color w:val="auto"/>
        </w:rPr>
        <w:t>Deferred financing costs related to Title XI bonds and private placement debt amendments</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Deferred fees expensed related to the redemption of private placement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Amortization expense for the year ended December 31, 2020</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Balance at December 31, 2020</w:t>
      </w:r>
    </w:p>
    <w:p>
      <w:pPr>
        <w:spacing w:after="0" w:line="20" w:lineRule="exact"/>
        <w:rPr>
          <w:sz w:val="20"/>
          <w:szCs w:val="20"/>
          <w:color w:val="auto"/>
        </w:rPr>
      </w:pPr>
      <w:r>
        <w:rPr>
          <w:sz w:val="20"/>
          <w:szCs w:val="20"/>
          <w:color w:val="auto"/>
        </w:rPr>
        <w:br w:type="column"/>
      </w:r>
    </w:p>
    <w:p>
      <w:pPr>
        <w:ind w:left="862" w:hanging="862"/>
        <w:spacing w:after="0"/>
        <w:tabs>
          <w:tab w:leader="none" w:pos="8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16.5</w:t>
      </w:r>
    </w:p>
    <w:p>
      <w:pPr>
        <w:spacing w:after="0" w:line="7" w:lineRule="exact"/>
        <w:rPr>
          <w:rFonts w:ascii="Arial" w:cs="Arial" w:eastAsia="Arial" w:hAnsi="Arial"/>
          <w:sz w:val="18"/>
          <w:szCs w:val="18"/>
          <w:color w:val="auto"/>
        </w:rPr>
      </w:pPr>
    </w:p>
    <w:p>
      <w:pPr>
        <w:ind w:left="882"/>
        <w:spacing w:after="0"/>
        <w:rPr>
          <w:rFonts w:ascii="Arial" w:cs="Arial" w:eastAsia="Arial" w:hAnsi="Arial"/>
          <w:sz w:val="18"/>
          <w:szCs w:val="18"/>
          <w:color w:val="auto"/>
        </w:rPr>
      </w:pPr>
      <w:r>
        <w:rPr>
          <w:rFonts w:ascii="Arial" w:cs="Arial" w:eastAsia="Arial" w:hAnsi="Arial"/>
          <w:sz w:val="16"/>
          <w:szCs w:val="16"/>
          <w:color w:val="auto"/>
        </w:rPr>
        <w:t>(0.3)</w:t>
      </w:r>
    </w:p>
    <w:p>
      <w:pPr>
        <w:spacing w:after="0" w:line="32" w:lineRule="exact"/>
        <w:rPr>
          <w:rFonts w:ascii="Arial" w:cs="Arial" w:eastAsia="Arial" w:hAnsi="Arial"/>
          <w:sz w:val="18"/>
          <w:szCs w:val="18"/>
          <w:color w:val="auto"/>
        </w:rPr>
      </w:pPr>
    </w:p>
    <w:p>
      <w:pPr>
        <w:ind w:left="882"/>
        <w:spacing w:after="0"/>
        <w:rPr>
          <w:rFonts w:ascii="Arial" w:cs="Arial" w:eastAsia="Arial" w:hAnsi="Arial"/>
          <w:sz w:val="18"/>
          <w:szCs w:val="18"/>
          <w:color w:val="auto"/>
        </w:rPr>
      </w:pPr>
      <w:r>
        <w:rPr>
          <w:rFonts w:ascii="Arial" w:cs="Arial" w:eastAsia="Arial" w:hAnsi="Arial"/>
          <w:sz w:val="16"/>
          <w:szCs w:val="16"/>
          <w:color w:val="auto"/>
        </w:rPr>
        <w:t>(0.9)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804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12" w:lineRule="exact"/>
        <w:rPr>
          <w:sz w:val="20"/>
          <w:szCs w:val="20"/>
          <w:color w:val="auto"/>
        </w:rPr>
      </w:pPr>
    </w:p>
    <w:p>
      <w:pPr>
        <w:ind w:left="862" w:hanging="862"/>
        <w:spacing w:after="0"/>
        <w:tabs>
          <w:tab w:leader="none" w:pos="8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804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804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7804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6998" w:space="720"/>
            <w:col w:w="1301"/>
          </w:cols>
          <w:pgMar w:left="1440" w:top="517" w:right="1440" w:bottom="1440" w:gutter="0" w:footer="0" w:header="0"/>
          <w:type w:val="continuous"/>
        </w:sectPr>
      </w:pPr>
    </w:p>
    <w:p>
      <w:pPr>
        <w:spacing w:after="0" w:line="52"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As of December 31, 2020, amortization expense relating to deferred loan fees during the next five years and thereafter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(in millions)</w:t>
            </w:r>
          </w:p>
        </w:tc>
        <w:tc>
          <w:tcPr>
            <w:tcW w:w="220" w:type="dxa"/>
            <w:vAlign w:val="bottom"/>
          </w:tcPr>
          <w:p>
            <w:pPr>
              <w:spacing w:after="0"/>
              <w:rPr>
                <w:sz w:val="14"/>
                <w:szCs w:val="14"/>
                <w:color w:val="auto"/>
              </w:rPr>
            </w:pPr>
          </w:p>
        </w:tc>
        <w:tc>
          <w:tcPr>
            <w:tcW w:w="1000" w:type="dxa"/>
            <w:vAlign w:val="bottom"/>
          </w:tcPr>
          <w:p>
            <w:pPr>
              <w:jc w:val="right"/>
              <w:ind w:right="272"/>
              <w:spacing w:after="0"/>
              <w:rPr>
                <w:sz w:val="20"/>
                <w:szCs w:val="20"/>
                <w:color w:val="auto"/>
              </w:rPr>
            </w:pPr>
            <w:r>
              <w:rPr>
                <w:rFonts w:ascii="Arial" w:cs="Arial" w:eastAsia="Arial" w:hAnsi="Arial"/>
                <w:sz w:val="14"/>
                <w:szCs w:val="14"/>
                <w:b w:val="1"/>
                <w:bCs w:val="1"/>
                <w:color w:val="auto"/>
              </w:rPr>
              <w:t>Amount</w:t>
            </w:r>
          </w:p>
        </w:tc>
      </w:tr>
      <w:tr>
        <w:trPr>
          <w:trHeight w:val="210"/>
        </w:trPr>
        <w:tc>
          <w:tcPr>
            <w:tcW w:w="7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10"/>
        </w:trPr>
        <w:tc>
          <w:tcPr>
            <w:tcW w:w="7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amortization expense of deferred loan fees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39"/>
        <w:spacing w:after="0" w:line="303" w:lineRule="auto"/>
        <w:rPr>
          <w:sz w:val="20"/>
          <w:szCs w:val="20"/>
          <w:color w:val="auto"/>
        </w:rPr>
      </w:pPr>
      <w:r>
        <w:rPr>
          <w:rFonts w:ascii="Arial" w:cs="Arial" w:eastAsia="Arial" w:hAnsi="Arial"/>
          <w:sz w:val="16"/>
          <w:szCs w:val="16"/>
          <w:b w:val="1"/>
          <w:bCs w:val="1"/>
          <w:i w:val="1"/>
          <w:iCs w:val="1"/>
          <w:color w:val="auto"/>
        </w:rPr>
        <w:t>Debt Covenants in the Private Placement Term Loans and the Revolving Credit Facility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Credit Agreement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Private term loan facilities (collectively, the “Private Debt Agreements”) contain affirmative, negative and financial covenants customary for financings of this type, including, among other things, limitations on certain other indebtedness, loans and investments, liens, mergers, asset sales, and transactions with affiliates as defined within the Private Debt</w:t>
      </w:r>
    </w:p>
    <w:p>
      <w:pPr>
        <w:sectPr>
          <w:pgSz w:w="11900" w:h="16838" w:orient="portrait"/>
          <w:cols w:equalWidth="0" w:num="1">
            <w:col w:w="9019"/>
          </w:cols>
          <w:pgMar w:left="1440" w:top="517" w:right="1440" w:bottom="1440" w:gutter="0" w:footer="0" w:header="0"/>
          <w:type w:val="continuous"/>
        </w:sect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59" w:lineRule="auto"/>
        <w:rPr>
          <w:sz w:val="20"/>
          <w:szCs w:val="20"/>
          <w:color w:val="auto"/>
        </w:rPr>
      </w:pPr>
      <w:r>
        <w:rPr>
          <w:rFonts w:ascii="Arial" w:cs="Arial" w:eastAsia="Arial" w:hAnsi="Arial"/>
          <w:sz w:val="18"/>
          <w:szCs w:val="18"/>
          <w:color w:val="auto"/>
        </w:rPr>
        <w:t>Agreements. The Private Debt Agreements also contain customary events of default, including cross defaults to other material indebtedness, including the Existing Title XI Bonds and the 2020 Title XI Debt. A brief description of the principal covenants contained in the Private Debt Agreements includes, but is not limited to the following (as defined within the Private Debt Agreements):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Minimum Consolidated Interest Coverage Ratio as of the end of any fiscal quarter is not permitted to be less than 3.50</w:t>
      </w:r>
    </w:p>
    <w:p>
      <w:pPr>
        <w:ind w:left="60"/>
        <w:spacing w:after="0"/>
        <w:rPr>
          <w:sz w:val="20"/>
          <w:szCs w:val="20"/>
          <w:color w:val="auto"/>
        </w:rPr>
      </w:pPr>
      <w:r>
        <w:rPr>
          <w:rFonts w:ascii="Arial" w:cs="Arial" w:eastAsia="Arial" w:hAnsi="Arial"/>
          <w:sz w:val="18"/>
          <w:szCs w:val="18"/>
          <w:color w:val="auto"/>
        </w:rPr>
        <w:t>to 1.0;</w:t>
      </w:r>
    </w:p>
    <w:p>
      <w:pPr>
        <w:spacing w:after="0" w:line="63" w:lineRule="exact"/>
        <w:rPr>
          <w:sz w:val="20"/>
          <w:szCs w:val="20"/>
          <w:color w:val="auto"/>
        </w:rPr>
      </w:pPr>
    </w:p>
    <w:p>
      <w:pPr>
        <w:ind w:left="380" w:right="699"/>
        <w:spacing w:after="0" w:line="250" w:lineRule="auto"/>
        <w:rPr>
          <w:sz w:val="20"/>
          <w:szCs w:val="20"/>
          <w:color w:val="auto"/>
        </w:rPr>
      </w:pPr>
      <w:r>
        <w:rPr>
          <w:rFonts w:ascii="Arial" w:cs="Arial" w:eastAsia="Arial" w:hAnsi="Arial"/>
          <w:sz w:val="18"/>
          <w:szCs w:val="18"/>
          <w:color w:val="auto"/>
        </w:rPr>
        <w:t>Maximum Consolidated Leverage Ratio as of the end of any fiscal quarter is not permitted to exceed the ratios specified in the Private Debt Agreements for the applicable quarter; and</w:t>
      </w:r>
    </w:p>
    <w:p>
      <w:pPr>
        <w:ind w:left="380" w:right="279"/>
        <w:spacing w:after="0" w:line="281" w:lineRule="auto"/>
        <w:rPr>
          <w:sz w:val="20"/>
          <w:szCs w:val="20"/>
          <w:color w:val="auto"/>
        </w:rPr>
      </w:pPr>
      <w:r>
        <w:rPr>
          <w:rFonts w:ascii="Arial" w:cs="Arial" w:eastAsia="Arial" w:hAnsi="Arial"/>
          <w:sz w:val="16"/>
          <w:szCs w:val="16"/>
          <w:color w:val="auto"/>
        </w:rPr>
        <w:t>No Priority Debt may be incurred other than: (i) an aggregate of $331,000,000 principal amount of Title XI Priority Debt and (ii) Priority Debt incurred by Foreign Subsidiaries in an aggregate principal amount not to exceed</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$20,000,000.</w:t>
      </w:r>
    </w:p>
    <w:p>
      <w:pPr>
        <w:spacing w:after="0" w:line="211"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color w:val="auto"/>
        </w:rPr>
        <w:t>Principal covenants generally will restrict the incurrence of liens except for permitted liens, which include, without limitation, liens securing Title XI debt up to certain permitted amounts, as defined within the Private Debt Agreements. The Company was in compliance with these covenants as of December 31, 2020.</w:t>
      </w:r>
    </w:p>
    <w:p>
      <w:pPr>
        <w:spacing w:after="0" w:line="184"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b w:val="1"/>
          <w:bCs w:val="1"/>
          <w:i w:val="1"/>
          <w:iCs w:val="1"/>
          <w:color w:val="auto"/>
        </w:rPr>
        <w:t xml:space="preserve">Debt Covenants in Existing Title XI Bonds and 2020 Title XI Debt Agreements: </w:t>
      </w:r>
      <w:r>
        <w:rPr>
          <w:rFonts w:ascii="Arial" w:cs="Arial" w:eastAsia="Arial" w:hAnsi="Arial"/>
          <w:sz w:val="17"/>
          <w:szCs w:val="17"/>
          <w:color w:val="auto"/>
        </w:rPr>
        <w:t>The Existing Title XI Bonds contain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customary representations and warranties as well as affirmative and negative covenants, defaults and other provisions typical for MARAD-guaranteed financings of this type, with definitions and limitations as defined within the Existing Title XI Bonds. These covenants include, among other things, minimum working capital and net worth requirements, limitations on certain other indebtedness, loans and investments, liens, mergers, asset sales, sale and leaseback transactions, and transactions with affiliates as defined within the Existing Title XI Bonds. Certain of the covenants in the Existing Title XI Bonds are applicable only upon and during the continuance of either (i) an event of default or (ii) the failure of MatNav to meet certain financial requirements.</w:t>
      </w:r>
    </w:p>
    <w:p>
      <w:pPr>
        <w:spacing w:after="0" w:line="178"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auto"/>
        </w:rPr>
        <w:t>The 2020 Title XI Debt agreements contain customary representations and warranties as well as affirmative and negative covenants, defaults and other provisions typical for MARAD-guaranteed financings of this type, with definitions, limitations and financial tests all as negotiated between MatNav and MARAD. As part of the 2020 Title XI Debt agreements, certain covenants contained in the Existing Title XI Bonds were eliminated. The covenants in the 2020 Title XI Debt agreements include, among other things, limitations on certain other indebtedness, loans and investments, liens, mergers, asset sales, sale-leasebacks, and transactions with affiliates as defined within the 2020 Title XI Debt agreements. Certain of the covenants in the 2020 Title XI Debt agreements are applicable only upon and during the continuance of either (i) an event of default or (ii) the failure of either the Company or MatNav to meet certain supplemental financial tests.</w:t>
      </w:r>
    </w:p>
    <w:p>
      <w:pPr>
        <w:spacing w:after="0" w:line="196" w:lineRule="exact"/>
        <w:rPr>
          <w:sz w:val="20"/>
          <w:szCs w:val="20"/>
          <w:color w:val="auto"/>
        </w:rPr>
      </w:pPr>
    </w:p>
    <w:p>
      <w:pPr>
        <w:ind w:left="380" w:right="179" w:hanging="330"/>
        <w:spacing w:after="0" w:line="258"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supplemental financial tests applicable to MatNav include maintenance of a working capital minimum of $1, and maintenance of a long term debt to net worth ratio of greater than or equal to 2.0 to 1.0; and</w:t>
      </w:r>
    </w:p>
    <w:p>
      <w:pPr>
        <w:spacing w:after="0" w:line="1" w:lineRule="exact"/>
        <w:rPr>
          <w:rFonts w:ascii="Arial" w:cs="Arial" w:eastAsia="Arial" w:hAnsi="Arial"/>
          <w:sz w:val="18"/>
          <w:szCs w:val="18"/>
          <w:color w:val="auto"/>
        </w:rPr>
      </w:pPr>
    </w:p>
    <w:p>
      <w:pPr>
        <w:ind w:left="380" w:right="179" w:hanging="330"/>
        <w:spacing w:after="0" w:line="253"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supplemental financial tests applicable to the Company include maintenance of a net worth greater than or equal to 90% of the net worth of the Company as set forth in the most recent audited financial statements prior to closing of the issuance of the 2020 Title XI Bonds and compliance with the leverage ratio set forth in the Company’s Credit Agreement.</w:t>
      </w:r>
    </w:p>
    <w:p>
      <w:pPr>
        <w:spacing w:after="0" w:line="193"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 xml:space="preserve">Debt Security and Guarantees: </w:t>
      </w:r>
      <w:r>
        <w:rPr>
          <w:rFonts w:ascii="Arial" w:cs="Arial" w:eastAsia="Arial" w:hAnsi="Arial"/>
          <w:sz w:val="18"/>
          <w:szCs w:val="18"/>
          <w:color w:val="auto"/>
        </w:rPr>
        <w:t>All of the debt of the Company and MatNav, including related guarantees, as of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2020 was unsecured, except for the Existing Title XI Bonds and the 2020 Title XI Debt.</w:t>
      </w:r>
    </w:p>
    <w:p>
      <w:pPr>
        <w:spacing w:after="0" w:line="170" w:lineRule="exact"/>
        <w:rPr>
          <w:sz w:val="20"/>
          <w:szCs w:val="20"/>
          <w:color w:val="auto"/>
        </w:rPr>
      </w:pPr>
    </w:p>
    <w:p>
      <w:pPr>
        <w:ind w:left="60" w:right="179"/>
        <w:spacing w:after="0" w:line="296" w:lineRule="auto"/>
        <w:rPr>
          <w:sz w:val="20"/>
          <w:szCs w:val="20"/>
          <w:color w:val="auto"/>
        </w:rPr>
      </w:pPr>
      <w:r>
        <w:rPr>
          <w:rFonts w:ascii="Arial" w:cs="Arial" w:eastAsia="Arial" w:hAnsi="Arial"/>
          <w:sz w:val="16"/>
          <w:szCs w:val="16"/>
          <w:color w:val="auto"/>
        </w:rPr>
        <w:t>Under the 2020 Title XI Debt agreements, MARAD has guaranteed certain obligations of MatNav. MatNav has agreed to reimburse MARAD for any payments it makes under the MARAD guaranty, and MatNav’s obligations to MARAD with respect to the 2020 Title XI Debt are secured by a mortgage on the Vessels and certain other related assets (the “Collateral”), as well as the Existing Vessels (as defined below). In addition, MatNav’s obligations to MARAD with respect to the 2020 Title XI Debt are guaranteed by the Company under an Affiliate Guaranty (the “Guaranty”).</w:t>
      </w:r>
    </w:p>
    <w:p>
      <w:pPr>
        <w:spacing w:after="0" w:line="161"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 xml:space="preserve">The 2020 Title XI Debt agreements also provide that the two vessels securing MatNav’s Existing Title XI Bonds – </w:t>
      </w:r>
      <w:r>
        <w:rPr>
          <w:rFonts w:ascii="Arial" w:cs="Arial" w:eastAsia="Arial" w:hAnsi="Arial"/>
          <w:sz w:val="18"/>
          <w:szCs w:val="18"/>
          <w:i w:val="1"/>
          <w:iCs w:val="1"/>
          <w:color w:val="auto"/>
        </w:rPr>
        <w:t xml:space="preserve">Manukai </w:t>
      </w:r>
      <w:r>
        <w:rPr>
          <w:rFonts w:ascii="Arial" w:cs="Arial" w:eastAsia="Arial" w:hAnsi="Arial"/>
          <w:sz w:val="18"/>
          <w:szCs w:val="18"/>
          <w:color w:val="auto"/>
        </w:rPr>
        <w:t>and</w:t>
      </w:r>
      <w:r>
        <w:rPr>
          <w:rFonts w:ascii="Arial" w:cs="Arial" w:eastAsia="Arial" w:hAnsi="Arial"/>
          <w:sz w:val="18"/>
          <w:szCs w:val="18"/>
          <w:i w:val="1"/>
          <w:iCs w:val="1"/>
          <w:color w:val="auto"/>
        </w:rPr>
        <w:t xml:space="preserve"> Maunawili </w:t>
      </w:r>
      <w:r>
        <w:rPr>
          <w:rFonts w:ascii="Arial" w:cs="Arial" w:eastAsia="Arial" w:hAnsi="Arial"/>
          <w:sz w:val="18"/>
          <w:szCs w:val="18"/>
          <w:color w:val="auto"/>
        </w:rPr>
        <w:t>(the “Existing Vessels”) – also secure the 2020 Title XI Bonds until the Existing Title XI Debt are</w:t>
      </w:r>
      <w:r>
        <w:rPr>
          <w:rFonts w:ascii="Arial" w:cs="Arial" w:eastAsia="Arial" w:hAnsi="Arial"/>
          <w:sz w:val="18"/>
          <w:szCs w:val="18"/>
          <w:i w:val="1"/>
          <w:iCs w:val="1"/>
          <w:color w:val="auto"/>
        </w:rPr>
        <w:t xml:space="preserve"> </w:t>
      </w:r>
      <w:r>
        <w:rPr>
          <w:rFonts w:ascii="Arial" w:cs="Arial" w:eastAsia="Arial" w:hAnsi="Arial"/>
          <w:sz w:val="18"/>
          <w:szCs w:val="18"/>
          <w:color w:val="auto"/>
        </w:rPr>
        <w:t>retired in 2028 and 2029, respectively, subject to certain exceptions.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60" w:right="199"/>
        <w:spacing w:after="0" w:line="259" w:lineRule="auto"/>
        <w:rPr>
          <w:sz w:val="20"/>
          <w:szCs w:val="20"/>
          <w:color w:val="auto"/>
        </w:rPr>
      </w:pPr>
      <w:r>
        <w:rPr>
          <w:rFonts w:ascii="Arial" w:cs="Arial" w:eastAsia="Arial" w:hAnsi="Arial"/>
          <w:sz w:val="18"/>
          <w:szCs w:val="18"/>
          <w:color w:val="auto"/>
        </w:rPr>
        <w:t>The Company adopted the lease accounting standard ASC 842 on January 1, 2019. As part of the adoption, the Company recorded a net adjustment to retained earnings of $4.4 million at January 1, 2019. Significant assumptions and judgments made in applying the new lease accounting standard include determining the Company’s incremental borrowing rate and evaluating the probability of exercising lease options.</w:t>
      </w:r>
    </w:p>
    <w:p>
      <w:pPr>
        <w:spacing w:after="0" w:line="187" w:lineRule="exact"/>
        <w:rPr>
          <w:sz w:val="20"/>
          <w:szCs w:val="20"/>
          <w:color w:val="auto"/>
        </w:rPr>
      </w:pPr>
    </w:p>
    <w:p>
      <w:pPr>
        <w:ind w:left="60" w:right="219"/>
        <w:spacing w:after="0" w:line="290" w:lineRule="auto"/>
        <w:rPr>
          <w:sz w:val="20"/>
          <w:szCs w:val="20"/>
          <w:color w:val="auto"/>
        </w:rPr>
      </w:pPr>
      <w:r>
        <w:rPr>
          <w:rFonts w:ascii="Arial" w:cs="Arial" w:eastAsia="Arial" w:hAnsi="Arial"/>
          <w:sz w:val="16"/>
          <w:szCs w:val="16"/>
          <w:i w:val="1"/>
          <w:iCs w:val="1"/>
          <w:color w:val="auto"/>
        </w:rPr>
        <w:t xml:space="preserve">Description of Operating Leases: </w:t>
      </w:r>
      <w:r>
        <w:rPr>
          <w:rFonts w:ascii="Arial" w:cs="Arial" w:eastAsia="Arial" w:hAnsi="Arial"/>
          <w:sz w:val="16"/>
          <w:szCs w:val="16"/>
          <w:color w:val="auto"/>
        </w:rPr>
        <w:t>The Company has different types of operating leases, the specific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vary from lease to lease. Certain operating lease agreements include terms such as: (i) renewal and early termination options; (ii) early buy-out and purchase options; and (iii) rent escalation clauses. The lease agreements also include provisions for the maintenance of the leased asset and payment of lease related costs. The Company reviews the specific terms and conditions of each lease and, as appropriate, notifies the lessor of any intent to exercise any option in accordance with the terms of the lease. In the normal course of business, the Company expects to be able to renew or replace most of its operating leases with other similar leases as they expire. Except for the residual value guarantee described below, the Company’s leases do not contain any other residual value guarantees.</w:t>
      </w:r>
    </w:p>
    <w:p>
      <w:pPr>
        <w:spacing w:after="0" w:line="165" w:lineRule="exact"/>
        <w:rPr>
          <w:sz w:val="20"/>
          <w:szCs w:val="20"/>
          <w:color w:val="auto"/>
        </w:rPr>
      </w:pPr>
    </w:p>
    <w:p>
      <w:pPr>
        <w:ind w:left="60" w:right="179"/>
        <w:spacing w:after="0" w:line="296" w:lineRule="auto"/>
        <w:rPr>
          <w:sz w:val="20"/>
          <w:szCs w:val="20"/>
          <w:color w:val="auto"/>
        </w:rPr>
      </w:pPr>
      <w:r>
        <w:rPr>
          <w:rFonts w:ascii="Arial" w:cs="Arial" w:eastAsia="Arial" w:hAnsi="Arial"/>
          <w:sz w:val="16"/>
          <w:szCs w:val="16"/>
          <w:color w:val="auto"/>
        </w:rPr>
        <w:t>The Company’s sub-lease income was nominal to the Company’s Consolidated Statements of Income and Comprehensive Income for the years ended December 31, 2020 and 2019. The Company did not have any finance leases during the years ended December 31, 2020 and 2019. Certain of the Company’s lease agreements include rental payments that may be adjusted in the future based on economic conditions and others include rental payments adjusted periodically for inflation. Variable lease expense is disclosed for the adjusted portion of such payments.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lease type by underlying asset class and maximum terms of the Company’s operating leases are as follows: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10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 Type: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210"/>
        </w:trPr>
        <w:tc>
          <w:tcPr>
            <w:tcW w:w="7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 and terminal leases</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65 years</w:t>
            </w:r>
          </w:p>
        </w:tc>
      </w:tr>
      <w:tr>
        <w:trPr>
          <w:trHeight w:val="216"/>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Vessel charter leases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10 years</w:t>
            </w:r>
          </w:p>
        </w:tc>
      </w:tr>
      <w:tr>
        <w:trPr>
          <w:trHeight w:val="216"/>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Operations equipment and other leases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8 years</w:t>
            </w:r>
          </w:p>
        </w:tc>
      </w:tr>
    </w:tbl>
    <w:p>
      <w:pPr>
        <w:spacing w:after="0" w:line="202"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i w:val="1"/>
          <w:iCs w:val="1"/>
          <w:color w:val="auto"/>
        </w:rPr>
        <w:t xml:space="preserve">Incremental Borrowing Rate: </w:t>
      </w:r>
      <w:r>
        <w:rPr>
          <w:rFonts w:ascii="Arial" w:cs="Arial" w:eastAsia="Arial" w:hAnsi="Arial"/>
          <w:sz w:val="18"/>
          <w:szCs w:val="18"/>
          <w:color w:val="auto"/>
        </w:rPr>
        <w:t>As most of the Company’s operating leases do not provide an implicit rate,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uses an estimated incremental borrowing rate based on information available at the date of adoption and subsequent lease commencement dates in calculating the present value of its operating lease liabilities. The incremental borrowing rate is determined using the U.S. Treasury rate adjusted to account for the Company’s credit rating and the collateralized nature of operating leases.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 xml:space="preserve">Components of Lease Cost: </w:t>
      </w:r>
      <w:r>
        <w:rPr>
          <w:rFonts w:ascii="Arial" w:cs="Arial" w:eastAsia="Arial" w:hAnsi="Arial"/>
          <w:sz w:val="16"/>
          <w:szCs w:val="16"/>
          <w:color w:val="auto"/>
        </w:rPr>
        <w:t>Components of lease cost recorded in the Company’s Consolidated Statement of Income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Comprehensive Income for the years ended December 31, 2020 and 2019 consisted of the following:</w:t>
      </w:r>
    </w:p>
    <w:p>
      <w:pPr>
        <w:spacing w:after="0" w:line="3"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Years Ended</w:t>
      </w:r>
    </w:p>
    <w:p>
      <w:pPr>
        <w:ind w:left="7360"/>
        <w:spacing w:after="0" w:line="231"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5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16"/>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10"/>
        </w:trPr>
        <w:tc>
          <w:tcPr>
            <w:tcW w:w="6580" w:type="dxa"/>
            <w:vAlign w:val="bottom"/>
            <w:gridSpan w:val="2"/>
          </w:tcPr>
          <w:p>
            <w:pPr>
              <w:ind w:left="220"/>
              <w:spacing w:after="0"/>
              <w:rPr>
                <w:sz w:val="20"/>
                <w:szCs w:val="20"/>
                <w:color w:val="auto"/>
              </w:rPr>
            </w:pPr>
            <w:r>
              <w:rPr>
                <w:rFonts w:ascii="Arial" w:cs="Arial" w:eastAsia="Arial" w:hAnsi="Arial"/>
                <w:sz w:val="18"/>
                <w:szCs w:val="18"/>
                <w:color w:val="auto"/>
              </w:rPr>
              <w:t>Total lease cost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r>
      <w:tr>
        <w:trPr>
          <w:trHeight w:val="20"/>
        </w:trPr>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99"/>
        <w:spacing w:after="0" w:line="258" w:lineRule="auto"/>
        <w:rPr>
          <w:sz w:val="20"/>
          <w:szCs w:val="20"/>
          <w:color w:val="auto"/>
        </w:rPr>
      </w:pPr>
      <w:r>
        <w:rPr>
          <w:rFonts w:ascii="Arial" w:cs="Arial" w:eastAsia="Arial" w:hAnsi="Arial"/>
          <w:sz w:val="18"/>
          <w:szCs w:val="18"/>
          <w:i w:val="1"/>
          <w:iCs w:val="1"/>
          <w:color w:val="auto"/>
        </w:rPr>
        <w:t xml:space="preserve">Other Lease Information: </w:t>
      </w:r>
      <w:r>
        <w:rPr>
          <w:rFonts w:ascii="Arial" w:cs="Arial" w:eastAsia="Arial" w:hAnsi="Arial"/>
          <w:sz w:val="18"/>
          <w:szCs w:val="18"/>
          <w:color w:val="auto"/>
        </w:rPr>
        <w:t>Other information related to the Company’s operating leases for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2019 are as follows:</w:t>
      </w:r>
    </w:p>
    <w:p>
      <w:pPr>
        <w:ind w:left="7400"/>
        <w:spacing w:after="0" w:line="233" w:lineRule="auto"/>
        <w:rPr>
          <w:sz w:val="20"/>
          <w:szCs w:val="20"/>
          <w:color w:val="auto"/>
        </w:rPr>
      </w:pPr>
      <w:r>
        <w:rPr>
          <w:rFonts w:ascii="Arial" w:cs="Arial" w:eastAsia="Arial" w:hAnsi="Arial"/>
          <w:sz w:val="14"/>
          <w:szCs w:val="14"/>
          <w:b w:val="1"/>
          <w:bCs w:val="1"/>
          <w:color w:val="auto"/>
        </w:rPr>
        <w:t>Years Ended</w:t>
      </w:r>
    </w:p>
    <w:p>
      <w:pPr>
        <w:ind w:left="7360"/>
        <w:spacing w:after="0" w:line="231"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5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6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operating lease liabilities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30"/>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Right of use assets obtained in the exchange for new operating lease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70.1</w:t>
            </w: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364"/>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4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operating lease term</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years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years</w:t>
            </w:r>
          </w:p>
        </w:tc>
      </w:tr>
      <w:tr>
        <w:trPr>
          <w:trHeight w:val="230"/>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Weighted average incremental borrowing rate</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Maturities of operating lease liabilities at December 31, 2020 are as follows: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(in millions)</w:t>
            </w:r>
          </w:p>
        </w:tc>
        <w:tc>
          <w:tcPr>
            <w:tcW w:w="280" w:type="dxa"/>
            <w:vAlign w:val="bottom"/>
          </w:tcPr>
          <w:p>
            <w:pPr>
              <w:spacing w:after="0"/>
              <w:rPr>
                <w:sz w:val="14"/>
                <w:szCs w:val="14"/>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680" w:type="dxa"/>
            <w:vAlign w:val="bottom"/>
            <w:gridSpan w:val="2"/>
            <w:vMerge w:val="continue"/>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10"/>
        </w:trPr>
        <w:tc>
          <w:tcPr>
            <w:tcW w:w="74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7440" w:type="dxa"/>
            <w:vAlign w:val="bottom"/>
          </w:tcPr>
          <w:p>
            <w:pPr>
              <w:ind w:left="1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7440" w:type="dxa"/>
            <w:vAlign w:val="bottom"/>
          </w:tcPr>
          <w:p>
            <w:pPr>
              <w:ind w:left="1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9"/>
        </w:trPr>
        <w:tc>
          <w:tcPr>
            <w:tcW w:w="7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Less: Interest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9"/>
        </w:trPr>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Present value of operating lease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Less: Short-term portion</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09"/>
        </w:trPr>
        <w:tc>
          <w:tcPr>
            <w:tcW w:w="7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i w:val="1"/>
          <w:iCs w:val="1"/>
          <w:color w:val="auto"/>
        </w:rPr>
        <w:t xml:space="preserve">Sale and Leaseback of Equipment: </w:t>
      </w:r>
      <w:r>
        <w:rPr>
          <w:rFonts w:ascii="Arial" w:cs="Arial" w:eastAsia="Arial" w:hAnsi="Arial"/>
          <w:sz w:val="17"/>
          <w:szCs w:val="17"/>
          <w:color w:val="auto"/>
        </w:rPr>
        <w:t>On March 25, 2020, the Company entered into an agreement for the sale and leaseback</w:t>
      </w:r>
      <w:r>
        <w:rPr>
          <w:rFonts w:ascii="Arial" w:cs="Arial" w:eastAsia="Arial" w:hAnsi="Arial"/>
          <w:sz w:val="17"/>
          <w:szCs w:val="17"/>
          <w:i w:val="1"/>
          <w:iCs w:val="1"/>
          <w:color w:val="auto"/>
        </w:rPr>
        <w:t xml:space="preserve"> </w:t>
      </w:r>
      <w:r>
        <w:rPr>
          <w:rFonts w:ascii="Arial" w:cs="Arial" w:eastAsia="Arial" w:hAnsi="Arial"/>
          <w:sz w:val="17"/>
          <w:szCs w:val="17"/>
          <w:color w:val="auto"/>
        </w:rPr>
        <w:t>of multiple tranches of chassis and container equipment. The net proceeds from the sales were $14.3 million, and the gain on the disposal of the equipment was not material to the Company’s Consolidated Financial Statements. The Company subsequently leased back the equipment under a five-year operating lease agreement, and the obligations under the lease are included in the maturities of operating lease liabilities table above.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Vessel Charter and Buyer-Lessor Guaranty</w:t>
      </w:r>
    </w:p>
    <w:p>
      <w:pPr>
        <w:spacing w:after="0" w:line="225"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i w:val="1"/>
          <w:iCs w:val="1"/>
          <w:color w:val="auto"/>
        </w:rPr>
        <w:t xml:space="preserve">Vessel Charter: </w:t>
      </w:r>
      <w:r>
        <w:rPr>
          <w:rFonts w:ascii="Arial" w:cs="Arial" w:eastAsia="Arial" w:hAnsi="Arial"/>
          <w:sz w:val="17"/>
          <w:szCs w:val="17"/>
          <w:color w:val="auto"/>
        </w:rPr>
        <w:t>On November 26, 2018, a wholly-owned subsidiary of the Company entered into agreements whereby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vessel, </w:t>
      </w:r>
      <w:r>
        <w:rPr>
          <w:rFonts w:ascii="Arial" w:cs="Arial" w:eastAsia="Arial" w:hAnsi="Arial"/>
          <w:sz w:val="17"/>
          <w:szCs w:val="17"/>
          <w:i w:val="1"/>
          <w:iCs w:val="1"/>
          <w:color w:val="auto"/>
        </w:rPr>
        <w:t>Maunalei</w:t>
      </w:r>
      <w:r>
        <w:rPr>
          <w:rFonts w:ascii="Arial" w:cs="Arial" w:eastAsia="Arial" w:hAnsi="Arial"/>
          <w:sz w:val="17"/>
          <w:szCs w:val="17"/>
          <w:color w:val="auto"/>
        </w:rPr>
        <w:t xml:space="preserve">, owned by the subsidiary, was sold for $106.0 million and subsequently leased back from the buyer-lessor under a Bareboat Charter Agreement (the “Charter”). The transaction qualified for sale and leaseback treatment under ASC 840, </w:t>
      </w:r>
      <w:r>
        <w:rPr>
          <w:rFonts w:ascii="Arial" w:cs="Arial" w:eastAsia="Arial" w:hAnsi="Arial"/>
          <w:sz w:val="17"/>
          <w:szCs w:val="17"/>
          <w:i w:val="1"/>
          <w:iCs w:val="1"/>
          <w:color w:val="auto"/>
        </w:rPr>
        <w:t>Leases</w:t>
      </w:r>
      <w:r>
        <w:rPr>
          <w:rFonts w:ascii="Arial" w:cs="Arial" w:eastAsia="Arial" w:hAnsi="Arial"/>
          <w:sz w:val="17"/>
          <w:szCs w:val="17"/>
          <w:color w:val="auto"/>
        </w:rPr>
        <w:t>, with the Charter treated as an operating lease for accounting purposes. Lease payments are approximately $3.0 million per quarter, and the base term of the Charter is five years with a two year end-of-term renewal option. Total future minimum lease payments were $36.0 million at December 31, 2020, and the obligations under the lease are included in the maturities of operating lease liabilities table above.</w:t>
      </w:r>
    </w:p>
    <w:p>
      <w:pPr>
        <w:spacing w:after="0" w:line="177"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Prior to the expiration of the base term of the Charter, the subsidiary may, at its option, elect to: (i) purchase the vessel at the option price; (ii) exercise the option to renew the Charter for an additional two years; or (iii) remarket the vessel to sell to a third-party on behalf of the buyer-lessor. The purchase option price is $68.9 million after the base term and $58.3 million after the extended term. The Charter also includes a maximum residual value guarantee amount of $50.9 million after five years, or $47.7 million after the extended term. Proceeds from the sale of the vessel reduces the subsidiary’s residual value guarantee.</w:t>
      </w:r>
    </w:p>
    <w:p>
      <w:pPr>
        <w:spacing w:after="0" w:line="192"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i w:val="1"/>
          <w:iCs w:val="1"/>
          <w:color w:val="auto"/>
        </w:rPr>
        <w:t xml:space="preserve">Buyer-Lessor Guaranty: </w:t>
      </w:r>
      <w:r>
        <w:rPr>
          <w:rFonts w:ascii="Arial" w:cs="Arial" w:eastAsia="Arial" w:hAnsi="Arial"/>
          <w:sz w:val="18"/>
          <w:szCs w:val="18"/>
          <w:color w:val="auto"/>
        </w:rPr>
        <w:t>Matson, Inc. provided the buyer-lessor with a guaranty of all obligations of the wholly-owned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related to the Charter as defined in the guaranty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On December 22, 2017, the Tax Cuts and Jobs Act (“Tax Act”) was signed into law and included numerous</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existing tax law, including a reduction in the federal corporate income tax rate from 35 percent to 21 percent. The rate reduction and other changes took effect on January 1, 2018. Other changes such as remeasurement of deferred tax assets and liabilities were effective as of the fourth quarter of 2017.</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taxes for the years ended December 31, 2020, 2019 and 2018 consisted of the following:</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8"/>
          </w:tcPr>
          <w:p>
            <w:pPr>
              <w:ind w:left="2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1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00"/>
              <w:spacing w:after="0"/>
              <w:rPr>
                <w:sz w:val="20"/>
                <w:szCs w:val="20"/>
                <w:color w:val="auto"/>
              </w:rPr>
            </w:pPr>
            <w:r>
              <w:rPr>
                <w:rFonts w:ascii="Arial" w:cs="Arial" w:eastAsia="Arial" w:hAnsi="Arial"/>
                <w:sz w:val="18"/>
                <w:szCs w:val="18"/>
                <w:color w:val="auto"/>
              </w:rPr>
              <w:t>Federal</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0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Discrete adjustments related to the Tax Act (1)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Deferred tax expense</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income taxes</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539" w:hanging="330"/>
        <w:spacing w:after="0" w:line="335" w:lineRule="auto"/>
        <w:tabs>
          <w:tab w:leader="none" w:pos="3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Current income taxes for the years ended December 31, 2019 and 2018 include a non-cash income tax benefit of $2.9 million and a non-cash income tax expense of $2.9 million, respectively, which relates to discrete adjustments as a result of applying the provisions of the Tax Act.</w:t>
      </w:r>
    </w:p>
    <w:p>
      <w:pPr>
        <w:spacing w:after="0" w:line="132" w:lineRule="exact"/>
        <w:rPr>
          <w:sz w:val="20"/>
          <w:szCs w:val="20"/>
          <w:color w:val="auto"/>
        </w:rPr>
      </w:pPr>
    </w:p>
    <w:p>
      <w:pPr>
        <w:ind w:left="60" w:right="559"/>
        <w:spacing w:after="0" w:line="258" w:lineRule="auto"/>
        <w:rPr>
          <w:sz w:val="20"/>
          <w:szCs w:val="20"/>
          <w:color w:val="auto"/>
        </w:rPr>
      </w:pPr>
      <w:r>
        <w:rPr>
          <w:rFonts w:ascii="Arial" w:cs="Arial" w:eastAsia="Arial" w:hAnsi="Arial"/>
          <w:sz w:val="18"/>
          <w:szCs w:val="18"/>
          <w:color w:val="auto"/>
        </w:rPr>
        <w:t>Income taxes for the years ended December 31, 2020, 2019 and 2018 differ from amounts computed by applying the statutory federal rate to income before income taxes for the following reasons: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6"/>
          </w:tcPr>
          <w:p>
            <w:pPr>
              <w:jc w:val="right"/>
              <w:ind w:right="350"/>
              <w:spacing w:after="0"/>
              <w:rPr>
                <w:sz w:val="20"/>
                <w:szCs w:val="20"/>
                <w:color w:val="auto"/>
              </w:rPr>
            </w:pPr>
            <w:r>
              <w:rPr>
                <w:rFonts w:ascii="Arial" w:cs="Arial" w:eastAsia="Arial" w:hAnsi="Arial"/>
                <w:sz w:val="14"/>
                <w:szCs w:val="14"/>
                <w:color w:val="auto"/>
              </w:rPr>
              <w:t>Years Ended December 31,</w:t>
            </w:r>
          </w:p>
        </w:tc>
      </w:tr>
      <w:tr>
        <w:trPr>
          <w:trHeight w:val="142"/>
        </w:trPr>
        <w:tc>
          <w:tcPr>
            <w:tcW w:w="20" w:type="dxa"/>
            <w:vAlign w:val="bottom"/>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42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federal income tax expense</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State income tax</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3.5 %</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4.1 %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3.4 %</w:t>
            </w: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Foreign taxes</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0.6 %</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1.2 %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0.6 %</w:t>
            </w: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Remeasurement and discrete adjustments related to the Tax Act (1)</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16"/>
        </w:trPr>
        <w:tc>
          <w:tcPr>
            <w:tcW w:w="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Share-based payments</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(0.5)%</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(0.1)%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0.1 %</w:t>
            </w: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 net</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1.0 %</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09"/>
        </w:trPr>
        <w:tc>
          <w:tcPr>
            <w:tcW w:w="20" w:type="dxa"/>
            <w:vAlign w:val="bottom"/>
          </w:tcPr>
          <w:p>
            <w:pPr>
              <w:spacing w:after="0"/>
              <w:rPr>
                <w:sz w:val="18"/>
                <w:szCs w:val="18"/>
                <w:color w:val="auto"/>
              </w:rPr>
            </w:pPr>
          </w:p>
        </w:tc>
        <w:tc>
          <w:tcPr>
            <w:tcW w:w="6680" w:type="dxa"/>
            <w:vAlign w:val="bottom"/>
            <w:gridSpan w:val="3"/>
          </w:tcPr>
          <w:p>
            <w:pPr>
              <w:ind w:left="100"/>
              <w:spacing w:after="0"/>
              <w:rPr>
                <w:sz w:val="20"/>
                <w:szCs w:val="20"/>
                <w:color w:val="auto"/>
              </w:rPr>
            </w:pPr>
            <w:r>
              <w:rPr>
                <w:rFonts w:ascii="Arial" w:cs="Arial" w:eastAsia="Arial" w:hAnsi="Arial"/>
                <w:sz w:val="18"/>
                <w:szCs w:val="18"/>
                <w:color w:val="auto"/>
              </w:rPr>
              <w:t>Effective income tax rate</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62" w:lineRule="exact"/>
        <w:rPr>
          <w:sz w:val="20"/>
          <w:szCs w:val="20"/>
          <w:color w:val="auto"/>
        </w:rPr>
      </w:pPr>
    </w:p>
    <w:p>
      <w:pPr>
        <w:jc w:val="both"/>
        <w:ind w:left="380" w:right="139" w:hanging="330"/>
        <w:spacing w:after="0" w:line="238" w:lineRule="auto"/>
        <w:tabs>
          <w:tab w:leader="none" w:pos="3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Effective income tax rate for the years ended December 31, 2019 and 2018 includes the impact of a non-cash income tax benefit of $2.9 million, or 2.7 percent, and a non-cash income tax expense of $2.9 million, or 2.0 percent, respectively, which related to certain discrete adjustments as a result of applying the provisions of the Tax Act.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58" w:lineRule="auto"/>
        <w:rPr>
          <w:sz w:val="20"/>
          <w:szCs w:val="20"/>
          <w:color w:val="auto"/>
        </w:rPr>
      </w:pPr>
      <w:r>
        <w:rPr>
          <w:rFonts w:ascii="Arial" w:cs="Arial" w:eastAsia="Arial" w:hAnsi="Arial"/>
          <w:sz w:val="18"/>
          <w:szCs w:val="18"/>
          <w:color w:val="auto"/>
        </w:rPr>
        <w:t>The tax effects of temporary differences that gave rise to significant portions of the deferred tax assets and deferred tax liabilities at December 31, 2020 and 2019, were as follows: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ind w:left="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63.5</w:t>
            </w:r>
          </w:p>
        </w:tc>
        <w:tc>
          <w:tcPr>
            <w:tcW w:w="220" w:type="dxa"/>
            <w:vAlign w:val="bottom"/>
          </w:tcPr>
          <w:p>
            <w:pPr>
              <w:spacing w:after="0"/>
              <w:rPr>
                <w:sz w:val="18"/>
                <w:szCs w:val="18"/>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Pension and post-retirement plans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Multi-employer withdrawal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net operating losses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State net operating losses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State alternative minimum tax credits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Insurance reserves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deferred tax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Valuation allowance</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deferred tax assets, net of valuation allowance</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Basis differences for property and equipment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372.4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right of use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Intangibles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 financing</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Capital Construction Fund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SSAT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deferred tax liabilities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gridSpan w:val="2"/>
          </w:tcPr>
          <w:p>
            <w:pPr>
              <w:spacing w:after="0"/>
              <w:rPr>
                <w:sz w:val="20"/>
                <w:szCs w:val="20"/>
                <w:color w:val="auto"/>
              </w:rPr>
            </w:pPr>
            <w:r>
              <w:rPr>
                <w:rFonts w:ascii="Arial" w:cs="Arial" w:eastAsia="Arial" w:hAnsi="Arial"/>
                <w:sz w:val="18"/>
                <w:szCs w:val="18"/>
                <w:color w:val="auto"/>
              </w:rPr>
              <w:t>Deferred tax liability, net</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i w:val="1"/>
          <w:iCs w:val="1"/>
          <w:color w:val="auto"/>
        </w:rPr>
        <w:t xml:space="preserve">Valuation Allowance: </w:t>
      </w:r>
      <w:r>
        <w:rPr>
          <w:rFonts w:ascii="Arial" w:cs="Arial" w:eastAsia="Arial" w:hAnsi="Arial"/>
          <w:sz w:val="17"/>
          <w:szCs w:val="17"/>
          <w:color w:val="auto"/>
        </w:rPr>
        <w:t>Valuation allowances recorded against the Company’s foreign income tax net operating losses</w:t>
      </w:r>
      <w:r>
        <w:rPr>
          <w:rFonts w:ascii="Arial" w:cs="Arial" w:eastAsia="Arial" w:hAnsi="Arial"/>
          <w:sz w:val="17"/>
          <w:szCs w:val="17"/>
          <w:i w:val="1"/>
          <w:iCs w:val="1"/>
          <w:color w:val="auto"/>
        </w:rPr>
        <w:t xml:space="preserve"> </w:t>
      </w:r>
      <w:r>
        <w:rPr>
          <w:rFonts w:ascii="Arial" w:cs="Arial" w:eastAsia="Arial" w:hAnsi="Arial"/>
          <w:sz w:val="17"/>
          <w:szCs w:val="17"/>
          <w:color w:val="auto"/>
        </w:rPr>
        <w:t>(“NOLs”) and a portion of the state income tax NOLs were $10.0 million and $10.6 million as of December 31, 2020 and 2019, respectively. The Company believes that it is more likely than not that the benefit from these amounts will not be realized. The Company recorded a decrease (increase) to its valuation allowance of $0.6 million, $0.9 million and ($1.1) million during the years ended December 31, 2020, 2019 and 2018, respectively.</w:t>
      </w:r>
    </w:p>
    <w:p>
      <w:pPr>
        <w:spacing w:after="0" w:line="1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i w:val="1"/>
          <w:iCs w:val="1"/>
          <w:color w:val="auto"/>
        </w:rPr>
        <w:t xml:space="preserve">Net Operating Losses and Tax Credit Carryforwards: </w:t>
      </w:r>
      <w:r>
        <w:rPr>
          <w:rFonts w:ascii="Arial" w:cs="Arial" w:eastAsia="Arial" w:hAnsi="Arial"/>
          <w:sz w:val="18"/>
          <w:szCs w:val="18"/>
          <w:color w:val="auto"/>
        </w:rPr>
        <w:t>The Company’s NOLs and tax credit carryforwards at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2019 were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7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940" w:type="dxa"/>
            <w:vAlign w:val="bottom"/>
            <w:gridSpan w:val="2"/>
          </w:tcPr>
          <w:p>
            <w:pPr>
              <w:ind w:left="100"/>
              <w:spacing w:after="0"/>
              <w:rPr>
                <w:sz w:val="20"/>
                <w:szCs w:val="20"/>
                <w:color w:val="auto"/>
              </w:rPr>
            </w:pPr>
            <w:r>
              <w:rPr>
                <w:rFonts w:ascii="Arial" w:cs="Arial" w:eastAsia="Arial" w:hAnsi="Arial"/>
                <w:sz w:val="14"/>
                <w:szCs w:val="14"/>
                <w:b w:val="1"/>
                <w:bCs w:val="1"/>
                <w:color w:val="auto"/>
              </w:rPr>
              <w:t>Expiration Date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2019</w:t>
            </w: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Federal income tax NOLs</w:t>
            </w:r>
          </w:p>
        </w:tc>
        <w:tc>
          <w:tcPr>
            <w:tcW w:w="1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Various dates beginning in 2027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U.S. State income tax NOLs (1)</w:t>
            </w:r>
          </w:p>
        </w:tc>
        <w:tc>
          <w:tcPr>
            <w:tcW w:w="2940" w:type="dxa"/>
            <w:vAlign w:val="bottom"/>
            <w:gridSpan w:val="2"/>
          </w:tcPr>
          <w:p>
            <w:pPr>
              <w:ind w:left="100"/>
              <w:spacing w:after="0"/>
              <w:rPr>
                <w:sz w:val="20"/>
                <w:szCs w:val="20"/>
                <w:color w:val="auto"/>
              </w:rPr>
            </w:pPr>
            <w:r>
              <w:rPr>
                <w:rFonts w:ascii="Arial" w:cs="Arial" w:eastAsia="Arial" w:hAnsi="Arial"/>
                <w:sz w:val="18"/>
                <w:szCs w:val="18"/>
                <w:color w:val="auto"/>
              </w:rPr>
              <w:t>Various dates beginning in 2032</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185.9</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184.5</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U.S. State alternative minimum tax credit</w:t>
            </w: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 expiration date</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Foreign income tax NOLs</w:t>
            </w:r>
          </w:p>
        </w:tc>
        <w:tc>
          <w:tcPr>
            <w:tcW w:w="2940" w:type="dxa"/>
            <w:vAlign w:val="bottom"/>
            <w:gridSpan w:val="2"/>
          </w:tcPr>
          <w:p>
            <w:pPr>
              <w:ind w:left="100"/>
              <w:spacing w:after="0"/>
              <w:rPr>
                <w:sz w:val="20"/>
                <w:szCs w:val="20"/>
                <w:color w:val="auto"/>
              </w:rPr>
            </w:pPr>
            <w:r>
              <w:rPr>
                <w:rFonts w:ascii="Arial" w:cs="Arial" w:eastAsia="Arial" w:hAnsi="Arial"/>
                <w:sz w:val="18"/>
                <w:szCs w:val="18"/>
                <w:color w:val="auto"/>
              </w:rPr>
              <w:t>No expiration date</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3" w:lineRule="exact"/>
        <w:rPr>
          <w:sz w:val="20"/>
          <w:szCs w:val="20"/>
          <w:color w:val="auto"/>
        </w:rPr>
      </w:pPr>
    </w:p>
    <w:p>
      <w:pPr>
        <w:ind w:left="380" w:right="79" w:hanging="330"/>
        <w:spacing w:after="0" w:line="253" w:lineRule="auto"/>
        <w:tabs>
          <w:tab w:leader="none" w:pos="3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Company does not expect to benefit from $157.9 million and $157.9 million of U.S. State income tax NOLs as of December 31, 2020 and 2019, respectively.</w:t>
      </w:r>
    </w:p>
    <w:p>
      <w:pPr>
        <w:spacing w:after="0" w:line="178"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The U.S. federal and state income tax NOLs in the Company’s filed income tax returns include unrecognized tax benefits. The deferred tax assets recognized for those NOLs are presented net of these unrecognized tax benefits. As a result of changes in tax legislation, the use of a portion of the Company’s domestic NOL and tax credit carryforwards may be limited in future periods. Further, a portion of the federal and state income tax NOLs and tax credit carryforwards may expire before being applied to reduce future income tax liabilities.</w:t>
      </w:r>
    </w:p>
    <w:p>
      <w:pPr>
        <w:spacing w:after="0" w:line="188" w:lineRule="exact"/>
        <w:rPr>
          <w:sz w:val="20"/>
          <w:szCs w:val="20"/>
          <w:color w:val="auto"/>
        </w:rPr>
      </w:pPr>
    </w:p>
    <w:p>
      <w:pPr>
        <w:ind w:left="60" w:right="279"/>
        <w:spacing w:after="0" w:line="342" w:lineRule="auto"/>
        <w:rPr>
          <w:sz w:val="20"/>
          <w:szCs w:val="20"/>
          <w:color w:val="auto"/>
        </w:rPr>
      </w:pPr>
      <w:r>
        <w:rPr>
          <w:rFonts w:ascii="Arial" w:cs="Arial" w:eastAsia="Arial" w:hAnsi="Arial"/>
          <w:sz w:val="16"/>
          <w:szCs w:val="16"/>
          <w:i w:val="1"/>
          <w:iCs w:val="1"/>
          <w:color w:val="auto"/>
        </w:rPr>
        <w:t xml:space="preserve">Unrecognized Tax Benefits: </w:t>
      </w:r>
      <w:r>
        <w:rPr>
          <w:rFonts w:ascii="Arial" w:cs="Arial" w:eastAsia="Arial" w:hAnsi="Arial"/>
          <w:sz w:val="16"/>
          <w:szCs w:val="16"/>
          <w:color w:val="auto"/>
        </w:rPr>
        <w:t>Total unrecognized benefits represent the amount that, if recognized, would favorably affect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incomes taxes and effective tax rate in future periods. The Company does not expect a material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change in gross unrecognized benefits in the next twelve months. A reconciliation of the beginning and ending amount of gross unrecognized tax benefits is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140" w:type="dxa"/>
            <w:vAlign w:val="bottom"/>
            <w:gridSpan w:val="2"/>
          </w:tcPr>
          <w:p>
            <w:pPr>
              <w:spacing w:after="0"/>
              <w:rPr>
                <w:sz w:val="20"/>
                <w:szCs w:val="20"/>
                <w:color w:val="auto"/>
              </w:rPr>
            </w:pPr>
            <w:r>
              <w:rPr>
                <w:rFonts w:ascii="Arial" w:cs="Arial" w:eastAsia="Arial" w:hAnsi="Arial"/>
                <w:sz w:val="14"/>
                <w:szCs w:val="14"/>
                <w:b w:val="1"/>
                <w:bCs w:val="1"/>
                <w:color w:val="auto"/>
              </w:rPr>
              <w:t>Unrecognized Tax Benefits (in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r>
      <w:tr>
        <w:trPr>
          <w:trHeight w:val="209"/>
        </w:trPr>
        <w:tc>
          <w:tcPr>
            <w:tcW w:w="7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140" w:type="dxa"/>
            <w:vAlign w:val="bottom"/>
            <w:gridSpan w:val="2"/>
          </w:tcPr>
          <w:p>
            <w:pPr>
              <w:ind w:left="220"/>
              <w:spacing w:after="0"/>
              <w:rPr>
                <w:sz w:val="20"/>
                <w:szCs w:val="20"/>
                <w:color w:val="auto"/>
              </w:rPr>
            </w:pPr>
            <w:r>
              <w:rPr>
                <w:rFonts w:ascii="Arial" w:cs="Arial" w:eastAsia="Arial" w:hAnsi="Arial"/>
                <w:sz w:val="18"/>
                <w:szCs w:val="18"/>
                <w:color w:val="auto"/>
              </w:rPr>
              <w:t>Changes in tax positions of prior years,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Reductions for lapse of statute of limitations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r>
      <w:tr>
        <w:trPr>
          <w:trHeight w:val="210"/>
        </w:trPr>
        <w:tc>
          <w:tcPr>
            <w:tcW w:w="8140" w:type="dxa"/>
            <w:vAlign w:val="bottom"/>
            <w:gridSpan w:val="2"/>
          </w:tcPr>
          <w:p>
            <w:pPr>
              <w:spacing w:after="0"/>
              <w:rPr>
                <w:sz w:val="20"/>
                <w:szCs w:val="20"/>
                <w:color w:val="auto"/>
              </w:rPr>
            </w:pPr>
            <w:r>
              <w:rPr>
                <w:rFonts w:ascii="Arial" w:cs="Arial" w:eastAsia="Arial" w:hAnsi="Arial"/>
                <w:sz w:val="18"/>
                <w:szCs w:val="18"/>
                <w:color w:val="auto"/>
              </w:rPr>
              <w:t>Balance at December 31, 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Changes in tax positions of prior years,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16"/>
        </w:trPr>
        <w:tc>
          <w:tcPr>
            <w:tcW w:w="81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Reductions for lapse of statute of limitations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60" w:type="dxa"/>
            <w:vAlign w:val="bottom"/>
            <w:tcBorders>
              <w:bottom w:val="single" w:sz="8" w:color="CCEEFF"/>
            </w:tcBorders>
          </w:tcPr>
          <w:p>
            <w:pPr>
              <w:spacing w:after="0"/>
              <w:rPr>
                <w:sz w:val="18"/>
                <w:szCs w:val="18"/>
                <w:color w:val="auto"/>
              </w:rPr>
            </w:pPr>
          </w:p>
        </w:tc>
      </w:tr>
      <w:tr>
        <w:trPr>
          <w:trHeight w:val="209"/>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8"/>
                <w:szCs w:val="18"/>
                <w:color w:val="auto"/>
              </w:rPr>
            </w:pPr>
          </w:p>
        </w:tc>
      </w:tr>
      <w:tr>
        <w:trPr>
          <w:trHeight w:val="216"/>
        </w:trPr>
        <w:tc>
          <w:tcPr>
            <w:tcW w:w="8140" w:type="dxa"/>
            <w:vAlign w:val="bottom"/>
            <w:gridSpan w:val="2"/>
          </w:tcPr>
          <w:p>
            <w:pPr>
              <w:ind w:left="220"/>
              <w:spacing w:after="0"/>
              <w:rPr>
                <w:sz w:val="20"/>
                <w:szCs w:val="20"/>
                <w:color w:val="auto"/>
              </w:rPr>
            </w:pPr>
            <w:r>
              <w:rPr>
                <w:rFonts w:ascii="Arial" w:cs="Arial" w:eastAsia="Arial" w:hAnsi="Arial"/>
                <w:sz w:val="18"/>
                <w:szCs w:val="18"/>
                <w:color w:val="auto"/>
              </w:rPr>
              <w:t>Changes in tax positions of prior years,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Reductions for lapse of statute of limitations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r>
      <w:tr>
        <w:trPr>
          <w:trHeight w:val="209"/>
        </w:trPr>
        <w:tc>
          <w:tcPr>
            <w:tcW w:w="8140" w:type="dxa"/>
            <w:vAlign w:val="bottom"/>
            <w:gridSpan w:val="2"/>
          </w:tcPr>
          <w:p>
            <w:pPr>
              <w:spacing w:after="0"/>
              <w:rPr>
                <w:sz w:val="20"/>
                <w:szCs w:val="20"/>
                <w:color w:val="auto"/>
              </w:rPr>
            </w:pPr>
            <w:r>
              <w:rPr>
                <w:rFonts w:ascii="Arial" w:cs="Arial" w:eastAsia="Arial" w:hAnsi="Arial"/>
                <w:sz w:val="18"/>
                <w:szCs w:val="18"/>
                <w:color w:val="auto"/>
              </w:rPr>
              <w:t>Balance at December 31, 2020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Included in the balance of unrecognized tax benefits at December 31, 2020 are potential benefits of $18.3 million that, if recognized, would affect the Company’s income taxes and effective tax rate. The Company recognizes potential accrued interest and penalties related to unrecognized tax benefits in income taxes. To the extent interest and penalties are not ultimately assessed with respect to the settlement of uncertain tax positions, amounts accrued will be reduced and reflected as a reduction of the Company’s income taxes. Interest accrued related to the balance of unrecognized tax benefits totaled $0.1 million as of December 31, 2020 and 2019.</w:t>
      </w:r>
    </w:p>
    <w:p>
      <w:pPr>
        <w:spacing w:after="0" w:line="178"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The Company is no longer subject to U.S. federal income tax audits for years before 2015. The Company is routinely involved in federal, state, local income and excise tax audits, and foreign tax audits.</w:t>
      </w:r>
    </w:p>
    <w:p>
      <w:pPr>
        <w:spacing w:after="0" w:line="382" w:lineRule="exact"/>
        <w:rPr>
          <w:sz w:val="20"/>
          <w:szCs w:val="20"/>
          <w:color w:val="auto"/>
        </w:rPr>
      </w:pPr>
    </w:p>
    <w:p>
      <w:pPr>
        <w:ind w:left="700" w:hanging="650"/>
        <w:spacing w:after="0"/>
        <w:tabs>
          <w:tab w:leader="none" w:pos="7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Non-bargaining Plans:</w:t>
      </w:r>
    </w:p>
    <w:p>
      <w:pPr>
        <w:spacing w:after="0" w:line="225"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The Company has two funded qualified single-employer defined benefit pension plans that cover certain non-bargaining unit employees and bargaining unit employees. In addition, the Company has plans that provide certain retiree health care and life insurance benefits to substantially all salaried, non-bargaining employees hired before 2008 and to certain bargaining unit employees. Employees are generally eligible for such benefits upon retirement and completion of a specified number of years of service. The Company does not pre-fund these health care and life insurance benefits, and has the right to modify or terminate certain of these plans in the future. Most non-bargaining retirees pay a portion of the benefit costs.</w:t>
      </w:r>
    </w:p>
    <w:p>
      <w:pPr>
        <w:spacing w:after="0" w:line="195"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i w:val="1"/>
          <w:iCs w:val="1"/>
          <w:color w:val="auto"/>
        </w:rPr>
        <w:t xml:space="preserve">Plan Administration, Investments and Asset Allocations: </w:t>
      </w:r>
      <w:r>
        <w:rPr>
          <w:rFonts w:ascii="Arial" w:cs="Arial" w:eastAsia="Arial" w:hAnsi="Arial"/>
          <w:sz w:val="16"/>
          <w:szCs w:val="16"/>
          <w:color w:val="auto"/>
        </w:rPr>
        <w:t>The Company has a Benefits Investment Committee that meets</w:t>
      </w:r>
      <w:r>
        <w:rPr>
          <w:rFonts w:ascii="Arial" w:cs="Arial" w:eastAsia="Arial" w:hAnsi="Arial"/>
          <w:sz w:val="16"/>
          <w:szCs w:val="16"/>
          <w:i w:val="1"/>
          <w:iCs w:val="1"/>
          <w:color w:val="auto"/>
        </w:rPr>
        <w:t xml:space="preserve"> </w:t>
      </w:r>
      <w:r>
        <w:rPr>
          <w:rFonts w:ascii="Arial" w:cs="Arial" w:eastAsia="Arial" w:hAnsi="Arial"/>
          <w:sz w:val="16"/>
          <w:szCs w:val="16"/>
          <w:color w:val="auto"/>
        </w:rPr>
        <w:t>regularly with investment advisors to establish investment policies, direct investments and select investment options for the qualified plans. The Benefits Investment Committee is also responsible for appointing investment managers and monitoring their performance. The Company’s investment policy permits investments in marketable equity securities, such as domestic and foreign stocks, domestic and foreign bonds, venture capital, real estate investments, and cash equivalents. The Company’s investment policy does not permit direct investment in certain types of assets, such as options or commodities, or the use of certain strategies, such as short selling or the purchase of securities on margin.</w:t>
      </w:r>
    </w:p>
    <w:p>
      <w:pPr>
        <w:spacing w:after="0" w:line="166"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auto"/>
        </w:rPr>
        <w:t>The Company’s investment strategy for its qualified pension plan assets is to achieve a diversified mix of investments that provides for long-term growth at an acceptable level of risk, and to provide sufficient liquidity to fund ongoing benefit payments. The Company has engaged a number of investment managers to implement various investment strategies to achieve the desired asset class mix, liquidity and risk diversification objectives.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target and actual asset allocations at December 31, 2020 and 2019 were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Asset Categories</w:t>
            </w:r>
          </w:p>
        </w:tc>
        <w:tc>
          <w:tcPr>
            <w:tcW w:w="6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3"/>
              </w:rPr>
              <w:t>Target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r>
      <w:tr>
        <w:trPr>
          <w:trHeight w:val="210"/>
        </w:trPr>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Domestic equity securities</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International equity securities</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15 %</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17 %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22 %</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5 %</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5 %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and cash</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5 %</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10"/>
        </w:trPr>
        <w:tc>
          <w:tcPr>
            <w:tcW w:w="694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9"/>
        <w:spacing w:after="0" w:line="273" w:lineRule="auto"/>
        <w:rPr>
          <w:sz w:val="20"/>
          <w:szCs w:val="20"/>
          <w:color w:val="auto"/>
        </w:rPr>
      </w:pPr>
      <w:r>
        <w:rPr>
          <w:rFonts w:ascii="Arial" w:cs="Arial" w:eastAsia="Arial" w:hAnsi="Arial"/>
          <w:sz w:val="17"/>
          <w:szCs w:val="17"/>
          <w:color w:val="auto"/>
        </w:rPr>
        <w:t>The Company’s investments in equity securities primarily include domestic large-cap and mid-cap companies, but also includes an allocation to small-cap and international equity securities. Equity investments do not include any direct holdings of the Company’s stock but may include such holdings to the extent that the stock is included as part of certain mutual fund holdings. Debt securities include investment-grade and high-yield corporate bonds from diversified industries, mortgage-backed securities, and U.S. Treasuries. Other types of investments include funds that invest in commercial real estate assets. All assets within specific funds are allocated to the target asset allocation of the fund.</w:t>
      </w:r>
    </w:p>
    <w:p>
      <w:pPr>
        <w:spacing w:after="0" w:line="178" w:lineRule="exact"/>
        <w:rPr>
          <w:sz w:val="20"/>
          <w:szCs w:val="20"/>
          <w:color w:val="auto"/>
        </w:rPr>
      </w:pPr>
    </w:p>
    <w:p>
      <w:pPr>
        <w:jc w:val="both"/>
        <w:ind w:left="60" w:right="99"/>
        <w:spacing w:after="0" w:line="263" w:lineRule="auto"/>
        <w:rPr>
          <w:sz w:val="20"/>
          <w:szCs w:val="20"/>
          <w:color w:val="auto"/>
        </w:rPr>
      </w:pPr>
      <w:r>
        <w:rPr>
          <w:rFonts w:ascii="Arial" w:cs="Arial" w:eastAsia="Arial" w:hAnsi="Arial"/>
          <w:sz w:val="18"/>
          <w:szCs w:val="18"/>
          <w:color w:val="auto"/>
        </w:rPr>
        <w:t>The expected return on plan assets is principally based on the Company’s historical returns combined with the Company’s long-term future expectations regarding asset class returns, the mix of plan assets, and inflation assumptions. Actual return on plan assets for the periods presented are as follows: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720" w:type="dxa"/>
            <w:vAlign w:val="bottom"/>
            <w:gridSpan w:val="2"/>
          </w:tcPr>
          <w:p>
            <w:pPr>
              <w:ind w:left="20"/>
              <w:spacing w:after="0"/>
              <w:rPr>
                <w:sz w:val="20"/>
                <w:szCs w:val="20"/>
                <w:color w:val="auto"/>
              </w:rPr>
            </w:pPr>
            <w:r>
              <w:rPr>
                <w:rFonts w:ascii="Arial" w:cs="Arial" w:eastAsia="Arial" w:hAnsi="Arial"/>
                <w:sz w:val="14"/>
                <w:szCs w:val="14"/>
                <w:b w:val="1"/>
                <w:bCs w:val="1"/>
                <w:color w:val="auto"/>
              </w:rPr>
              <w:t>Actual Return on Plan Assets</w:t>
            </w:r>
          </w:p>
        </w:tc>
        <w:tc>
          <w:tcPr>
            <w:tcW w:w="118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Returns</w:t>
            </w:r>
          </w:p>
        </w:tc>
      </w:tr>
      <w:tr>
        <w:trPr>
          <w:trHeight w:val="210"/>
        </w:trPr>
        <w:tc>
          <w:tcPr>
            <w:tcW w:w="7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One-year return</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Three-year return</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8.7 %</w:t>
            </w:r>
          </w:p>
        </w:tc>
      </w:tr>
      <w:tr>
        <w:trPr>
          <w:trHeight w:val="216"/>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Five-year return</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9.8 %</w:t>
            </w: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Long-term average return (since plan inception in 1989)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8.5 %</w:t>
            </w:r>
          </w:p>
        </w:tc>
      </w:tr>
    </w:tbl>
    <w:p>
      <w:pPr>
        <w:spacing w:after="0" w:line="187" w:lineRule="exact"/>
        <w:rPr>
          <w:sz w:val="20"/>
          <w:szCs w:val="20"/>
          <w:color w:val="auto"/>
        </w:rPr>
      </w:pPr>
    </w:p>
    <w:p>
      <w:pPr>
        <w:jc w:val="both"/>
        <w:ind w:left="60" w:right="559"/>
        <w:spacing w:after="0" w:line="263" w:lineRule="auto"/>
        <w:rPr>
          <w:sz w:val="20"/>
          <w:szCs w:val="20"/>
          <w:color w:val="auto"/>
        </w:rPr>
      </w:pPr>
      <w:r>
        <w:rPr>
          <w:rFonts w:ascii="Arial" w:cs="Arial" w:eastAsia="Arial" w:hAnsi="Arial"/>
          <w:sz w:val="18"/>
          <w:szCs w:val="18"/>
          <w:color w:val="auto"/>
        </w:rPr>
        <w:t>The Company’s pension plan assets are held in a master trust and are stated at estimated fair values of the underlying investments. Purchases and sales of securities are recorded on a trade-date basis. Interest income is recorded on the accrual basis. Dividends are recorded on the ex-dividend date.</w:t>
      </w:r>
    </w:p>
    <w:p>
      <w:pPr>
        <w:spacing w:after="0" w:line="184"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Domestic and international common stocks are valued by obtaining quoted prices on recognized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highly liquid exchanges.</w:t>
      </w:r>
    </w:p>
    <w:p>
      <w:pPr>
        <w:spacing w:after="0" w:line="170"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i w:val="1"/>
          <w:iCs w:val="1"/>
          <w:color w:val="auto"/>
        </w:rPr>
        <w:t xml:space="preserve">Fixed Income Securities: </w:t>
      </w:r>
      <w:r>
        <w:rPr>
          <w:rFonts w:ascii="Arial" w:cs="Arial" w:eastAsia="Arial" w:hAnsi="Arial"/>
          <w:sz w:val="17"/>
          <w:szCs w:val="17"/>
          <w:color w:val="auto"/>
        </w:rPr>
        <w:t>Corporate bonds and U.S. government treasury and agency securities are valued based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price reported in the market in which the security is traded. U.S. government agency and corporate asset-backed securities may utilize models, such as a matrix pricing model, that incorporate other observable inputs when broker/dealer quotes are not available, such as cash flow, security structure, or market information.</w:t>
      </w:r>
    </w:p>
    <w:p>
      <w:pPr>
        <w:spacing w:after="0" w:line="171"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i w:val="1"/>
          <w:iCs w:val="1"/>
          <w:color w:val="auto"/>
        </w:rPr>
        <w:t xml:space="preserve">Real Estate Funds: </w:t>
      </w:r>
      <w:r>
        <w:rPr>
          <w:rFonts w:ascii="Arial" w:cs="Arial" w:eastAsia="Arial" w:hAnsi="Arial"/>
          <w:sz w:val="18"/>
          <w:szCs w:val="18"/>
          <w:color w:val="auto"/>
        </w:rPr>
        <w:t>The fair value of real estate funds is determined by the issuer based on their net asset value (“NAV”).</w:t>
      </w:r>
      <w:r>
        <w:rPr>
          <w:rFonts w:ascii="Arial" w:cs="Arial" w:eastAsia="Arial" w:hAnsi="Arial"/>
          <w:sz w:val="18"/>
          <w:szCs w:val="18"/>
          <w:i w:val="1"/>
          <w:iCs w:val="1"/>
          <w:color w:val="auto"/>
        </w:rPr>
        <w:t xml:space="preserve"> </w:t>
      </w:r>
      <w:r>
        <w:rPr>
          <w:rFonts w:ascii="Arial" w:cs="Arial" w:eastAsia="Arial" w:hAnsi="Arial"/>
          <w:sz w:val="18"/>
          <w:szCs w:val="18"/>
          <w:color w:val="auto"/>
        </w:rPr>
        <w:t>NAV is determined by dividing the fund’s net assets, as recorded in the fund’s audited financial statements, by the number of units outstanding at the valuation date. Fair value for underlying investments in real estate is determined through independent property appraisals.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fair values of the Company’s pension plan assets at December 31, 2020 and 2019 by asset category were as follows:</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20" w:type="dxa"/>
            <w:vAlign w:val="bottom"/>
            <w:gridSpan w:val="11"/>
          </w:tcPr>
          <w:p>
            <w:pPr>
              <w:ind w:left="460"/>
              <w:spacing w:after="0"/>
              <w:rPr>
                <w:sz w:val="20"/>
                <w:szCs w:val="20"/>
                <w:color w:val="auto"/>
              </w:rPr>
            </w:pPr>
            <w:r>
              <w:rPr>
                <w:rFonts w:ascii="Arial" w:cs="Arial" w:eastAsia="Arial" w:hAnsi="Arial"/>
                <w:sz w:val="14"/>
                <w:szCs w:val="14"/>
                <w:b w:val="1"/>
                <w:bCs w:val="1"/>
                <w:color w:val="auto"/>
              </w:rPr>
              <w:t>Fair Value Measurements at December 31, 2020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ind w:left="14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Significant</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3"/>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 Category (in millions)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14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46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12"/>
              <w:spacing w:after="0"/>
              <w:rPr>
                <w:sz w:val="20"/>
                <w:szCs w:val="20"/>
                <w:color w:val="auto"/>
              </w:rPr>
            </w:pPr>
            <w:r>
              <w:rPr>
                <w:rFonts w:ascii="Arial" w:cs="Arial" w:eastAsia="Arial" w:hAnsi="Arial"/>
                <w:sz w:val="14"/>
                <w:szCs w:val="14"/>
                <w:b w:val="1"/>
                <w:bCs w:val="1"/>
                <w:color w:val="auto"/>
                <w:w w:val="94"/>
              </w:rPr>
              <w:t>(Level 1)</w:t>
            </w:r>
          </w:p>
        </w:tc>
        <w:tc>
          <w:tcPr>
            <w:tcW w:w="1140" w:type="dxa"/>
            <w:vAlign w:val="bottom"/>
            <w:gridSpan w:val="3"/>
          </w:tcPr>
          <w:p>
            <w:pPr>
              <w:ind w:left="140"/>
              <w:spacing w:after="0"/>
              <w:rPr>
                <w:sz w:val="20"/>
                <w:szCs w:val="20"/>
                <w:color w:val="auto"/>
              </w:rPr>
            </w:pPr>
            <w:r>
              <w:rPr>
                <w:rFonts w:ascii="Arial" w:cs="Arial" w:eastAsia="Arial" w:hAnsi="Arial"/>
                <w:sz w:val="14"/>
                <w:szCs w:val="14"/>
                <w:b w:val="1"/>
                <w:bCs w:val="1"/>
                <w:color w:val="auto"/>
                <w:w w:val="95"/>
              </w:rPr>
              <w:t>Inputs (Level 2)</w:t>
            </w:r>
          </w:p>
        </w:tc>
        <w:tc>
          <w:tcPr>
            <w:tcW w:w="1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9"/>
              </w:rPr>
              <w:t>Inputs (Level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large-cap</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Arial" w:cs="Arial" w:eastAsia="Arial" w:hAnsi="Arial"/>
                <w:sz w:val="18"/>
                <w:szCs w:val="18"/>
                <w:color w:val="auto"/>
              </w:rPr>
              <w:t>U.S. mid- and small-cap</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International large-cap</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Fixed income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Arial" w:cs="Arial" w:eastAsia="Arial" w:hAnsi="Arial"/>
                <w:sz w:val="18"/>
                <w:szCs w:val="18"/>
                <w:color w:val="auto"/>
              </w:rPr>
              <w:t>Investment grade U.S. corporate bonds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170.9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gridSpan w:val="2"/>
            <w:vMerge w:val="restart"/>
          </w:tcPr>
          <w:p>
            <w:pPr>
              <w:ind w:left="220"/>
              <w:spacing w:after="0"/>
              <w:rPr>
                <w:sz w:val="20"/>
                <w:szCs w:val="20"/>
                <w:color w:val="auto"/>
              </w:rPr>
            </w:pPr>
            <w:r>
              <w:rPr>
                <w:rFonts w:ascii="Arial" w:cs="Arial" w:eastAsia="Arial" w:hAnsi="Arial"/>
                <w:sz w:val="18"/>
                <w:szCs w:val="18"/>
                <w:color w:val="auto"/>
              </w:rPr>
              <w:t>Investment measured at NAV (1)</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tcBorders>
              <w:bottom w:val="single" w:sz="8" w:color="CCEEFF"/>
            </w:tcBorders>
            <w:gridSpan w:val="2"/>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plan assets</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212.8</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gridSpan w:val="11"/>
          </w:tcPr>
          <w:p>
            <w:pPr>
              <w:ind w:left="460"/>
              <w:spacing w:after="0"/>
              <w:rPr>
                <w:sz w:val="20"/>
                <w:szCs w:val="20"/>
                <w:color w:val="auto"/>
              </w:rPr>
            </w:pPr>
            <w:r>
              <w:rPr>
                <w:rFonts w:ascii="Arial" w:cs="Arial" w:eastAsia="Arial" w:hAnsi="Arial"/>
                <w:sz w:val="14"/>
                <w:szCs w:val="14"/>
                <w:b w:val="1"/>
                <w:bCs w:val="1"/>
                <w:color w:val="auto"/>
              </w:rPr>
              <w:t>Fair Value Measurements at December 31,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ind w:left="14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Significant</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3"/>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 Category (in millions)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14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46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12"/>
              <w:spacing w:after="0"/>
              <w:rPr>
                <w:sz w:val="20"/>
                <w:szCs w:val="20"/>
                <w:color w:val="auto"/>
              </w:rPr>
            </w:pPr>
            <w:r>
              <w:rPr>
                <w:rFonts w:ascii="Arial" w:cs="Arial" w:eastAsia="Arial" w:hAnsi="Arial"/>
                <w:sz w:val="14"/>
                <w:szCs w:val="14"/>
                <w:b w:val="1"/>
                <w:bCs w:val="1"/>
                <w:color w:val="auto"/>
                <w:w w:val="94"/>
              </w:rPr>
              <w:t>(Level 1)</w:t>
            </w:r>
          </w:p>
        </w:tc>
        <w:tc>
          <w:tcPr>
            <w:tcW w:w="1140" w:type="dxa"/>
            <w:vAlign w:val="bottom"/>
            <w:gridSpan w:val="3"/>
          </w:tcPr>
          <w:p>
            <w:pPr>
              <w:ind w:left="140"/>
              <w:spacing w:after="0"/>
              <w:rPr>
                <w:sz w:val="20"/>
                <w:szCs w:val="20"/>
                <w:color w:val="auto"/>
              </w:rPr>
            </w:pPr>
            <w:r>
              <w:rPr>
                <w:rFonts w:ascii="Arial" w:cs="Arial" w:eastAsia="Arial" w:hAnsi="Arial"/>
                <w:sz w:val="14"/>
                <w:szCs w:val="14"/>
                <w:b w:val="1"/>
                <w:bCs w:val="1"/>
                <w:color w:val="auto"/>
                <w:w w:val="95"/>
              </w:rPr>
              <w:t>Inputs (Level 2)</w:t>
            </w:r>
          </w:p>
        </w:tc>
        <w:tc>
          <w:tcPr>
            <w:tcW w:w="1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9"/>
              </w:rPr>
              <w:t>Inputs (Level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large-cap</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Arial" w:cs="Arial" w:eastAsia="Arial" w:hAnsi="Arial"/>
                <w:sz w:val="18"/>
                <w:szCs w:val="18"/>
                <w:color w:val="auto"/>
              </w:rPr>
              <w:t>U.S. mid- and small-cap</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International large-cap</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Fixed income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Arial" w:cs="Arial" w:eastAsia="Arial" w:hAnsi="Arial"/>
                <w:sz w:val="18"/>
                <w:szCs w:val="18"/>
                <w:color w:val="auto"/>
              </w:rPr>
              <w:t>Investment grade U.S. corporate bonds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High-yield U.S. corporate bonds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62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157.3</w:t>
            </w: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Borders>
              <w:top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Investment measured at NAV (1)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52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37.5</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gridSpan w:val="3"/>
          </w:tcPr>
          <w:p>
            <w:pPr>
              <w:ind w:left="20"/>
              <w:spacing w:after="0"/>
              <w:rPr>
                <w:sz w:val="20"/>
                <w:szCs w:val="20"/>
                <w:color w:val="auto"/>
              </w:rPr>
            </w:pPr>
            <w:r>
              <w:rPr>
                <w:rFonts w:ascii="Arial" w:cs="Arial" w:eastAsia="Arial" w:hAnsi="Arial"/>
                <w:sz w:val="18"/>
                <w:szCs w:val="18"/>
                <w:color w:val="auto"/>
              </w:rPr>
              <w:t>Total plan assets</w:t>
            </w:r>
          </w:p>
        </w:tc>
        <w:tc>
          <w:tcPr>
            <w:tcW w:w="16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194.8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279" w:hanging="330"/>
        <w:spacing w:after="0" w:line="253" w:lineRule="auto"/>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Real estate funds for which fair value is measured using the NAV per share as a practical expedient are not leveled within the fair value hierarchy and are included as a reconciling item to total plan assets.</w:t>
      </w:r>
    </w:p>
    <w:p>
      <w:pPr>
        <w:spacing w:after="0" w:line="178"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Contributions to each of the qualified single-employer defined benefit pension plans are determined annually by the Company’s pension administrative committee, based upon the actuarially determined minimum required contribution under the Employee Retirement Income Security Act of 1974 (“ERISA”), as amended, the Pension Protection Act of 2006, and the maximum deductible contribution allowed for tax purposes. The Company’s funding policy is to contribute cash to its pension plans so that it meets at least the minimum contribution requirements. In 2020 and 2019, the Company contributed $9.0 million and $10.0 million, respectively, in pension contributions in these plans. There were no contributions to the plans in 2018.</w:t>
      </w:r>
    </w:p>
    <w:p>
      <w:pPr>
        <w:spacing w:after="0" w:line="195" w:lineRule="exact"/>
        <w:rPr>
          <w:sz w:val="20"/>
          <w:szCs w:val="20"/>
          <w:color w:val="auto"/>
        </w:rPr>
      </w:pPr>
    </w:p>
    <w:p>
      <w:pPr>
        <w:ind w:left="60" w:right="479"/>
        <w:spacing w:after="0" w:line="342" w:lineRule="auto"/>
        <w:rPr>
          <w:sz w:val="20"/>
          <w:szCs w:val="20"/>
          <w:color w:val="auto"/>
        </w:rPr>
      </w:pPr>
      <w:r>
        <w:rPr>
          <w:rFonts w:ascii="Arial" w:cs="Arial" w:eastAsia="Arial" w:hAnsi="Arial"/>
          <w:sz w:val="16"/>
          <w:szCs w:val="16"/>
          <w:color w:val="auto"/>
        </w:rPr>
        <w:t>The benefit formulas for employees who are members of collective bargaining units are determined according to the collective bargaining agreements, either using final average pay as the base or a flat dollar amount per year of service.</w:t>
      </w:r>
    </w:p>
    <w:p>
      <w:pPr>
        <w:spacing w:after="0" w:line="124"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Effective December 31, 2011, the Company froze benefit accruals under the final average pay formula for salaried, non-bargaining unit employees hired before January 1, 2008 and transitioned them to the same cash balance formula for employees hired on or after January 1, 2008. Retirement benefits under the cash balance formula are based on a fixed percentage of employee eligible compensation, plus interest. The plan interest credit rate will vary from year to year based on the ten-year U.S. Treasury rate.</w:t>
      </w:r>
    </w:p>
    <w:p>
      <w:pPr>
        <w:spacing w:after="0" w:line="188"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i w:val="1"/>
          <w:iCs w:val="1"/>
          <w:color w:val="auto"/>
        </w:rPr>
        <w:t xml:space="preserve">Benefit Plan Assets and Obligations: </w:t>
      </w:r>
      <w:r>
        <w:rPr>
          <w:rFonts w:ascii="Arial" w:cs="Arial" w:eastAsia="Arial" w:hAnsi="Arial"/>
          <w:sz w:val="18"/>
          <w:szCs w:val="18"/>
          <w:color w:val="auto"/>
        </w:rPr>
        <w:t>The measurement date for the Company’s benefit plan disclosures is December 31 of</w:t>
      </w:r>
      <w:r>
        <w:rPr>
          <w:rFonts w:ascii="Arial" w:cs="Arial" w:eastAsia="Arial" w:hAnsi="Arial"/>
          <w:sz w:val="18"/>
          <w:szCs w:val="18"/>
          <w:i w:val="1"/>
          <w:iCs w:val="1"/>
          <w:color w:val="auto"/>
        </w:rPr>
        <w:t xml:space="preserve"> </w:t>
      </w:r>
      <w:r>
        <w:rPr>
          <w:rFonts w:ascii="Arial" w:cs="Arial" w:eastAsia="Arial" w:hAnsi="Arial"/>
          <w:sz w:val="18"/>
          <w:szCs w:val="18"/>
          <w:color w:val="auto"/>
        </w:rPr>
        <w:t>each year.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status of the funded qualified defined benefit pension plans and the unfunded post-retirement benefit plans at</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2020 and 2019 are shown below:</w:t>
      </w:r>
    </w:p>
    <w:tbl>
      <w:tblPr>
        <w:tblLayout w:type="fixed"/>
        <w:tblInd w:w="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vMerge w:val="restart"/>
          </w:tcPr>
          <w:p>
            <w:pPr>
              <w:jc w:val="right"/>
              <w:ind w:right="70"/>
              <w:spacing w:after="0"/>
              <w:rPr>
                <w:sz w:val="20"/>
                <w:szCs w:val="20"/>
                <w:color w:val="auto"/>
              </w:rPr>
            </w:pPr>
            <w:r>
              <w:rPr>
                <w:rFonts w:ascii="Arial" w:cs="Arial" w:eastAsia="Arial" w:hAnsi="Arial"/>
                <w:sz w:val="14"/>
                <w:szCs w:val="14"/>
                <w:b w:val="1"/>
                <w:bCs w:val="1"/>
                <w:color w:val="auto"/>
              </w:rPr>
              <w:t>Pension Benefits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171"/>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34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5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$ 239.9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$ 217.4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Service cost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Arial" w:cs="Arial" w:eastAsia="Arial" w:hAnsi="Arial"/>
                <w:sz w:val="18"/>
                <w:szCs w:val="18"/>
                <w:color w:val="auto"/>
              </w:rPr>
              <w:t>Interest cost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Plan participants’ contributions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Arial" w:cs="Arial" w:eastAsia="Arial" w:hAnsi="Arial"/>
                <w:sz w:val="18"/>
                <w:szCs w:val="18"/>
                <w:color w:val="auto"/>
              </w:rPr>
              <w:t>Actuarial loss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Benefits paid, net of subsidies received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Arial" w:cs="Arial" w:eastAsia="Arial" w:hAnsi="Arial"/>
                <w:sz w:val="18"/>
                <w:szCs w:val="18"/>
                <w:color w:val="auto"/>
              </w:rPr>
              <w:t>Expenses paid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194.8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Actual return on plan assets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Arial" w:cs="Arial" w:eastAsia="Arial" w:hAnsi="Arial"/>
                <w:sz w:val="18"/>
                <w:szCs w:val="18"/>
                <w:color w:val="auto"/>
              </w:rPr>
              <w:t>Plan participants’ contributions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Employer contributions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Arial" w:cs="Arial" w:eastAsia="Arial" w:hAnsi="Arial"/>
                <w:sz w:val="18"/>
                <w:szCs w:val="18"/>
                <w:color w:val="auto"/>
              </w:rPr>
              <w:t>Benefits paid, net of subsidies received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Expenses paid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of plan assets at end of year</w:t>
            </w:r>
          </w:p>
        </w:tc>
        <w:tc>
          <w:tcPr>
            <w:tcW w:w="14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1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Funded Status and Recognized Liability</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(50.3)</w:t>
            </w:r>
          </w:p>
        </w:tc>
        <w:tc>
          <w:tcPr>
            <w:tcW w:w="1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(45.1)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Qualified pension and post-retirement benefits plans liabilities recognized in the Consolidated Balance Sheets and expenses recognized in accumulated other comprehensive income (loss) at December 31, 2020 and 2019 were as follows:</w:t>
      </w:r>
    </w:p>
    <w:tbl>
      <w:tblPr>
        <w:tblLayout w:type="fixed"/>
        <w:tblInd w:w="40" w:type="dxa"/>
        <w:tblCellMar>
          <w:top w:w="0" w:type="dxa"/>
          <w:left w:w="0" w:type="dxa"/>
          <w:bottom w:w="0" w:type="dxa"/>
          <w:right w:w="0" w:type="dxa"/>
        </w:tblCellMar>
      </w:tblPr>
      <w:tr>
        <w:trPr>
          <w:trHeight w:val="13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vMerge w:val="restart"/>
          </w:tcPr>
          <w:p>
            <w:pPr>
              <w:jc w:val="right"/>
              <w:ind w:right="320"/>
              <w:spacing w:after="0"/>
              <w:rPr>
                <w:sz w:val="20"/>
                <w:szCs w:val="20"/>
                <w:color w:val="auto"/>
              </w:rPr>
            </w:pPr>
            <w:r>
              <w:rPr>
                <w:rFonts w:ascii="Arial" w:cs="Arial" w:eastAsia="Arial" w:hAnsi="Arial"/>
                <w:sz w:val="14"/>
                <w:szCs w:val="14"/>
                <w:b w:val="1"/>
                <w:bCs w:val="1"/>
                <w:color w:val="auto"/>
                <w:w w:val="89"/>
              </w:rPr>
              <w:t>Pension Benefits</w:t>
            </w:r>
          </w:p>
        </w:tc>
        <w:tc>
          <w:tcPr>
            <w:tcW w:w="120" w:type="dxa"/>
            <w:vAlign w:val="bottom"/>
          </w:tcPr>
          <w:p>
            <w:pPr>
              <w:spacing w:after="0"/>
              <w:rPr>
                <w:sz w:val="12"/>
                <w:szCs w:val="12"/>
                <w:color w:val="auto"/>
              </w:rPr>
            </w:pPr>
          </w:p>
        </w:tc>
        <w:tc>
          <w:tcPr>
            <w:tcW w:w="1320" w:type="dxa"/>
            <w:vAlign w:val="bottom"/>
            <w:gridSpan w:val="5"/>
          </w:tcPr>
          <w:p>
            <w:pPr>
              <w:jc w:val="center"/>
              <w:ind w:right="200"/>
              <w:spacing w:after="0" w:line="139" w:lineRule="exact"/>
              <w:rPr>
                <w:sz w:val="20"/>
                <w:szCs w:val="20"/>
                <w:color w:val="auto"/>
              </w:rPr>
            </w:pPr>
            <w:r>
              <w:rPr>
                <w:rFonts w:ascii="Arial" w:cs="Arial" w:eastAsia="Arial" w:hAnsi="Arial"/>
                <w:sz w:val="14"/>
                <w:szCs w:val="14"/>
                <w:b w:val="1"/>
                <w:bCs w:val="1"/>
                <w:color w:val="auto"/>
                <w:w w:val="92"/>
              </w:rPr>
              <w:t>Post-retirement</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171"/>
        </w:trPr>
        <w:tc>
          <w:tcPr>
            <w:tcW w:w="5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3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3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598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liabilities, net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(51.3)</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(46.1)</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(28.1)</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(25.0)</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(50.3)</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(45.1)</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(29.1)</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(26.0)</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Net loss, net of taxes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(64.2)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(56.2)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Prior service credit, net of taxes</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(61.7)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(51.9)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The information for qualified defined benefit pension plans with an accumulated benefit obligation in excess of plan assets at December 31, 2020 and 2019 are shown below:</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261.4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4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40"/>
              <w:spacing w:after="0"/>
              <w:rPr>
                <w:sz w:val="20"/>
                <w:szCs w:val="20"/>
                <w:color w:val="auto"/>
              </w:rPr>
            </w:pPr>
            <w:r>
              <w:rPr>
                <w:rFonts w:ascii="Arial" w:cs="Arial" w:eastAsia="Arial" w:hAnsi="Arial"/>
                <w:sz w:val="18"/>
                <w:szCs w:val="18"/>
                <w:color w:val="auto"/>
                <w:w w:val="97"/>
              </w:rPr>
              <w:t>260.9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237.9</w:t>
            </w:r>
          </w:p>
        </w:tc>
        <w:tc>
          <w:tcPr>
            <w:tcW w:w="4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210.0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Unrecognized gains and losses of the post-retirement benefit plans are amortized over five years. Although current health care costs are expected to increase, the Company attempts to mitigate these increases by maintaining caps on certain of its benefit plans, using lower cost health care plan options where possible, requiring that certain groups of employees pay a portion of their benefit costs, self-insuring for certain insurance plans, encouraging wellness programs for employees, and implementing measures to mitigate future benefit cost increases.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color w:val="auto"/>
        </w:rPr>
        <w:t>Components of the net periodic benefit cost and other amounts recognized in other comprehensive income (loss) for the qualified pension plans and the post-retirement benefit plans during 2020, 2019 and 2018 were as follows:</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6"/>
          </w:tcPr>
          <w:p>
            <w:pPr>
              <w:jc w:val="center"/>
              <w:ind w:left="273"/>
              <w:spacing w:after="0"/>
              <w:rPr>
                <w:sz w:val="20"/>
                <w:szCs w:val="20"/>
                <w:color w:val="auto"/>
              </w:rPr>
            </w:pPr>
            <w:r>
              <w:rPr>
                <w:rFonts w:ascii="Arial" w:cs="Arial" w:eastAsia="Arial" w:hAnsi="Arial"/>
                <w:sz w:val="14"/>
                <w:szCs w:val="14"/>
                <w:b w:val="1"/>
                <w:bCs w:val="1"/>
                <w:color w:val="auto"/>
                <w:w w:val="89"/>
              </w:rPr>
              <w:t>Pension Benefits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9"/>
          </w:tcPr>
          <w:p>
            <w:pPr>
              <w:ind w:left="180"/>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71"/>
        </w:trPr>
        <w:tc>
          <w:tcPr>
            <w:tcW w:w="4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center"/>
              <w:ind w:right="52"/>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 (Benefit):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(13.5)</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 (gain)</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Other Changes in Plan Assets and Benefit Obligations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Recognized in Other Comprehensive Income, net of tax:</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8"/>
                <w:szCs w:val="18"/>
                <w:color w:val="auto"/>
              </w:rPr>
              <w:t>Net loss (gain)</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 gain</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recognized in other comprehensive loss (income)</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4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Total recognized in net periodic benefit cost and other</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comprehensive loss (income)</w:t>
            </w:r>
          </w:p>
        </w:tc>
        <w:tc>
          <w:tcPr>
            <w:tcW w:w="12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weighted average assumptions used to determine benefit information during 2020, 2019 and 2018 were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right"/>
              <w:ind w:right="270"/>
              <w:spacing w:after="0"/>
              <w:rPr>
                <w:sz w:val="20"/>
                <w:szCs w:val="20"/>
                <w:color w:val="auto"/>
              </w:rPr>
            </w:pPr>
            <w:r>
              <w:rPr>
                <w:rFonts w:ascii="Arial" w:cs="Arial" w:eastAsia="Arial" w:hAnsi="Arial"/>
                <w:sz w:val="14"/>
                <w:szCs w:val="14"/>
                <w:b w:val="1"/>
                <w:bCs w:val="1"/>
                <w:color w:val="auto"/>
              </w:rPr>
              <w:t>Pension Benefits</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7"/>
          </w:tcPr>
          <w:p>
            <w:pPr>
              <w:jc w:val="center"/>
              <w:ind w:right="170"/>
              <w:spacing w:after="0"/>
              <w:rPr>
                <w:sz w:val="20"/>
                <w:szCs w:val="20"/>
                <w:color w:val="auto"/>
              </w:rPr>
            </w:pPr>
            <w:r>
              <w:rPr>
                <w:rFonts w:ascii="Arial" w:cs="Arial" w:eastAsia="Arial" w:hAnsi="Arial"/>
                <w:sz w:val="14"/>
                <w:szCs w:val="14"/>
                <w:b w:val="1"/>
                <w:bCs w:val="1"/>
                <w:color w:val="auto"/>
                <w:w w:val="91"/>
              </w:rPr>
              <w:t>Post-retirement Benefits</w:t>
            </w: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4"/>
                <w:szCs w:val="14"/>
                <w:b w:val="1"/>
                <w:bCs w:val="1"/>
                <w:color w:val="auto"/>
                <w:w w:val="90"/>
              </w:rPr>
              <w:t>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8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8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Discount rate (1)</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4.40</w:t>
            </w:r>
          </w:p>
        </w:tc>
        <w:tc>
          <w:tcPr>
            <w:tcW w:w="240" w:type="dxa"/>
            <w:vAlign w:val="bottom"/>
            <w:tcBorders>
              <w:top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2.70</w:t>
            </w:r>
          </w:p>
        </w:tc>
        <w:tc>
          <w:tcPr>
            <w:tcW w:w="240" w:type="dxa"/>
            <w:vAlign w:val="bottom"/>
            <w:tcBorders>
              <w:top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3.50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4.50</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3920" w:type="dxa"/>
            <w:vAlign w:val="bottom"/>
            <w:gridSpan w:val="2"/>
          </w:tcPr>
          <w:p>
            <w:pPr>
              <w:ind w:left="100"/>
              <w:spacing w:after="0"/>
              <w:rPr>
                <w:sz w:val="20"/>
                <w:szCs w:val="20"/>
                <w:color w:val="auto"/>
              </w:rPr>
            </w:pPr>
            <w:r>
              <w:rPr>
                <w:rFonts w:ascii="Arial" w:cs="Arial" w:eastAsia="Arial" w:hAnsi="Arial"/>
                <w:sz w:val="18"/>
                <w:szCs w:val="18"/>
                <w:color w:val="auto"/>
              </w:rPr>
              <w:t>Expected return on plan assets</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7.25 %</w:t>
            </w:r>
          </w:p>
        </w:tc>
        <w:tc>
          <w:tcPr>
            <w:tcW w:w="1120" w:type="dxa"/>
            <w:vAlign w:val="bottom"/>
            <w:gridSpan w:val="3"/>
          </w:tcPr>
          <w:p>
            <w:pPr>
              <w:jc w:val="right"/>
              <w:ind w:right="10"/>
              <w:spacing w:after="0"/>
              <w:rPr>
                <w:sz w:val="20"/>
                <w:szCs w:val="20"/>
                <w:color w:val="auto"/>
              </w:rPr>
            </w:pPr>
            <w:r>
              <w:rPr>
                <w:rFonts w:ascii="Arial" w:cs="Arial" w:eastAsia="Arial" w:hAnsi="Arial"/>
                <w:sz w:val="18"/>
                <w:szCs w:val="18"/>
                <w:color w:val="auto"/>
              </w:rPr>
              <w:t>7.50 %</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w w:val="99"/>
              </w:rPr>
              <w:t>7.50 %</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Rate of compensation increase</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11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3.00 %</w:t>
            </w:r>
          </w:p>
        </w:tc>
        <w:tc>
          <w:tcPr>
            <w:tcW w:w="2680" w:type="dxa"/>
            <w:vAlign w:val="bottom"/>
            <w:gridSpan w:val="10"/>
            <w:shd w:val="clear" w:color="auto" w:fill="CCEEFF"/>
          </w:tcPr>
          <w:p>
            <w:pPr>
              <w:ind w:left="40"/>
              <w:spacing w:after="0"/>
              <w:rPr>
                <w:sz w:val="20"/>
                <w:szCs w:val="20"/>
                <w:color w:val="auto"/>
              </w:rPr>
            </w:pPr>
            <w:r>
              <w:rPr>
                <w:rFonts w:ascii="Arial" w:cs="Arial" w:eastAsia="Arial" w:hAnsi="Arial"/>
                <w:sz w:val="18"/>
                <w:szCs w:val="18"/>
                <w:color w:val="auto"/>
              </w:rPr>
              <w:t>3.00 %  3.00 %  3.00 %  3.00 %</w:t>
            </w:r>
          </w:p>
        </w:tc>
      </w:tr>
      <w:tr>
        <w:trPr>
          <w:trHeight w:val="216"/>
        </w:trPr>
        <w:tc>
          <w:tcPr>
            <w:tcW w:w="20" w:type="dxa"/>
            <w:vAlign w:val="bottom"/>
          </w:tcPr>
          <w:p>
            <w:pPr>
              <w:spacing w:after="0"/>
              <w:rPr>
                <w:sz w:val="18"/>
                <w:szCs w:val="18"/>
                <w:color w:val="auto"/>
              </w:rPr>
            </w:pPr>
          </w:p>
        </w:tc>
        <w:tc>
          <w:tcPr>
            <w:tcW w:w="3920" w:type="dxa"/>
            <w:vAlign w:val="bottom"/>
            <w:gridSpan w:val="2"/>
          </w:tcPr>
          <w:p>
            <w:pPr>
              <w:ind w:left="100"/>
              <w:spacing w:after="0"/>
              <w:rPr>
                <w:sz w:val="20"/>
                <w:szCs w:val="20"/>
                <w:color w:val="auto"/>
              </w:rPr>
            </w:pPr>
            <w:r>
              <w:rPr>
                <w:rFonts w:ascii="Arial" w:cs="Arial" w:eastAsia="Arial" w:hAnsi="Arial"/>
                <w:sz w:val="18"/>
                <w:szCs w:val="18"/>
                <w:color w:val="auto"/>
              </w:rPr>
              <w:t>Cash balance interest credit rate</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0.75 - 3.25 %</w:t>
            </w:r>
          </w:p>
        </w:tc>
        <w:tc>
          <w:tcPr>
            <w:tcW w:w="1120" w:type="dxa"/>
            <w:vAlign w:val="bottom"/>
            <w:gridSpan w:val="3"/>
          </w:tcPr>
          <w:p>
            <w:pPr>
              <w:jc w:val="right"/>
              <w:ind w:right="10"/>
              <w:spacing w:after="0"/>
              <w:rPr>
                <w:sz w:val="20"/>
                <w:szCs w:val="20"/>
                <w:color w:val="auto"/>
              </w:rPr>
            </w:pPr>
            <w:r>
              <w:rPr>
                <w:rFonts w:ascii="Arial" w:cs="Arial" w:eastAsia="Arial" w:hAnsi="Arial"/>
                <w:sz w:val="18"/>
                <w:szCs w:val="18"/>
                <w:color w:val="auto"/>
                <w:w w:val="93"/>
              </w:rPr>
              <w:t>1.75 - 3.75 %</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w w:val="99"/>
              </w:rPr>
              <w:t>3.01 %</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Initial health care cost trend rate: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320"/>
              <w:spacing w:after="0"/>
              <w:rPr>
                <w:sz w:val="20"/>
                <w:szCs w:val="20"/>
                <w:color w:val="auto"/>
              </w:rPr>
            </w:pPr>
            <w:r>
              <w:rPr>
                <w:rFonts w:ascii="Arial" w:cs="Arial" w:eastAsia="Arial" w:hAnsi="Arial"/>
                <w:sz w:val="18"/>
                <w:szCs w:val="18"/>
                <w:color w:val="auto"/>
              </w:rPr>
              <w:t>Pre-65 group</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8"/>
          </w:tcPr>
          <w:p>
            <w:pPr>
              <w:jc w:val="right"/>
              <w:ind w:right="30"/>
              <w:spacing w:after="0"/>
              <w:rPr>
                <w:sz w:val="20"/>
                <w:szCs w:val="20"/>
                <w:color w:val="auto"/>
              </w:rPr>
            </w:pPr>
            <w:r>
              <w:rPr>
                <w:rFonts w:ascii="Arial" w:cs="Arial" w:eastAsia="Arial" w:hAnsi="Arial"/>
                <w:sz w:val="18"/>
                <w:szCs w:val="18"/>
                <w:color w:val="auto"/>
              </w:rPr>
              <w:t>5.30 %  5.70 %  6.00 %</w:t>
            </w: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Post-65 group</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gridSpan w:val="8"/>
            <w:shd w:val="clear" w:color="auto" w:fill="CCEEFF"/>
          </w:tcPr>
          <w:p>
            <w:pPr>
              <w:jc w:val="right"/>
              <w:ind w:right="30"/>
              <w:spacing w:after="0"/>
              <w:rPr>
                <w:sz w:val="20"/>
                <w:szCs w:val="20"/>
                <w:color w:val="auto"/>
              </w:rPr>
            </w:pPr>
            <w:r>
              <w:rPr>
                <w:rFonts w:ascii="Arial" w:cs="Arial" w:eastAsia="Arial" w:hAnsi="Arial"/>
                <w:sz w:val="18"/>
                <w:szCs w:val="18"/>
                <w:color w:val="auto"/>
              </w:rPr>
              <w:t>5.40 %  5.90 %  6.30 %</w:t>
            </w:r>
          </w:p>
        </w:tc>
      </w:tr>
      <w:tr>
        <w:trPr>
          <w:trHeight w:val="216"/>
        </w:trPr>
        <w:tc>
          <w:tcPr>
            <w:tcW w:w="20" w:type="dxa"/>
            <w:vAlign w:val="bottom"/>
          </w:tcPr>
          <w:p>
            <w:pPr>
              <w:spacing w:after="0"/>
              <w:rPr>
                <w:sz w:val="18"/>
                <w:szCs w:val="18"/>
                <w:color w:val="auto"/>
              </w:rPr>
            </w:pPr>
          </w:p>
        </w:tc>
        <w:tc>
          <w:tcPr>
            <w:tcW w:w="3920" w:type="dxa"/>
            <w:vAlign w:val="bottom"/>
            <w:gridSpan w:val="2"/>
          </w:tcPr>
          <w:p>
            <w:pPr>
              <w:ind w:left="100"/>
              <w:spacing w:after="0"/>
              <w:rPr>
                <w:sz w:val="20"/>
                <w:szCs w:val="20"/>
                <w:color w:val="auto"/>
              </w:rPr>
            </w:pPr>
            <w:r>
              <w:rPr>
                <w:rFonts w:ascii="Arial" w:cs="Arial" w:eastAsia="Arial" w:hAnsi="Arial"/>
                <w:sz w:val="18"/>
                <w:szCs w:val="18"/>
                <w:color w:val="auto"/>
              </w:rPr>
              <w:t>Ultimate health care cost trend rate</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4.40 %</w:t>
            </w:r>
          </w:p>
        </w:tc>
        <w:tc>
          <w:tcPr>
            <w:tcW w:w="720" w:type="dxa"/>
            <w:vAlign w:val="bottom"/>
            <w:gridSpan w:val="3"/>
          </w:tcPr>
          <w:p>
            <w:pPr>
              <w:jc w:val="right"/>
              <w:ind w:right="10"/>
              <w:spacing w:after="0"/>
              <w:rPr>
                <w:sz w:val="20"/>
                <w:szCs w:val="20"/>
                <w:color w:val="auto"/>
              </w:rPr>
            </w:pPr>
            <w:r>
              <w:rPr>
                <w:rFonts w:ascii="Arial" w:cs="Arial" w:eastAsia="Arial" w:hAnsi="Arial"/>
                <w:sz w:val="18"/>
                <w:szCs w:val="18"/>
                <w:color w:val="auto"/>
              </w:rPr>
              <w:t>4.40 %</w:t>
            </w: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w w:val="96"/>
              </w:rPr>
              <w:t>4.40 %</w:t>
            </w: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1"/>
              </w:rPr>
              <w:t>Year ultimate health care cost trend rate is reached:</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320"/>
              <w:spacing w:after="0"/>
              <w:rPr>
                <w:sz w:val="20"/>
                <w:szCs w:val="20"/>
                <w:color w:val="auto"/>
              </w:rPr>
            </w:pPr>
            <w:r>
              <w:rPr>
                <w:rFonts w:ascii="Arial" w:cs="Arial" w:eastAsia="Arial" w:hAnsi="Arial"/>
                <w:sz w:val="18"/>
                <w:szCs w:val="18"/>
                <w:color w:val="auto"/>
              </w:rPr>
              <w:t>Pre-65 group</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4"/>
              </w:rPr>
              <w:t>2037</w:t>
            </w: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4"/>
              </w:rPr>
              <w:t>2037</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2037</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Post-65 group</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2036</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2036</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2036</w:t>
            </w:r>
          </w:p>
        </w:tc>
        <w:tc>
          <w:tcPr>
            <w:tcW w:w="260" w:type="dxa"/>
            <w:vAlign w:val="bottom"/>
            <w:shd w:val="clear" w:color="auto" w:fill="CCEEFF"/>
          </w:tcPr>
          <w:p>
            <w:pPr>
              <w:spacing w:after="0"/>
              <w:rPr>
                <w:sz w:val="18"/>
                <w:szCs w:val="18"/>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r>
    </w:tbl>
    <w:p>
      <w:pPr>
        <w:spacing w:after="0" w:line="62" w:lineRule="exact"/>
        <w:rPr>
          <w:sz w:val="20"/>
          <w:szCs w:val="20"/>
          <w:color w:val="auto"/>
        </w:rPr>
      </w:pPr>
    </w:p>
    <w:p>
      <w:pPr>
        <w:ind w:left="380" w:right="459" w:hanging="330"/>
        <w:spacing w:after="0" w:line="253" w:lineRule="auto"/>
        <w:tabs>
          <w:tab w:leader="none" w:pos="3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Company derives a single equivalent rate utilizing a yield curve constructed from a portfolio of high-quality corporate bonds with various maturities.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4" w:lineRule="auto"/>
        <w:rPr>
          <w:sz w:val="20"/>
          <w:szCs w:val="20"/>
          <w:color w:val="auto"/>
        </w:rPr>
      </w:pPr>
      <w:r>
        <w:rPr>
          <w:rFonts w:ascii="Arial" w:cs="Arial" w:eastAsia="Arial" w:hAnsi="Arial"/>
          <w:sz w:val="16"/>
          <w:szCs w:val="16"/>
          <w:i w:val="1"/>
          <w:iCs w:val="1"/>
          <w:color w:val="auto"/>
        </w:rPr>
        <w:t xml:space="preserve">Non-qualified Pension Plans: </w:t>
      </w:r>
      <w:r>
        <w:rPr>
          <w:rFonts w:ascii="Arial" w:cs="Arial" w:eastAsia="Arial" w:hAnsi="Arial"/>
          <w:sz w:val="16"/>
          <w:szCs w:val="16"/>
          <w:color w:val="auto"/>
        </w:rPr>
        <w:t>The Company has non-qualified supplemental pension plans covering certain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and retirees, which provide for incremental pension payments from the Company’s general funds so that total pension benefits would be substantially equal to amounts that would have been payable from the Company’s qualified pension plans if it were not for limitations imposed by income tax law. A few employees and retirees receive additional supplemental pension benefits. Non-qualified pension plan liabilities recognized in the Consolidated Balance Sheets and expenses recognized in accumulated other comprehensive income (loss) at December 31, 2020 and 2019 are as follows:</w:t>
      </w:r>
    </w:p>
    <w:tbl>
      <w:tblPr>
        <w:tblLayout w:type="fixed"/>
        <w:tblInd w:w="40" w:type="dxa"/>
        <w:tblCellMar>
          <w:top w:w="0" w:type="dxa"/>
          <w:left w:w="0" w:type="dxa"/>
          <w:bottom w:w="0" w:type="dxa"/>
          <w:right w:w="0" w:type="dxa"/>
        </w:tblCellMar>
      </w:tblPr>
      <w:tr>
        <w:trPr>
          <w:trHeight w:val="143"/>
        </w:trPr>
        <w:tc>
          <w:tcPr>
            <w:tcW w:w="6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5"/>
          </w:tcPr>
          <w:p>
            <w:pPr>
              <w:jc w:val="center"/>
              <w:ind w:right="260"/>
              <w:spacing w:after="0" w:line="143" w:lineRule="exact"/>
              <w:rPr>
                <w:sz w:val="20"/>
                <w:szCs w:val="20"/>
                <w:color w:val="auto"/>
              </w:rPr>
            </w:pPr>
            <w:r>
              <w:rPr>
                <w:rFonts w:ascii="Arial" w:cs="Arial" w:eastAsia="Arial" w:hAnsi="Arial"/>
                <w:sz w:val="14"/>
                <w:szCs w:val="14"/>
                <w:b w:val="1"/>
                <w:bCs w:val="1"/>
                <w:color w:val="auto"/>
                <w:w w:val="96"/>
              </w:rPr>
              <w:t>Non-qualified</w:t>
            </w:r>
          </w:p>
        </w:tc>
        <w:tc>
          <w:tcPr>
            <w:tcW w:w="0" w:type="dxa"/>
            <w:vAlign w:val="bottom"/>
          </w:tcPr>
          <w:p>
            <w:pPr>
              <w:spacing w:after="0"/>
              <w:rPr>
                <w:sz w:val="1"/>
                <w:szCs w:val="1"/>
                <w:color w:val="auto"/>
              </w:rPr>
            </w:pPr>
          </w:p>
        </w:tc>
      </w:tr>
      <w:tr>
        <w:trPr>
          <w:trHeight w:val="148"/>
        </w:trPr>
        <w:tc>
          <w:tcPr>
            <w:tcW w:w="6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Pension Benefits</w:t>
            </w:r>
          </w:p>
        </w:tc>
        <w:tc>
          <w:tcPr>
            <w:tcW w:w="0" w:type="dxa"/>
            <w:vAlign w:val="bottom"/>
          </w:tcPr>
          <w:p>
            <w:pPr>
              <w:spacing w:after="0"/>
              <w:rPr>
                <w:sz w:val="1"/>
                <w:szCs w:val="1"/>
                <w:color w:val="auto"/>
              </w:rPr>
            </w:pPr>
          </w:p>
        </w:tc>
      </w:tr>
      <w:tr>
        <w:trPr>
          <w:trHeight w:val="171"/>
        </w:trPr>
        <w:tc>
          <w:tcPr>
            <w:tcW w:w="6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7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694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Non-current liabilities, net</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69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net of taxes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Prior service credit, net of taxes</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Discount rates of 1.8 percent and 2.8 percent were used in determining the 2020 and 2019 non-qualified pension plan obligations, respectively.</w:t>
      </w:r>
    </w:p>
    <w:p>
      <w:pPr>
        <w:spacing w:after="0" w:line="103"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i w:val="1"/>
          <w:iCs w:val="1"/>
          <w:color w:val="auto"/>
        </w:rPr>
        <w:t xml:space="preserve">Estimated Benefit Payments: </w:t>
      </w:r>
      <w:r>
        <w:rPr>
          <w:rFonts w:ascii="Arial" w:cs="Arial" w:eastAsia="Arial" w:hAnsi="Arial"/>
          <w:sz w:val="18"/>
          <w:szCs w:val="18"/>
          <w:color w:val="auto"/>
        </w:rPr>
        <w:t>The estimated future benefit payments for the next ten years as of December 31, 2020 were</w:t>
      </w:r>
      <w:r>
        <w:rPr>
          <w:rFonts w:ascii="Arial" w:cs="Arial" w:eastAsia="Arial" w:hAnsi="Arial"/>
          <w:sz w:val="18"/>
          <w:szCs w:val="18"/>
          <w:i w:val="1"/>
          <w:iCs w:val="1"/>
          <w:color w:val="auto"/>
        </w:rPr>
        <w:t xml:space="preserve"> </w:t>
      </w:r>
      <w:r>
        <w:rPr>
          <w:rFonts w:ascii="Arial" w:cs="Arial" w:eastAsia="Arial" w:hAnsi="Arial"/>
          <w:sz w:val="18"/>
          <w:szCs w:val="18"/>
          <w:color w:val="auto"/>
        </w:rPr>
        <w:t>as follows: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Pension</w:t>
            </w:r>
          </w:p>
        </w:tc>
        <w:tc>
          <w:tcPr>
            <w:tcW w:w="1000" w:type="dxa"/>
            <w:vAlign w:val="bottom"/>
            <w:gridSpan w:val="3"/>
          </w:tcPr>
          <w:p>
            <w:pPr>
              <w:ind w:left="140"/>
              <w:spacing w:after="0"/>
              <w:rPr>
                <w:sz w:val="20"/>
                <w:szCs w:val="20"/>
                <w:color w:val="auto"/>
              </w:rPr>
            </w:pPr>
            <w:r>
              <w:rPr>
                <w:rFonts w:ascii="Arial" w:cs="Arial" w:eastAsia="Arial" w:hAnsi="Arial"/>
                <w:sz w:val="14"/>
                <w:szCs w:val="14"/>
                <w:b w:val="1"/>
                <w:bCs w:val="1"/>
                <w:color w:val="auto"/>
                <w:w w:val="93"/>
              </w:rPr>
              <w:t>Non-qualified</w:t>
            </w:r>
          </w:p>
        </w:tc>
        <w:tc>
          <w:tcPr>
            <w:tcW w:w="16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Post-retirement</w:t>
            </w:r>
          </w:p>
        </w:tc>
        <w:tc>
          <w:tcPr>
            <w:tcW w:w="0" w:type="dxa"/>
            <w:vAlign w:val="bottom"/>
          </w:tcPr>
          <w:p>
            <w:pPr>
              <w:spacing w:after="0"/>
              <w:rPr>
                <w:sz w:val="1"/>
                <w:szCs w:val="1"/>
                <w:color w:val="auto"/>
              </w:rPr>
            </w:pPr>
          </w:p>
        </w:tc>
      </w:tr>
      <w:tr>
        <w:trPr>
          <w:trHeight w:val="148"/>
        </w:trPr>
        <w:tc>
          <w:tcPr>
            <w:tcW w:w="5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 (in millions)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w w:val="95"/>
              </w:rPr>
              <w:t>Pension</w:t>
            </w: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Benefits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Benefits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Benefits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3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2022</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2024</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2026-2030</w:t>
            </w:r>
          </w:p>
        </w:tc>
        <w:tc>
          <w:tcPr>
            <w:tcW w:w="3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Net of plan participants’ contributions and Medicare Part D subsidies.</w:t>
      </w:r>
    </w:p>
    <w:p>
      <w:pPr>
        <w:spacing w:after="0" w:line="140"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i w:val="1"/>
          <w:iCs w:val="1"/>
          <w:color w:val="auto"/>
        </w:rPr>
        <w:t xml:space="preserve">Defined Contribution Plans: </w:t>
      </w:r>
      <w:r>
        <w:rPr>
          <w:rFonts w:ascii="Arial" w:cs="Arial" w:eastAsia="Arial" w:hAnsi="Arial"/>
          <w:sz w:val="18"/>
          <w:szCs w:val="18"/>
          <w:color w:val="auto"/>
        </w:rPr>
        <w:t>The Company sponsors defined contribution plans that qualify under Sections 401(a) and</w:t>
      </w:r>
      <w:r>
        <w:rPr>
          <w:rFonts w:ascii="Arial" w:cs="Arial" w:eastAsia="Arial" w:hAnsi="Arial"/>
          <w:sz w:val="18"/>
          <w:szCs w:val="18"/>
          <w:i w:val="1"/>
          <w:iCs w:val="1"/>
          <w:color w:val="auto"/>
        </w:rPr>
        <w:t xml:space="preserve"> </w:t>
      </w:r>
      <w:r>
        <w:rPr>
          <w:rFonts w:ascii="Arial" w:cs="Arial" w:eastAsia="Arial" w:hAnsi="Arial"/>
          <w:sz w:val="18"/>
          <w:szCs w:val="18"/>
          <w:color w:val="auto"/>
        </w:rPr>
        <w:t>401(k) of the Internal Revenue Code. The Company may make discretionary matching contributions equal to a specified percentage of each participant’s 401(k) contributions and makes other non-discretionary contributions. For the year ended December 31, 2020, the Company provided discretionary matching contributions of up to 3 percent of eligible employee compensation. The Company’s matching contributions expensed in 2020, 2019 and 2018 were $3.0 million, $2.9 million and $2.4 million, respectively.</w:t>
      </w:r>
    </w:p>
    <w:p>
      <w:pPr>
        <w:spacing w:after="0" w:line="192"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The Company may also provide a discretionary profit sharing contribution under the qualified defined contribution plans, to salaried, non-bargaining unit employees, if both a minimum threshold of Company performance is achieved and the Board has approved the profit sharing contribution. For certain eligible employees, supplemental profit sharing contributions are credited under a non-qualified plan to be paid after separation from service from the Company’s general funds so that total profit sharing contributions would be substantially equal to amounts that would have been contributed to the Company’s qualified defined contribution plans if it were not for limitations imposed by income tax law. Discretionary profit sharing contributions expensed in 2020, 2019 and 2018 were $2.2 million, $0.5 million and $1.4 million, respectively.</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Multi-employer Bargaining Plans:</w:t>
      </w:r>
    </w:p>
    <w:p>
      <w:pPr>
        <w:spacing w:after="0" w:line="144"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The Company contributes to multi-employer defined benefit pension plans under the terms of collective-bargaining agreements that cover its bargaining unit employees. Contributions are generally based on amounts paid for union labor or cargo volume. The risks of participating in multi-employer plans are different from single-employer plans because assets contributed to the multi-employer plan by one employer may be used to provide benefits to employees of other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participating employers. Additionally, if one employer stops contributing to the plan, the unfunded obligations of the plan may be borne by the remaining participating employers.</w:t>
      </w:r>
    </w:p>
    <w:p>
      <w:pPr>
        <w:spacing w:after="0" w:line="103" w:lineRule="exact"/>
        <w:rPr>
          <w:sz w:val="20"/>
          <w:szCs w:val="20"/>
          <w:color w:val="auto"/>
        </w:rPr>
      </w:pPr>
    </w:p>
    <w:p>
      <w:pPr>
        <w:ind w:left="60" w:right="159"/>
        <w:spacing w:after="0" w:line="291" w:lineRule="auto"/>
        <w:rPr>
          <w:sz w:val="20"/>
          <w:szCs w:val="20"/>
          <w:color w:val="auto"/>
        </w:rPr>
      </w:pPr>
      <w:r>
        <w:rPr>
          <w:rFonts w:ascii="Arial" w:cs="Arial" w:eastAsia="Arial" w:hAnsi="Arial"/>
          <w:sz w:val="16"/>
          <w:szCs w:val="16"/>
          <w:color w:val="auto"/>
        </w:rPr>
        <w:t>The multi-employer pension plans are subject to the plan termination insurance provisions of ERISA and are paying premiums to the Pension Benefit Guaranty Corporation (“PBGC”). The statutes provide that an employer who withdraws from, or significantly reduces its contribution obligation to, a multi-employer plan generally will be required to continue funding its proportional share of the plan’s unfunded vested benefits. As of December 31, 2020, the Company’s estimated benefit plan withdrawal obligations were $260.0 million. Except as described in Note 12, no withdrawal obligations have been recorded by the Company in the Consolidated Balance Sheets at December 31, 2020 and 2019, as the Company has no present intention of withdrawing from and does not anticipate termination of any of these plans.</w:t>
      </w:r>
    </w:p>
    <w:p>
      <w:pPr>
        <w:spacing w:after="0" w:line="85"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Information regarding the Company’s participation in multi-employer pension plans is outlined in the table below. The “EIN/Pension Plan Number” column provides the Employer Identification Number (“EIN”) and the three-digit plan number, if applicable. Unless otherwise noted, the most recent Pension Protection Act zone status available in 2020 and 2019 is for the plan’s year-end at December 31, 2020 and 2019, respectively. The zone status is based on information that the Company received from the plan and is certified by the plan’s actuary. Among other factors, plans in the red zone are generally less than 65 percent funded; plans in the orange zone are both a) less than 80 percent funded and b) have an accumulated/expected funding deficiency in any of the next six plan years, net of any amortization extensions; plans in the yellow zone meet either one of the criteria mentioned in the orange zone; and plans in the green zone are at least 80 percent funded. The funding improvement plan (“FIP”) or rehabilitation plan (“RP”) column indicates the status which is either pending or has been implemented. The last column lists the expiration dates of the collective-bargaining agreements to which the plans are subject.</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spacing w:after="0"/>
              <w:rPr>
                <w:sz w:val="20"/>
                <w:szCs w:val="20"/>
                <w:color w:val="auto"/>
              </w:rPr>
            </w:pPr>
            <w:r>
              <w:rPr>
                <w:rFonts w:ascii="Arial" w:cs="Arial" w:eastAsia="Arial" w:hAnsi="Arial"/>
                <w:sz w:val="11"/>
                <w:szCs w:val="11"/>
                <w:b w:val="1"/>
                <w:bCs w:val="1"/>
                <w:color w:val="auto"/>
                <w:w w:val="84"/>
              </w:rPr>
              <w:t>Pension</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7"/>
              </w:rPr>
              <w:t>Protection Act</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7"/>
              </w:rPr>
              <w:t>Zone as of</w:t>
            </w:r>
          </w:p>
        </w:tc>
        <w:tc>
          <w:tcPr>
            <w:tcW w:w="1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FIP/RP Status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8"/>
          </w:tcPr>
          <w:p>
            <w:pPr>
              <w:jc w:val="center"/>
              <w:spacing w:after="0" w:line="122" w:lineRule="exact"/>
              <w:rPr>
                <w:sz w:val="20"/>
                <w:szCs w:val="20"/>
                <w:color w:val="auto"/>
              </w:rPr>
            </w:pPr>
            <w:r>
              <w:rPr>
                <w:rFonts w:ascii="Arial" w:cs="Arial" w:eastAsia="Arial" w:hAnsi="Arial"/>
                <w:sz w:val="11"/>
                <w:szCs w:val="11"/>
                <w:b w:val="1"/>
                <w:bCs w:val="1"/>
                <w:color w:val="auto"/>
                <w:w w:val="89"/>
              </w:rPr>
              <w:t>Contributions of Matson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b w:val="1"/>
                <w:bCs w:val="1"/>
                <w:color w:val="auto"/>
              </w:rPr>
              <w:t>EIN/Pension</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9"/>
              </w:rPr>
              <w:t>December 31,</w:t>
            </w:r>
          </w:p>
        </w:tc>
        <w:tc>
          <w:tcPr>
            <w:tcW w:w="1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0"/>
              </w:rPr>
              <w:t>Pending/</w:t>
            </w:r>
          </w:p>
        </w:tc>
        <w:tc>
          <w:tcPr>
            <w:tcW w:w="680" w:type="dxa"/>
            <w:vAlign w:val="bottom"/>
            <w:gridSpan w:val="2"/>
          </w:tcPr>
          <w:p>
            <w:pPr>
              <w:jc w:val="center"/>
              <w:ind w:left="26"/>
              <w:spacing w:after="0"/>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87"/>
              </w:rPr>
              <w:t>(in millions)</w:t>
            </w: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Surcharge</w:t>
            </w:r>
          </w:p>
        </w:tc>
        <w:tc>
          <w:tcPr>
            <w:tcW w:w="60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2"/>
              </w:rPr>
              <w:t>Expiration</w:t>
            </w:r>
          </w:p>
        </w:tc>
        <w:tc>
          <w:tcPr>
            <w:tcW w:w="0" w:type="dxa"/>
            <w:vAlign w:val="bottom"/>
          </w:tcPr>
          <w:p>
            <w:pPr>
              <w:spacing w:after="0"/>
              <w:rPr>
                <w:sz w:val="1"/>
                <w:szCs w:val="1"/>
                <w:color w:val="auto"/>
              </w:rPr>
            </w:pPr>
          </w:p>
        </w:tc>
      </w:tr>
      <w:tr>
        <w:trPr>
          <w:trHeight w:val="115"/>
        </w:trPr>
        <w:tc>
          <w:tcPr>
            <w:tcW w:w="2420" w:type="dxa"/>
            <w:vAlign w:val="bottom"/>
            <w:gridSpan w:val="3"/>
          </w:tcPr>
          <w:p>
            <w:pPr>
              <w:ind w:left="20"/>
              <w:spacing w:after="0" w:line="115" w:lineRule="exact"/>
              <w:rPr>
                <w:sz w:val="20"/>
                <w:szCs w:val="20"/>
                <w:color w:val="auto"/>
              </w:rPr>
            </w:pPr>
            <w:r>
              <w:rPr>
                <w:rFonts w:ascii="Arial" w:cs="Arial" w:eastAsia="Arial" w:hAnsi="Arial"/>
                <w:sz w:val="11"/>
                <w:szCs w:val="11"/>
                <w:b w:val="1"/>
                <w:bCs w:val="1"/>
                <w:color w:val="auto"/>
              </w:rPr>
              <w:t>Pension Funds</w:t>
            </w:r>
          </w:p>
        </w:tc>
        <w:tc>
          <w:tcPr>
            <w:tcW w:w="120" w:type="dxa"/>
            <w:vAlign w:val="bottom"/>
          </w:tcPr>
          <w:p>
            <w:pPr>
              <w:spacing w:after="0"/>
              <w:rPr>
                <w:sz w:val="10"/>
                <w:szCs w:val="10"/>
                <w:color w:val="auto"/>
              </w:rPr>
            </w:pPr>
          </w:p>
        </w:tc>
        <w:tc>
          <w:tcPr>
            <w:tcW w:w="840" w:type="dxa"/>
            <w:vAlign w:val="bottom"/>
          </w:tcPr>
          <w:p>
            <w:pPr>
              <w:jc w:val="right"/>
              <w:ind w:right="63"/>
              <w:spacing w:after="0" w:line="115" w:lineRule="exact"/>
              <w:rPr>
                <w:sz w:val="20"/>
                <w:szCs w:val="20"/>
                <w:color w:val="auto"/>
              </w:rPr>
            </w:pPr>
            <w:r>
              <w:rPr>
                <w:rFonts w:ascii="Arial" w:cs="Arial" w:eastAsia="Arial" w:hAnsi="Arial"/>
                <w:sz w:val="11"/>
                <w:szCs w:val="11"/>
                <w:b w:val="1"/>
                <w:bCs w:val="1"/>
                <w:color w:val="auto"/>
              </w:rPr>
              <w:t>Plan Number</w:t>
            </w:r>
          </w:p>
        </w:tc>
        <w:tc>
          <w:tcPr>
            <w:tcW w:w="480" w:type="dxa"/>
            <w:vAlign w:val="bottom"/>
            <w:gridSpan w:val="3"/>
          </w:tcPr>
          <w:p>
            <w:pPr>
              <w:jc w:val="center"/>
              <w:spacing w:after="0" w:line="115" w:lineRule="exact"/>
              <w:rPr>
                <w:sz w:val="20"/>
                <w:szCs w:val="20"/>
                <w:color w:val="auto"/>
              </w:rPr>
            </w:pPr>
            <w:r>
              <w:rPr>
                <w:rFonts w:ascii="Arial" w:cs="Arial" w:eastAsia="Arial" w:hAnsi="Arial"/>
                <w:sz w:val="11"/>
                <w:szCs w:val="11"/>
                <w:b w:val="1"/>
                <w:bCs w:val="1"/>
                <w:color w:val="auto"/>
                <w:w w:val="78"/>
              </w:rPr>
              <w:t>Notes</w:t>
            </w:r>
          </w:p>
        </w:tc>
        <w:tc>
          <w:tcPr>
            <w:tcW w:w="3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9"/>
              </w:rPr>
              <w:t>2020</w:t>
            </w:r>
          </w:p>
        </w:tc>
        <w:tc>
          <w:tcPr>
            <w:tcW w:w="500" w:type="dxa"/>
            <w:vAlign w:val="bottom"/>
            <w:gridSpan w:val="2"/>
          </w:tcPr>
          <w:p>
            <w:pPr>
              <w:jc w:val="center"/>
              <w:ind w:left="42"/>
              <w:spacing w:after="0" w:line="115" w:lineRule="exact"/>
              <w:rPr>
                <w:sz w:val="20"/>
                <w:szCs w:val="20"/>
                <w:color w:val="auto"/>
              </w:rPr>
            </w:pPr>
            <w:r>
              <w:rPr>
                <w:rFonts w:ascii="Arial" w:cs="Arial" w:eastAsia="Arial" w:hAnsi="Arial"/>
                <w:sz w:val="11"/>
                <w:szCs w:val="11"/>
                <w:b w:val="1"/>
                <w:bCs w:val="1"/>
                <w:color w:val="auto"/>
                <w:w w:val="81"/>
              </w:rPr>
              <w:t>2019</w:t>
            </w:r>
          </w:p>
        </w:tc>
        <w:tc>
          <w:tcPr>
            <w:tcW w:w="100" w:type="dxa"/>
            <w:vAlign w:val="bottom"/>
          </w:tcPr>
          <w:p>
            <w:pPr>
              <w:spacing w:after="0"/>
              <w:rPr>
                <w:sz w:val="10"/>
                <w:szCs w:val="10"/>
                <w:color w:val="auto"/>
              </w:rPr>
            </w:pPr>
          </w:p>
        </w:tc>
        <w:tc>
          <w:tcPr>
            <w:tcW w:w="6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1"/>
              </w:rPr>
              <w:t>Implemented</w:t>
            </w:r>
          </w:p>
        </w:tc>
        <w:tc>
          <w:tcPr>
            <w:tcW w:w="680" w:type="dxa"/>
            <w:vAlign w:val="bottom"/>
            <w:gridSpan w:val="2"/>
          </w:tcPr>
          <w:p>
            <w:pPr>
              <w:jc w:val="center"/>
              <w:ind w:left="26"/>
              <w:spacing w:after="0" w:line="115" w:lineRule="exact"/>
              <w:rPr>
                <w:sz w:val="20"/>
                <w:szCs w:val="20"/>
                <w:color w:val="auto"/>
              </w:rPr>
            </w:pPr>
            <w:r>
              <w:rPr>
                <w:rFonts w:ascii="Arial" w:cs="Arial" w:eastAsia="Arial" w:hAnsi="Arial"/>
                <w:sz w:val="11"/>
                <w:szCs w:val="11"/>
                <w:b w:val="1"/>
                <w:bCs w:val="1"/>
                <w:color w:val="auto"/>
                <w:w w:val="92"/>
              </w:rPr>
              <w:t>Contributor</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ind w:right="18"/>
              <w:spacing w:after="0" w:line="115" w:lineRule="exact"/>
              <w:rPr>
                <w:sz w:val="20"/>
                <w:szCs w:val="20"/>
                <w:color w:val="auto"/>
              </w:rPr>
            </w:pPr>
            <w:r>
              <w:rPr>
                <w:rFonts w:ascii="Arial" w:cs="Arial" w:eastAsia="Arial" w:hAnsi="Arial"/>
                <w:sz w:val="11"/>
                <w:szCs w:val="11"/>
                <w:b w:val="1"/>
                <w:bCs w:val="1"/>
                <w:color w:val="auto"/>
                <w:w w:val="81"/>
              </w:rPr>
              <w:t>2020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center"/>
              <w:ind w:right="18"/>
              <w:spacing w:after="0" w:line="115" w:lineRule="exact"/>
              <w:rPr>
                <w:sz w:val="20"/>
                <w:szCs w:val="20"/>
                <w:color w:val="auto"/>
              </w:rPr>
            </w:pPr>
            <w:r>
              <w:rPr>
                <w:rFonts w:ascii="Arial" w:cs="Arial" w:eastAsia="Arial" w:hAnsi="Arial"/>
                <w:sz w:val="11"/>
                <w:szCs w:val="11"/>
                <w:b w:val="1"/>
                <w:bCs w:val="1"/>
                <w:color w:val="auto"/>
                <w:w w:val="89"/>
              </w:rPr>
              <w:t>2019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jc w:val="right"/>
              <w:ind w:right="18"/>
              <w:spacing w:after="0" w:line="115" w:lineRule="exact"/>
              <w:rPr>
                <w:sz w:val="20"/>
                <w:szCs w:val="20"/>
                <w:color w:val="auto"/>
              </w:rPr>
            </w:pPr>
            <w:r>
              <w:rPr>
                <w:rFonts w:ascii="Arial" w:cs="Arial" w:eastAsia="Arial" w:hAnsi="Arial"/>
                <w:sz w:val="11"/>
                <w:szCs w:val="11"/>
                <w:b w:val="1"/>
                <w:bCs w:val="1"/>
                <w:color w:val="auto"/>
                <w:w w:val="81"/>
              </w:rPr>
              <w:t>2018</w:t>
            </w:r>
          </w:p>
        </w:tc>
        <w:tc>
          <w:tcPr>
            <w:tcW w:w="120" w:type="dxa"/>
            <w:vAlign w:val="bottom"/>
          </w:tcPr>
          <w:p>
            <w:pPr>
              <w:spacing w:after="0"/>
              <w:rPr>
                <w:sz w:val="10"/>
                <w:szCs w:val="10"/>
                <w:color w:val="auto"/>
              </w:rPr>
            </w:pPr>
          </w:p>
        </w:tc>
        <w:tc>
          <w:tcPr>
            <w:tcW w:w="600" w:type="dxa"/>
            <w:vAlign w:val="bottom"/>
            <w:gridSpan w:val="2"/>
          </w:tcPr>
          <w:p>
            <w:pPr>
              <w:jc w:val="center"/>
              <w:ind w:right="80"/>
              <w:spacing w:after="0" w:line="115" w:lineRule="exact"/>
              <w:rPr>
                <w:sz w:val="20"/>
                <w:szCs w:val="20"/>
                <w:color w:val="auto"/>
              </w:rPr>
            </w:pPr>
            <w:r>
              <w:rPr>
                <w:rFonts w:ascii="Arial" w:cs="Arial" w:eastAsia="Arial" w:hAnsi="Arial"/>
                <w:sz w:val="11"/>
                <w:szCs w:val="11"/>
                <w:b w:val="1"/>
                <w:bCs w:val="1"/>
                <w:color w:val="auto"/>
                <w:w w:val="88"/>
              </w:rPr>
              <w:t>Imposed</w:t>
            </w:r>
          </w:p>
        </w:tc>
        <w:tc>
          <w:tcPr>
            <w:tcW w:w="600" w:type="dxa"/>
            <w:vAlign w:val="bottom"/>
            <w:gridSpan w:val="2"/>
          </w:tcPr>
          <w:p>
            <w:pPr>
              <w:jc w:val="center"/>
              <w:ind w:right="40"/>
              <w:spacing w:after="0" w:line="115" w:lineRule="exact"/>
              <w:rPr>
                <w:sz w:val="20"/>
                <w:szCs w:val="20"/>
                <w:color w:val="auto"/>
              </w:rPr>
            </w:pPr>
            <w:r>
              <w:rPr>
                <w:rFonts w:ascii="Arial" w:cs="Arial" w:eastAsia="Arial" w:hAnsi="Arial"/>
                <w:sz w:val="11"/>
                <w:szCs w:val="11"/>
                <w:b w:val="1"/>
                <w:bCs w:val="1"/>
                <w:color w:val="auto"/>
                <w:w w:val="89"/>
              </w:rPr>
              <w:t>Date (2)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0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w w:val="96"/>
              </w:rPr>
              <w:t>American Radio Association Pension Fund</w:t>
            </w: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13-6161999-001</w:t>
            </w: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Green</w:t>
            </w:r>
          </w:p>
        </w:tc>
        <w:tc>
          <w:tcPr>
            <w:tcW w:w="1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8"/>
              </w:rPr>
              <w:t>Green</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Implemented</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0"/>
              </w:rPr>
              <w:t>Yes</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w:t>
            </w: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96"/>
              </w:rPr>
              <w:t>No</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6/15/2028</w:t>
            </w: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w w:val="89"/>
              </w:rPr>
              <w:t>Hawaii Terminals Multiemployer Pension Plan</w:t>
            </w:r>
          </w:p>
        </w:tc>
        <w:tc>
          <w:tcPr>
            <w:tcW w:w="96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8"/>
              </w:rPr>
              <w:t>20-0389370-001</w:t>
            </w:r>
          </w:p>
        </w:tc>
        <w:tc>
          <w:tcPr>
            <w:tcW w:w="380" w:type="dxa"/>
            <w:vAlign w:val="bottom"/>
            <w:gridSpan w:val="2"/>
          </w:tcPr>
          <w:p>
            <w:pPr>
              <w:jc w:val="center"/>
              <w:ind w:left="39"/>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93"/>
              </w:rPr>
              <w:t>Yellow</w:t>
            </w:r>
          </w:p>
        </w:tc>
        <w:tc>
          <w:tcPr>
            <w:tcW w:w="500" w:type="dxa"/>
            <w:vAlign w:val="bottom"/>
            <w:gridSpan w:val="2"/>
          </w:tcPr>
          <w:p>
            <w:pPr>
              <w:jc w:val="center"/>
              <w:ind w:left="42"/>
              <w:spacing w:after="0" w:line="135" w:lineRule="exact"/>
              <w:rPr>
                <w:sz w:val="20"/>
                <w:szCs w:val="20"/>
                <w:color w:val="auto"/>
              </w:rPr>
            </w:pPr>
            <w:r>
              <w:rPr>
                <w:rFonts w:ascii="Arial" w:cs="Arial" w:eastAsia="Arial" w:hAnsi="Arial"/>
                <w:sz w:val="13"/>
                <w:szCs w:val="13"/>
                <w:color w:val="auto"/>
                <w:w w:val="82"/>
              </w:rPr>
              <w:t>Orange</w:t>
            </w:r>
          </w:p>
        </w:tc>
        <w:tc>
          <w:tcPr>
            <w:tcW w:w="78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7"/>
              </w:rPr>
              <w:t>Implemented</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5.8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5.7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5.7</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0"/>
              </w:rPr>
              <w:t>Hawaii Stevedoring Multiemployer Retirement</w:t>
            </w: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Plan</w:t>
            </w:r>
          </w:p>
        </w:tc>
        <w:tc>
          <w:tcPr>
            <w:tcW w:w="960" w:type="dxa"/>
            <w:vAlign w:val="bottom"/>
            <w:tcBorders>
              <w:bottom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99-0314293-001</w:t>
            </w: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Green</w:t>
            </w:r>
          </w:p>
        </w:tc>
        <w:tc>
          <w:tcPr>
            <w:tcW w:w="1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93"/>
              </w:rPr>
              <w:t>Yellow</w:t>
            </w:r>
          </w:p>
        </w:tc>
        <w:tc>
          <w:tcPr>
            <w:tcW w:w="780" w:type="dxa"/>
            <w:vAlign w:val="bottom"/>
            <w:tcBorders>
              <w:bottom w:val="single" w:sz="8" w:color="CCEEFF"/>
            </w:tcBorders>
            <w:gridSpan w:val="2"/>
            <w:shd w:val="clear" w:color="auto" w:fill="CCEEFF"/>
          </w:tcPr>
          <w:p>
            <w:pPr>
              <w:jc w:val="center"/>
              <w:ind w:left="17"/>
              <w:spacing w:after="0" w:line="129" w:lineRule="exact"/>
              <w:rPr>
                <w:sz w:val="20"/>
                <w:szCs w:val="20"/>
                <w:color w:val="auto"/>
              </w:rPr>
            </w:pPr>
            <w:r>
              <w:rPr>
                <w:rFonts w:ascii="Arial" w:cs="Arial" w:eastAsia="Arial" w:hAnsi="Arial"/>
                <w:sz w:val="13"/>
                <w:szCs w:val="13"/>
                <w:color w:val="auto"/>
                <w:w w:val="87"/>
              </w:rPr>
              <w:t>Implemented</w:t>
            </w: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0"/>
              </w:rPr>
              <w:t>Yes</w:t>
            </w: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w:t>
            </w: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w:t>
            </w: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96"/>
              </w:rPr>
              <w:t>No</w:t>
            </w:r>
          </w:p>
        </w:tc>
        <w:tc>
          <w:tcPr>
            <w:tcW w:w="580" w:type="dxa"/>
            <w:vAlign w:val="bottom"/>
            <w:tcBorders>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6/30/2022</w:t>
            </w:r>
          </w:p>
        </w:tc>
        <w:tc>
          <w:tcPr>
            <w:tcW w:w="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rPr>
              <w:t>Master, Mates and Pilots Pension Plan</w:t>
            </w:r>
          </w:p>
        </w:tc>
        <w:tc>
          <w:tcPr>
            <w:tcW w:w="96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8"/>
              </w:rPr>
              <w:t>13-6372630-001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82"/>
              </w:rPr>
              <w:t>Green</w:t>
            </w:r>
          </w:p>
        </w:tc>
        <w:tc>
          <w:tcPr>
            <w:tcW w:w="120" w:type="dxa"/>
            <w:vAlign w:val="bottom"/>
          </w:tcPr>
          <w:p>
            <w:pPr>
              <w:spacing w:after="0"/>
              <w:rPr>
                <w:sz w:val="11"/>
                <w:szCs w:val="11"/>
                <w:color w:val="auto"/>
              </w:rPr>
            </w:pP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88"/>
              </w:rPr>
              <w:t>Green</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3"/>
              </w:rPr>
              <w:t>No</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7"/>
              </w:rPr>
              <w:t>6/15/2027,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6/15/2028</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gridSpan w:val="2"/>
          </w:tcPr>
          <w:p>
            <w:pPr>
              <w:spacing w:after="0" w:line="121" w:lineRule="exact"/>
              <w:rPr>
                <w:sz w:val="20"/>
                <w:szCs w:val="20"/>
                <w:color w:val="auto"/>
              </w:rPr>
            </w:pPr>
            <w:r>
              <w:rPr>
                <w:rFonts w:ascii="Arial" w:cs="Arial" w:eastAsia="Arial" w:hAnsi="Arial"/>
                <w:sz w:val="13"/>
                <w:szCs w:val="13"/>
                <w:color w:val="auto"/>
                <w:w w:val="89"/>
              </w:rPr>
              <w:t>Masters, Mates and Pilots Adjustable Pension</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gridSpan w:val="3"/>
          </w:tcPr>
          <w:p>
            <w:pPr>
              <w:ind w:left="20"/>
              <w:spacing w:after="0"/>
              <w:rPr>
                <w:sz w:val="20"/>
                <w:szCs w:val="20"/>
                <w:color w:val="auto"/>
              </w:rPr>
            </w:pPr>
            <w:r>
              <w:rPr>
                <w:rFonts w:ascii="Arial" w:cs="Arial" w:eastAsia="Arial" w:hAnsi="Arial"/>
                <w:sz w:val="13"/>
                <w:szCs w:val="13"/>
                <w:color w:val="auto"/>
              </w:rPr>
              <w:t>Plan</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w w:val="98"/>
              </w:rPr>
              <w:t>37-1719247-001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3"/>
                <w:szCs w:val="13"/>
                <w:color w:val="auto"/>
                <w:w w:val="82"/>
              </w:rPr>
              <w:t>Green</w:t>
            </w:r>
          </w:p>
        </w:tc>
        <w:tc>
          <w:tcPr>
            <w:tcW w:w="12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3"/>
                <w:szCs w:val="13"/>
                <w:color w:val="auto"/>
                <w:w w:val="88"/>
              </w:rPr>
              <w:t>Green</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3"/>
              </w:rPr>
              <w:t>No</w:t>
            </w:r>
          </w:p>
        </w:tc>
        <w:tc>
          <w:tcPr>
            <w:tcW w:w="1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80"/>
              </w:rPr>
              <w:t>Yes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2"/>
                <w:szCs w:val="12"/>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rPr>
                <w:sz w:val="20"/>
                <w:szCs w:val="20"/>
                <w:color w:val="auto"/>
              </w:rPr>
            </w:pPr>
            <w:r>
              <w:rPr>
                <w:rFonts w:ascii="Arial" w:cs="Arial" w:eastAsia="Arial" w:hAnsi="Arial"/>
                <w:sz w:val="13"/>
                <w:szCs w:val="13"/>
                <w:color w:val="auto"/>
                <w:w w:val="87"/>
              </w:rPr>
              <w:t>6/15/2027,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6/15/2028</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w w:val="94"/>
              </w:rPr>
              <w:t>MEBA Pension Trust - Defined Benefit Plan</w:t>
            </w:r>
          </w:p>
        </w:tc>
        <w:tc>
          <w:tcPr>
            <w:tcW w:w="96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8"/>
              </w:rPr>
              <w:t>51-6029896-001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82"/>
              </w:rPr>
              <w:t>Green</w:t>
            </w:r>
          </w:p>
        </w:tc>
        <w:tc>
          <w:tcPr>
            <w:tcW w:w="120" w:type="dxa"/>
            <w:vAlign w:val="bottom"/>
          </w:tcPr>
          <w:p>
            <w:pPr>
              <w:spacing w:after="0"/>
              <w:rPr>
                <w:sz w:val="11"/>
                <w:szCs w:val="11"/>
                <w:color w:val="auto"/>
              </w:rPr>
            </w:pP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88"/>
              </w:rPr>
              <w:t>Green</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3"/>
              </w:rPr>
              <w:t>No</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4.1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4.3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4.0</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7"/>
              </w:rPr>
              <w:t>6/15/2022,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6/15/2028</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rPr>
              <w:t>OCU Pension Trust Plan</w:t>
            </w:r>
          </w:p>
        </w:tc>
        <w:tc>
          <w:tcPr>
            <w:tcW w:w="96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8"/>
              </w:rPr>
              <w:t>26-1574440-001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82"/>
              </w:rPr>
              <w:t>Green</w:t>
            </w:r>
          </w:p>
        </w:tc>
        <w:tc>
          <w:tcPr>
            <w:tcW w:w="120" w:type="dxa"/>
            <w:vAlign w:val="bottom"/>
          </w:tcPr>
          <w:p>
            <w:pPr>
              <w:spacing w:after="0"/>
              <w:rPr>
                <w:sz w:val="11"/>
                <w:szCs w:val="11"/>
                <w:color w:val="auto"/>
              </w:rPr>
            </w:pP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88"/>
              </w:rPr>
              <w:t>Green</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3"/>
              </w:rPr>
              <w:t>No</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6"/>
              </w:rPr>
              <w:t>No</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MFOW Supplementary Pension Plan</w:t>
            </w:r>
          </w:p>
        </w:tc>
        <w:tc>
          <w:tcPr>
            <w:tcW w:w="9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94-6201677-001</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3"/>
              </w:rPr>
              <w:t>Yellow</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Green</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No</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6/30/2021</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rPr>
              <w:t>SIU Pacific District Pension Plan</w:t>
            </w:r>
          </w:p>
        </w:tc>
        <w:tc>
          <w:tcPr>
            <w:tcW w:w="96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8"/>
              </w:rPr>
              <w:t>94-6061923-001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82"/>
              </w:rPr>
              <w:t>Green</w:t>
            </w:r>
          </w:p>
        </w:tc>
        <w:tc>
          <w:tcPr>
            <w:tcW w:w="120" w:type="dxa"/>
            <w:vAlign w:val="bottom"/>
          </w:tcPr>
          <w:p>
            <w:pPr>
              <w:spacing w:after="0"/>
              <w:rPr>
                <w:sz w:val="11"/>
                <w:szCs w:val="11"/>
                <w:color w:val="auto"/>
              </w:rPr>
            </w:pP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88"/>
              </w:rPr>
              <w:t>Green</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3"/>
              </w:rPr>
              <w:t>No</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7"/>
              </w:rPr>
              <w:t>Alaska Teamster - Employer Pension Plan</w:t>
            </w:r>
          </w:p>
        </w:tc>
        <w:tc>
          <w:tcPr>
            <w:tcW w:w="9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92-6003463-024</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Red</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Red</w:t>
            </w:r>
          </w:p>
        </w:tc>
        <w:tc>
          <w:tcPr>
            <w:tcW w:w="780" w:type="dxa"/>
            <w:vAlign w:val="bottom"/>
            <w:gridSpan w:val="2"/>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7"/>
              </w:rPr>
              <w:t>Implemented</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9"/>
              </w:rPr>
              <w:t>Yes</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6/30/2021,</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7"/>
              </w:rPr>
              <w:t>6/30/2022,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6/30/2023,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All Alaska Longshore Pension Plan</w:t>
            </w:r>
          </w:p>
        </w:tc>
        <w:tc>
          <w:tcPr>
            <w:tcW w:w="9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91-6085352-001</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Green</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Green</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No</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6/30/2022</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w w:val="85"/>
              </w:rPr>
              <w:t>Western Conference of Teamsters Pension Plan</w:t>
            </w:r>
          </w:p>
        </w:tc>
        <w:tc>
          <w:tcPr>
            <w:tcW w:w="96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8"/>
              </w:rPr>
              <w:t>91-6145047-001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82"/>
              </w:rPr>
              <w:t>Green</w:t>
            </w:r>
          </w:p>
        </w:tc>
        <w:tc>
          <w:tcPr>
            <w:tcW w:w="120" w:type="dxa"/>
            <w:vAlign w:val="bottom"/>
          </w:tcPr>
          <w:p>
            <w:pPr>
              <w:spacing w:after="0"/>
              <w:rPr>
                <w:sz w:val="11"/>
                <w:szCs w:val="11"/>
                <w:color w:val="auto"/>
              </w:rPr>
            </w:pP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88"/>
              </w:rPr>
              <w:t>Green</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3"/>
              </w:rPr>
              <w:t>No</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6"/>
              </w:rPr>
              <w:t>No</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3/31/2023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Western Conference of Teamsters</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w w:val="98"/>
              </w:rPr>
              <w:t>95-3746907-001</w:t>
            </w: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Supplemental Benefit Trust</w:t>
            </w:r>
          </w:p>
        </w:tc>
        <w:tc>
          <w:tcPr>
            <w:tcW w:w="96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Green</w:t>
            </w:r>
          </w:p>
        </w:tc>
        <w:tc>
          <w:tcPr>
            <w:tcW w:w="1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8"/>
              </w:rPr>
              <w:t>Green</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3"/>
              </w:rPr>
              <w:t>No</w:t>
            </w: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96"/>
              </w:rPr>
              <w:t>No</w:t>
            </w: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center"/>
              <w:ind w:right="120"/>
              <w:spacing w:after="0" w:line="129" w:lineRule="exact"/>
              <w:rPr>
                <w:sz w:val="20"/>
                <w:szCs w:val="20"/>
                <w:color w:val="auto"/>
              </w:rPr>
            </w:pPr>
            <w:r>
              <w:rPr>
                <w:rFonts w:ascii="Arial" w:cs="Arial" w:eastAsia="Arial" w:hAnsi="Arial"/>
                <w:sz w:val="13"/>
                <w:szCs w:val="13"/>
                <w:color w:val="auto"/>
                <w:w w:val="96"/>
              </w:rPr>
              <w:t>No</w:t>
            </w:r>
          </w:p>
        </w:tc>
        <w:tc>
          <w:tcPr>
            <w:tcW w:w="580" w:type="dxa"/>
            <w:vAlign w:val="bottom"/>
            <w:tcBorders>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3/31/2023</w:t>
            </w:r>
          </w:p>
        </w:tc>
        <w:tc>
          <w:tcPr>
            <w:tcW w:w="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rPr>
              <w:t>OPEIU Local 153 Pension Plan</w:t>
            </w:r>
          </w:p>
        </w:tc>
        <w:tc>
          <w:tcPr>
            <w:tcW w:w="96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8"/>
              </w:rPr>
              <w:t>13-2864289-001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83"/>
              </w:rPr>
              <w:t>Red</w:t>
            </w:r>
          </w:p>
        </w:tc>
        <w:tc>
          <w:tcPr>
            <w:tcW w:w="120" w:type="dxa"/>
            <w:vAlign w:val="bottom"/>
          </w:tcPr>
          <w:p>
            <w:pPr>
              <w:spacing w:after="0"/>
              <w:rPr>
                <w:sz w:val="11"/>
                <w:szCs w:val="11"/>
                <w:color w:val="auto"/>
              </w:rPr>
            </w:pP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83"/>
              </w:rPr>
              <w:t>Red</w:t>
            </w:r>
          </w:p>
        </w:tc>
        <w:tc>
          <w:tcPr>
            <w:tcW w:w="78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7"/>
              </w:rPr>
              <w:t>Implemented</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6"/>
              </w:rPr>
              <w:t>No</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11/9/2023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Seafarers Pension Plan</w:t>
            </w:r>
          </w:p>
        </w:tc>
        <w:tc>
          <w:tcPr>
            <w:tcW w:w="9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13-6100329-001</w:t>
            </w:r>
          </w:p>
        </w:tc>
        <w:tc>
          <w:tcPr>
            <w:tcW w:w="380" w:type="dxa"/>
            <w:vAlign w:val="bottom"/>
            <w:gridSpan w:val="2"/>
            <w:shd w:val="clear" w:color="auto" w:fill="CCEEFF"/>
          </w:tcPr>
          <w:p>
            <w:pPr>
              <w:jc w:val="center"/>
              <w:ind w:left="39"/>
              <w:spacing w:after="0" w:line="135" w:lineRule="exact"/>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Green</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Green</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No</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No</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6/30/2022</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00" w:type="dxa"/>
            <w:vAlign w:val="bottom"/>
            <w:gridSpan w:val="2"/>
          </w:tcPr>
          <w:p>
            <w:pPr>
              <w:ind w:left="220"/>
              <w:spacing w:after="0" w:line="129" w:lineRule="exact"/>
              <w:rPr>
                <w:sz w:val="20"/>
                <w:szCs w:val="20"/>
                <w:color w:val="auto"/>
              </w:rPr>
            </w:pPr>
            <w:r>
              <w:rPr>
                <w:rFonts w:ascii="Arial" w:cs="Arial" w:eastAsia="Arial" w:hAnsi="Arial"/>
                <w:sz w:val="13"/>
                <w:szCs w:val="13"/>
                <w:color w:val="auto"/>
              </w:rPr>
              <w:t>Total</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4"/>
              </w:rPr>
              <w:t>28.4</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4"/>
              </w:rPr>
              <w:t>27.3</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4"/>
              </w:rPr>
              <w:t>25.5</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80" w:right="299" w:hanging="330"/>
        <w:spacing w:after="0" w:line="238" w:lineRule="auto"/>
        <w:tabs>
          <w:tab w:leader="none" w:pos="380" w:val="left"/>
        </w:tabs>
        <w:numPr>
          <w:ilvl w:val="0"/>
          <w:numId w:val="56"/>
        </w:numPr>
        <w:rPr>
          <w:rFonts w:ascii="Arial" w:cs="Arial" w:eastAsia="Arial" w:hAnsi="Arial"/>
          <w:sz w:val="11"/>
          <w:szCs w:val="11"/>
          <w:color w:val="auto"/>
        </w:rPr>
      </w:pPr>
      <w:r>
        <w:rPr>
          <w:rFonts w:ascii="Arial" w:cs="Arial" w:eastAsia="Arial" w:hAnsi="Arial"/>
          <w:sz w:val="11"/>
          <w:szCs w:val="11"/>
          <w:color w:val="auto"/>
        </w:rPr>
        <w:t>The Hawaii Terminals Multiemployer Pension Plan merged into the Hawaii Stevedoring Multiemployer Retirement Plan effective January 1, 2021 and formally known as the Hawaii Longshore Pension Plan.</w:t>
      </w:r>
    </w:p>
    <w:p>
      <w:pPr>
        <w:ind w:left="380" w:hanging="330"/>
        <w:spacing w:after="0" w:line="230" w:lineRule="auto"/>
        <w:tabs>
          <w:tab w:leader="none" w:pos="380" w:val="left"/>
        </w:tabs>
        <w:numPr>
          <w:ilvl w:val="0"/>
          <w:numId w:val="56"/>
        </w:numPr>
        <w:rPr>
          <w:rFonts w:ascii="Arial" w:cs="Arial" w:eastAsia="Arial" w:hAnsi="Arial"/>
          <w:sz w:val="11"/>
          <w:szCs w:val="11"/>
          <w:color w:val="auto"/>
        </w:rPr>
      </w:pPr>
      <w:r>
        <w:rPr>
          <w:rFonts w:ascii="Arial" w:cs="Arial" w:eastAsia="Arial" w:hAnsi="Arial"/>
          <w:sz w:val="11"/>
          <w:szCs w:val="11"/>
          <w:color w:val="auto"/>
        </w:rPr>
        <w:t>Represents the expiration date of the collective bargaining agreement.</w:t>
      </w:r>
    </w:p>
    <w:p>
      <w:pPr>
        <w:ind w:left="380" w:right="139" w:hanging="330"/>
        <w:spacing w:after="0" w:line="236" w:lineRule="auto"/>
        <w:tabs>
          <w:tab w:leader="none" w:pos="380" w:val="left"/>
        </w:tabs>
        <w:numPr>
          <w:ilvl w:val="0"/>
          <w:numId w:val="56"/>
        </w:numPr>
        <w:rPr>
          <w:rFonts w:ascii="Arial" w:cs="Arial" w:eastAsia="Arial" w:hAnsi="Arial"/>
          <w:sz w:val="11"/>
          <w:szCs w:val="11"/>
          <w:color w:val="auto"/>
        </w:rPr>
      </w:pPr>
      <w:r>
        <w:rPr>
          <w:rFonts w:ascii="Arial" w:cs="Arial" w:eastAsia="Arial" w:hAnsi="Arial"/>
          <w:sz w:val="11"/>
          <w:szCs w:val="11"/>
          <w:color w:val="auto"/>
        </w:rPr>
        <w:t>The Company does not make contributions directly to the Seafarers Pension Plan. Instead, contributions are made to the Seafarers Health and Benefits Plan, and are subsequently re-allocated to the Seafarers Pension Plan at the discretion of the plan Trustee.</w:t>
      </w:r>
    </w:p>
    <w:p>
      <w:pPr>
        <w:spacing w:after="0" w:line="198"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Company also contributes to multi-employer plans that provide post-retirement health and other benefits other than pensions under the terms of collective-bargaining agreements. Benefits provided to active and retired employees and their eligible dependents under these plans include medical, dental, vision and prescription drug. These plans are not subject to the PBGC plan termination and withdrawal liability provisions of ERISA applicable to multi-employer defined benefit pension plans. Contributions for these multi-employer postretirement health and other benefits were $32.5 million, $32.8 million and $30.0 million in 2020, 2019 and 2018,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i w:val="1"/>
          <w:iCs w:val="1"/>
          <w:color w:val="auto"/>
        </w:rPr>
        <w:t xml:space="preserve">Multi-employer Defined Contribution Plans: </w:t>
      </w:r>
      <w:r>
        <w:rPr>
          <w:rFonts w:ascii="Arial" w:cs="Arial" w:eastAsia="Arial" w:hAnsi="Arial"/>
          <w:sz w:val="18"/>
          <w:szCs w:val="18"/>
          <w:color w:val="auto"/>
        </w:rPr>
        <w:t>The Company contributes to six multi-employer defined contribution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plans. These plans are not subject to the withdrawal liability provisions of ERISA or the PBGC applicable to multi-employer defined benefit pension plans. Contributions made to these plans by the Company were $5.1 million, $5.3 million and $4.8 million in 2020, 2019 and 2018, respectively.</w:t>
      </w:r>
    </w:p>
    <w:p>
      <w:pPr>
        <w:spacing w:after="0" w:line="399" w:lineRule="exact"/>
        <w:rPr>
          <w:sz w:val="20"/>
          <w:szCs w:val="20"/>
          <w:color w:val="auto"/>
        </w:rPr>
      </w:pPr>
    </w:p>
    <w:p>
      <w:pPr>
        <w:ind w:left="700" w:hanging="650"/>
        <w:spacing w:after="0"/>
        <w:tabs>
          <w:tab w:leader="none" w:pos="7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MULTI-EMPLOYER WITHDRAWAL LIABILITIES</w:t>
      </w:r>
    </w:p>
    <w:p>
      <w:pPr>
        <w:spacing w:after="0" w:line="229" w:lineRule="exact"/>
        <w:rPr>
          <w:sz w:val="20"/>
          <w:szCs w:val="20"/>
          <w:color w:val="auto"/>
        </w:rPr>
      </w:pPr>
    </w:p>
    <w:p>
      <w:pPr>
        <w:ind w:left="60" w:right="279"/>
        <w:spacing w:after="0" w:line="293" w:lineRule="auto"/>
        <w:rPr>
          <w:sz w:val="20"/>
          <w:szCs w:val="20"/>
          <w:color w:val="auto"/>
        </w:rPr>
      </w:pPr>
      <w:r>
        <w:rPr>
          <w:rFonts w:ascii="Arial" w:cs="Arial" w:eastAsia="Arial" w:hAnsi="Arial"/>
          <w:sz w:val="16"/>
          <w:szCs w:val="16"/>
          <w:color w:val="auto"/>
        </w:rPr>
        <w:t>Horizon ceased all of its operations in Puerto Rico during the first quarter of 2015, which resulted in a mass withdrawal from its multi-employer ILA-PRSSA pension fund. The Company assumed this liability as part of the acquisition of Horizon on May 29, 2015. The Company estimated the mass withdrawal liability based upon the required undiscounted quarterly payment of approximately $1.0 million to be paid to the ILA-PRSSA pension fund over a period which ends in March 2040, discounted to present value using the Company’s incremental borrowing rate. Future estimated annual payments to be paid to the ILA-PRSSA pension fund as of December 31, 2020 were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(in millions)</w:t>
            </w:r>
          </w:p>
        </w:tc>
        <w:tc>
          <w:tcPr>
            <w:tcW w:w="2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09"/>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r>
      <w:tr>
        <w:trPr>
          <w:trHeight w:val="210"/>
        </w:trPr>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remaining future undiscounted payments due to the ILA-PRSSA pension fund</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16"/>
        </w:trPr>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amount representing interest</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r>
      <w:tr>
        <w:trPr>
          <w:trHeight w:val="209"/>
        </w:trPr>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Present value of multi-employer withdrawal liability</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16"/>
        </w:trPr>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of multi-employer withdrawal liability (see Note 2)</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09"/>
        </w:trPr>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 of multi-employer withdrawal liability (see Note 2)</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0"/>
        </w:trPr>
        <w:tc>
          <w:tcPr>
            <w:tcW w:w="7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Furthermore, the Company assumed a partial withdrawal liability related to the Local 153 Fund of the OPEIU. The partial withdrawal liability resulted from a decline in the number of contribution base units related to the Local 153 Fund caused by Horizon terminating all of its operations in Puerto Rico during the first quarter of 2015. The Company included the partial withdrawal liability of $6.5 million and $6.7 million within other current liabilities in the Consolidated Balance Sheets as of December 31, 2020 and 2019, respectively.</w:t>
      </w:r>
    </w:p>
    <w:p>
      <w:pPr>
        <w:spacing w:after="0" w:line="200" w:lineRule="exact"/>
        <w:rPr>
          <w:sz w:val="20"/>
          <w:szCs w:val="20"/>
          <w:color w:val="auto"/>
        </w:rPr>
      </w:pPr>
    </w:p>
    <w:p>
      <w:pPr>
        <w:spacing w:after="0" w:line="213" w:lineRule="exact"/>
        <w:rPr>
          <w:sz w:val="20"/>
          <w:szCs w:val="20"/>
          <w:color w:val="auto"/>
        </w:rPr>
      </w:pPr>
    </w:p>
    <w:p>
      <w:pPr>
        <w:ind w:left="700" w:hanging="650"/>
        <w:spacing w:after="0"/>
        <w:tabs>
          <w:tab w:leader="none" w:pos="7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Changes in accumulated other comprehensive income (loss) by component, net of tax, are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Post-</w:t>
            </w:r>
          </w:p>
        </w:tc>
        <w:tc>
          <w:tcPr>
            <w:tcW w:w="120" w:type="dxa"/>
            <w:vAlign w:val="bottom"/>
          </w:tcPr>
          <w:p>
            <w:pPr>
              <w:spacing w:after="0"/>
              <w:rPr>
                <w:sz w:val="14"/>
                <w:szCs w:val="14"/>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Pension</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Qualified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740" w:type="dxa"/>
            <w:vAlign w:val="bottom"/>
            <w:gridSpan w:val="2"/>
            <w:vMerge w:val="continue"/>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Retirement</w:t>
            </w: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Pension</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Other</w:t>
            </w:r>
          </w:p>
        </w:tc>
        <w:tc>
          <w:tcPr>
            <w:tcW w:w="100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4940" w:type="dxa"/>
            <w:vAlign w:val="bottom"/>
            <w:gridSpan w:val="2"/>
            <w:vMerge w:val="continue"/>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Benefits</w:t>
            </w: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Benefits</w:t>
            </w: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Benefits</w:t>
            </w:r>
          </w:p>
        </w:tc>
        <w:tc>
          <w:tcPr>
            <w:tcW w:w="640" w:type="dxa"/>
            <w:vAlign w:val="bottom"/>
            <w:gridSpan w:val="2"/>
            <w:vMerge w:val="continue"/>
          </w:tcPr>
          <w:p>
            <w:pPr>
              <w:spacing w:after="0"/>
              <w:rPr>
                <w:sz w:val="14"/>
                <w:szCs w:val="14"/>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10"/>
        </w:trPr>
        <w:tc>
          <w:tcPr>
            <w:tcW w:w="4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(55.8)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(0.3)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cost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 (gain)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120"/>
              <w:spacing w:after="0"/>
              <w:rPr>
                <w:sz w:val="20"/>
                <w:szCs w:val="20"/>
                <w:color w:val="auto"/>
              </w:rPr>
            </w:pPr>
            <w:r>
              <w:rPr>
                <w:rFonts w:ascii="Arial" w:cs="Arial" w:eastAsia="Arial" w:hAnsi="Arial"/>
                <w:sz w:val="18"/>
                <w:szCs w:val="18"/>
                <w:color w:val="auto"/>
              </w:rPr>
              <w:t>Other adjustments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cost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 (gain)</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120"/>
              <w:spacing w:after="0"/>
              <w:rPr>
                <w:sz w:val="20"/>
                <w:szCs w:val="20"/>
                <w:color w:val="auto"/>
              </w:rPr>
            </w:pPr>
            <w:r>
              <w:rPr>
                <w:rFonts w:ascii="Arial" w:cs="Arial" w:eastAsia="Arial" w:hAnsi="Arial"/>
                <w:sz w:val="18"/>
                <w:szCs w:val="18"/>
                <w:color w:val="auto"/>
              </w:rPr>
              <w:t>Foreign currency exchange</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2020</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(61.7)</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(0.7)</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color w:val="auto"/>
        </w:rPr>
        <w:t>Other comprehensive income (loss) in the Consolidated Statements of Income and Comprehensive Income is shown net of tax benefit (expense) of $4.2 million, $(0.3) million and $0.2 million for the years ended December 2020, 2019 and 2018,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00" w:hanging="650"/>
        <w:spacing w:after="0"/>
        <w:tabs>
          <w:tab w:leader="none" w:pos="7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left="60" w:right="399"/>
        <w:spacing w:after="0" w:line="301" w:lineRule="auto"/>
        <w:rPr>
          <w:sz w:val="20"/>
          <w:szCs w:val="20"/>
          <w:color w:val="auto"/>
        </w:rPr>
      </w:pPr>
      <w:r>
        <w:rPr>
          <w:rFonts w:ascii="Arial" w:cs="Arial" w:eastAsia="Arial" w:hAnsi="Arial"/>
          <w:sz w:val="16"/>
          <w:szCs w:val="16"/>
          <w:color w:val="auto"/>
        </w:rPr>
        <w:t>Basic earnings per share are determined by dividing net income by the weighted-average common shares outstanding during the year. The calculation of diluted earnings per share includes the dilutive effect of unexercised non-qualified stock options and non-vested stock units. The computation of weighted average dilutive shares outstanding excluded a nominal amount of anti-dilutive non-qualified stock options for each of the years 2020, 2019 and 2018.</w:t>
      </w:r>
    </w:p>
    <w:p>
      <w:pPr>
        <w:spacing w:after="0" w:line="144"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The denominators used to compute basic and diluted earnings per share for the years ended December 31, 2020, 2019 and 2018 are as follows: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7"/>
          </w:tcPr>
          <w:p>
            <w:pPr>
              <w:jc w:val="center"/>
              <w:ind w:right="240"/>
              <w:spacing w:after="0"/>
              <w:rPr>
                <w:sz w:val="20"/>
                <w:szCs w:val="20"/>
                <w:color w:val="auto"/>
              </w:rPr>
            </w:pPr>
            <w:r>
              <w:rPr>
                <w:rFonts w:ascii="Arial" w:cs="Arial" w:eastAsia="Arial" w:hAnsi="Arial"/>
                <w:sz w:val="13"/>
                <w:szCs w:val="13"/>
                <w:b w:val="1"/>
                <w:bCs w:val="1"/>
                <w:color w:val="auto"/>
                <w:w w:val="87"/>
              </w:rPr>
              <w:t>Year Ended December 31, 2020</w:t>
            </w:r>
          </w:p>
        </w:tc>
        <w:tc>
          <w:tcPr>
            <w:tcW w:w="100" w:type="dxa"/>
            <w:vAlign w:val="bottom"/>
          </w:tcPr>
          <w:p>
            <w:pPr>
              <w:spacing w:after="0"/>
              <w:rPr>
                <w:sz w:val="13"/>
                <w:szCs w:val="13"/>
                <w:color w:val="auto"/>
              </w:rPr>
            </w:pPr>
          </w:p>
        </w:tc>
        <w:tc>
          <w:tcPr>
            <w:tcW w:w="2100" w:type="dxa"/>
            <w:vAlign w:val="bottom"/>
            <w:gridSpan w:val="7"/>
          </w:tcPr>
          <w:p>
            <w:pPr>
              <w:jc w:val="center"/>
              <w:ind w:right="260"/>
              <w:spacing w:after="0"/>
              <w:rPr>
                <w:sz w:val="20"/>
                <w:szCs w:val="20"/>
                <w:color w:val="auto"/>
              </w:rPr>
            </w:pPr>
            <w:r>
              <w:rPr>
                <w:rFonts w:ascii="Arial" w:cs="Arial" w:eastAsia="Arial" w:hAnsi="Arial"/>
                <w:sz w:val="13"/>
                <w:szCs w:val="13"/>
                <w:b w:val="1"/>
                <w:bCs w:val="1"/>
                <w:color w:val="auto"/>
                <w:w w:val="87"/>
              </w:rPr>
              <w:t>Year Ended December 31, 2019</w:t>
            </w:r>
          </w:p>
        </w:tc>
        <w:tc>
          <w:tcPr>
            <w:tcW w:w="100" w:type="dxa"/>
            <w:vAlign w:val="bottom"/>
          </w:tcPr>
          <w:p>
            <w:pPr>
              <w:spacing w:after="0"/>
              <w:rPr>
                <w:sz w:val="13"/>
                <w:szCs w:val="13"/>
                <w:color w:val="auto"/>
              </w:rPr>
            </w:pPr>
          </w:p>
        </w:tc>
        <w:tc>
          <w:tcPr>
            <w:tcW w:w="2060" w:type="dxa"/>
            <w:vAlign w:val="bottom"/>
            <w:gridSpan w:val="7"/>
          </w:tcPr>
          <w:p>
            <w:pPr>
              <w:ind w:left="100"/>
              <w:spacing w:after="0"/>
              <w:rPr>
                <w:sz w:val="20"/>
                <w:szCs w:val="20"/>
                <w:color w:val="auto"/>
              </w:rPr>
            </w:pPr>
            <w:r>
              <w:rPr>
                <w:rFonts w:ascii="Arial" w:cs="Arial" w:eastAsia="Arial" w:hAnsi="Arial"/>
                <w:sz w:val="13"/>
                <w:szCs w:val="13"/>
                <w:b w:val="1"/>
                <w:bCs w:val="1"/>
                <w:color w:val="auto"/>
              </w:rPr>
              <w:t>Year Ended December 31, 2018</w:t>
            </w:r>
          </w:p>
        </w:tc>
      </w:tr>
      <w:tr>
        <w:trPr>
          <w:trHeight w:val="124"/>
        </w:trPr>
        <w:tc>
          <w:tcPr>
            <w:tcW w:w="2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160"/>
              <w:spacing w:after="0" w:line="124" w:lineRule="exact"/>
              <w:rPr>
                <w:sz w:val="20"/>
                <w:szCs w:val="20"/>
                <w:color w:val="auto"/>
              </w:rPr>
            </w:pPr>
            <w:r>
              <w:rPr>
                <w:rFonts w:ascii="Arial" w:cs="Arial" w:eastAsia="Arial" w:hAnsi="Arial"/>
                <w:sz w:val="13"/>
                <w:szCs w:val="13"/>
                <w:b w:val="1"/>
                <w:bCs w:val="1"/>
                <w:color w:val="auto"/>
                <w:w w:val="88"/>
              </w:rPr>
              <w:t>Weighted</w:t>
            </w: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center"/>
              <w:ind w:right="46"/>
              <w:spacing w:after="0" w:line="124" w:lineRule="exact"/>
              <w:rPr>
                <w:sz w:val="20"/>
                <w:szCs w:val="20"/>
                <w:color w:val="auto"/>
              </w:rPr>
            </w:pPr>
            <w:r>
              <w:rPr>
                <w:rFonts w:ascii="Arial" w:cs="Arial" w:eastAsia="Arial" w:hAnsi="Arial"/>
                <w:sz w:val="13"/>
                <w:szCs w:val="13"/>
                <w:b w:val="1"/>
                <w:bCs w:val="1"/>
                <w:color w:val="auto"/>
                <w:w w:val="85"/>
              </w:rPr>
              <w:t>Per</w:t>
            </w: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88"/>
              </w:rPr>
              <w:t>Weighted</w:t>
            </w: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ind w:right="26"/>
              <w:spacing w:after="0" w:line="124" w:lineRule="exact"/>
              <w:rPr>
                <w:sz w:val="20"/>
                <w:szCs w:val="20"/>
                <w:color w:val="auto"/>
              </w:rPr>
            </w:pPr>
            <w:r>
              <w:rPr>
                <w:rFonts w:ascii="Arial" w:cs="Arial" w:eastAsia="Arial" w:hAnsi="Arial"/>
                <w:sz w:val="13"/>
                <w:szCs w:val="13"/>
                <w:b w:val="1"/>
                <w:bCs w:val="1"/>
                <w:color w:val="auto"/>
                <w:w w:val="85"/>
              </w:rPr>
              <w:t>Per</w:t>
            </w: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ind w:right="160"/>
              <w:spacing w:after="0" w:line="124" w:lineRule="exact"/>
              <w:rPr>
                <w:sz w:val="20"/>
                <w:szCs w:val="20"/>
                <w:color w:val="auto"/>
              </w:rPr>
            </w:pPr>
            <w:r>
              <w:rPr>
                <w:rFonts w:ascii="Arial" w:cs="Arial" w:eastAsia="Arial" w:hAnsi="Arial"/>
                <w:sz w:val="13"/>
                <w:szCs w:val="13"/>
                <w:b w:val="1"/>
                <w:bCs w:val="1"/>
                <w:color w:val="auto"/>
                <w:w w:val="85"/>
              </w:rPr>
              <w:t>Weighted</w:t>
            </w: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ind w:right="8"/>
              <w:spacing w:after="0" w:line="124" w:lineRule="exact"/>
              <w:rPr>
                <w:sz w:val="20"/>
                <w:szCs w:val="20"/>
                <w:color w:val="auto"/>
              </w:rPr>
            </w:pPr>
            <w:r>
              <w:rPr>
                <w:rFonts w:ascii="Arial" w:cs="Arial" w:eastAsia="Arial" w:hAnsi="Arial"/>
                <w:sz w:val="13"/>
                <w:szCs w:val="13"/>
                <w:b w:val="1"/>
                <w:bCs w:val="1"/>
                <w:color w:val="auto"/>
                <w:w w:val="85"/>
              </w:rPr>
              <w:t>Per</w:t>
            </w:r>
          </w:p>
        </w:tc>
        <w:tc>
          <w:tcPr>
            <w:tcW w:w="80" w:type="dxa"/>
            <w:vAlign w:val="bottom"/>
          </w:tcPr>
          <w:p>
            <w:pPr>
              <w:spacing w:after="0"/>
              <w:rPr>
                <w:sz w:val="10"/>
                <w:szCs w:val="10"/>
                <w:color w:val="auto"/>
              </w:rPr>
            </w:pPr>
          </w:p>
        </w:tc>
      </w:tr>
      <w:tr>
        <w:trPr>
          <w:trHeight w:val="148"/>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Average</w:t>
            </w:r>
          </w:p>
        </w:tc>
        <w:tc>
          <w:tcPr>
            <w:tcW w:w="7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Average</w:t>
            </w:r>
          </w:p>
        </w:tc>
        <w:tc>
          <w:tcPr>
            <w:tcW w:w="7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Average</w:t>
            </w:r>
          </w:p>
        </w:tc>
        <w:tc>
          <w:tcPr>
            <w:tcW w:w="7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8"/>
              </w:rPr>
              <w:t>Common</w:t>
            </w:r>
          </w:p>
        </w:tc>
      </w:tr>
      <w:tr>
        <w:trPr>
          <w:trHeight w:val="148"/>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Net</w:t>
            </w: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Common</w:t>
            </w:r>
          </w:p>
        </w:tc>
        <w:tc>
          <w:tcPr>
            <w:tcW w:w="120" w:type="dxa"/>
            <w:vAlign w:val="bottom"/>
          </w:tcPr>
          <w:p>
            <w:pPr>
              <w:spacing w:after="0"/>
              <w:rPr>
                <w:sz w:val="12"/>
                <w:szCs w:val="12"/>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Share</w:t>
            </w:r>
          </w:p>
        </w:tc>
        <w:tc>
          <w:tcPr>
            <w:tcW w:w="10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Net</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Common</w:t>
            </w:r>
          </w:p>
        </w:tc>
        <w:tc>
          <w:tcPr>
            <w:tcW w:w="120" w:type="dxa"/>
            <w:vAlign w:val="bottom"/>
          </w:tcPr>
          <w:p>
            <w:pPr>
              <w:spacing w:after="0"/>
              <w:rPr>
                <w:sz w:val="12"/>
                <w:szCs w:val="12"/>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Share</w:t>
            </w:r>
          </w:p>
        </w:tc>
        <w:tc>
          <w:tcPr>
            <w:tcW w:w="100" w:type="dxa"/>
            <w:vAlign w:val="bottom"/>
          </w:tcPr>
          <w:p>
            <w:pPr>
              <w:spacing w:after="0"/>
              <w:rPr>
                <w:sz w:val="12"/>
                <w:szCs w:val="12"/>
                <w:color w:val="auto"/>
              </w:rPr>
            </w:pP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Net</w:t>
            </w: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Common</w:t>
            </w:r>
          </w:p>
        </w:tc>
        <w:tc>
          <w:tcPr>
            <w:tcW w:w="80" w:type="dxa"/>
            <w:vAlign w:val="bottom"/>
          </w:tcPr>
          <w:p>
            <w:pPr>
              <w:spacing w:after="0"/>
              <w:rPr>
                <w:sz w:val="12"/>
                <w:szCs w:val="12"/>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2"/>
              </w:rPr>
              <w:t>Share</w:t>
            </w:r>
          </w:p>
        </w:tc>
      </w:tr>
      <w:tr>
        <w:trPr>
          <w:trHeight w:val="153"/>
        </w:trPr>
        <w:tc>
          <w:tcPr>
            <w:tcW w:w="2380" w:type="dxa"/>
            <w:vAlign w:val="bottom"/>
            <w:gridSpan w:val="2"/>
          </w:tcPr>
          <w:p>
            <w:pPr>
              <w:ind w:left="20"/>
              <w:spacing w:after="0"/>
              <w:rPr>
                <w:sz w:val="20"/>
                <w:szCs w:val="20"/>
                <w:color w:val="auto"/>
              </w:rPr>
            </w:pPr>
            <w:r>
              <w:rPr>
                <w:rFonts w:ascii="Arial" w:cs="Arial" w:eastAsia="Arial" w:hAnsi="Arial"/>
                <w:sz w:val="13"/>
                <w:szCs w:val="13"/>
                <w:b w:val="1"/>
                <w:bCs w:val="1"/>
                <w:color w:val="auto"/>
                <w:w w:val="96"/>
              </w:rPr>
              <w:t>(In millions, except per share amounts)</w:t>
            </w:r>
          </w:p>
        </w:tc>
        <w:tc>
          <w:tcPr>
            <w:tcW w:w="80" w:type="dxa"/>
            <w:vAlign w:val="bottom"/>
          </w:tcPr>
          <w:p>
            <w:pPr>
              <w:spacing w:after="0"/>
              <w:rPr>
                <w:sz w:val="13"/>
                <w:szCs w:val="13"/>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Income</w:t>
            </w: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2"/>
              </w:rPr>
              <w:t>Shares</w:t>
            </w:r>
          </w:p>
        </w:tc>
        <w:tc>
          <w:tcPr>
            <w:tcW w:w="7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Income</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Shares</w:t>
            </w:r>
          </w:p>
        </w:tc>
        <w:tc>
          <w:tcPr>
            <w:tcW w:w="7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Income</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Shares</w:t>
            </w:r>
          </w:p>
        </w:tc>
        <w:tc>
          <w:tcPr>
            <w:tcW w:w="80" w:type="dxa"/>
            <w:vAlign w:val="bottom"/>
          </w:tcPr>
          <w:p>
            <w:pPr>
              <w:spacing w:after="0"/>
              <w:rPr>
                <w:sz w:val="13"/>
                <w:szCs w:val="13"/>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Amount</w:t>
            </w:r>
          </w:p>
        </w:tc>
      </w:tr>
      <w:tr>
        <w:trPr>
          <w:trHeight w:val="196"/>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193.1</w:t>
            </w: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9"/>
              </w:rPr>
              <w:t>109.0</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80" w:type="dxa"/>
            <w:vAlign w:val="bottom"/>
            <w:tcBorders>
              <w:top w:val="single" w:sz="8" w:color="CCEEFF"/>
            </w:tcBorders>
            <w:shd w:val="clear" w:color="auto" w:fill="CCEEFF"/>
          </w:tcPr>
          <w:p>
            <w:pPr>
              <w:spacing w:after="0"/>
              <w:rPr>
                <w:sz w:val="17"/>
                <w:szCs w:val="17"/>
                <w:color w:val="auto"/>
              </w:rPr>
            </w:pPr>
          </w:p>
        </w:tc>
      </w:tr>
      <w:tr>
        <w:trPr>
          <w:trHeight w:val="213"/>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Effect of Dilutive Securities: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(0.02)</w:t>
            </w:r>
          </w:p>
        </w:tc>
      </w:tr>
      <w:tr>
        <w:trPr>
          <w:trHeight w:val="199"/>
        </w:trPr>
        <w:tc>
          <w:tcPr>
            <w:tcW w:w="2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9"/>
              </w:rPr>
              <w:t>109.0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700" w:hanging="650"/>
        <w:spacing w:after="0"/>
        <w:tabs>
          <w:tab w:leader="none" w:pos="7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AWARDS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share-based compensation plans which are described as follows:</w:t>
      </w:r>
    </w:p>
    <w:p>
      <w:pPr>
        <w:spacing w:after="0" w:line="225"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i w:val="1"/>
          <w:iCs w:val="1"/>
          <w:color w:val="auto"/>
        </w:rPr>
        <w:t xml:space="preserve">2016 Incentive Compensation Plan: </w:t>
      </w:r>
      <w:r>
        <w:rPr>
          <w:rFonts w:ascii="Arial" w:cs="Arial" w:eastAsia="Arial" w:hAnsi="Arial"/>
          <w:sz w:val="17"/>
          <w:szCs w:val="17"/>
          <w:color w:val="auto"/>
        </w:rPr>
        <w:t>The 2016 Incentive Compensation Plan (the “2016 Plan”) serves as a successor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2007 Incentive Compensation Plan and all other predecessor plans. No further grants will be made under the predecessor stock option plans. Under the 2016 Plan, 2.5 million shares of common stock were reserved for issuance. Shareholders approved the 2016 Plan at the 2016 Annual Meeting of Shareholders.</w:t>
      </w:r>
    </w:p>
    <w:p>
      <w:pPr>
        <w:spacing w:after="0" w:line="171"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The 2016 Plan consists of four separate incentive compensation programs: (i) the discretionary grant program, (ii) the stock issuance program, (iii) the incentive bonus program, and (iv) the automatic grant program for the non-employee members of the Company’s Board of Directors. Share-based compensation is generally awarded under three of the four programs, as more fully described below.</w:t>
      </w:r>
    </w:p>
    <w:p>
      <w:pPr>
        <w:spacing w:after="0" w:line="119"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i w:val="1"/>
          <w:iCs w:val="1"/>
          <w:color w:val="auto"/>
        </w:rPr>
        <w:t xml:space="preserve">Discretionary Grant Program </w:t>
      </w:r>
      <w:r>
        <w:rPr>
          <w:rFonts w:ascii="Arial" w:cs="Arial" w:eastAsia="Arial" w:hAnsi="Arial"/>
          <w:sz w:val="18"/>
          <w:szCs w:val="18"/>
          <w:color w:val="auto"/>
        </w:rPr>
        <w:t>— Under the Discretionary Grant Program, stock options may be granted with an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no less than 100 percent of the fair market value (defined as the closing market price) of the Company’s common stock on the date of the grant. Options generally become exercisable ratably over three years and have a maximum contractual term of 10 years.</w:t>
      </w:r>
    </w:p>
    <w:p>
      <w:pPr>
        <w:spacing w:after="0" w:line="119"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i w:val="1"/>
          <w:iCs w:val="1"/>
          <w:color w:val="auto"/>
        </w:rPr>
        <w:t xml:space="preserve">Stock Issuance Program </w:t>
      </w:r>
      <w:r>
        <w:rPr>
          <w:rFonts w:ascii="Arial" w:cs="Arial" w:eastAsia="Arial" w:hAnsi="Arial"/>
          <w:sz w:val="18"/>
          <w:szCs w:val="18"/>
          <w:color w:val="auto"/>
        </w:rPr>
        <w:t>— Under the Stock Issuance Program, shares of common stock, restricted stock units 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shares may be granted. Time-based equity awards generally vest ratably over three years. Provided certain three-year performance targets are achieved, performance-based equity awards generally vest on the three-year anniversary date of the grant.</w:t>
      </w:r>
    </w:p>
    <w:p>
      <w:pPr>
        <w:spacing w:after="0" w:line="187" w:lineRule="exact"/>
        <w:rPr>
          <w:sz w:val="20"/>
          <w:szCs w:val="20"/>
          <w:color w:val="auto"/>
        </w:rPr>
      </w:pPr>
    </w:p>
    <w:p>
      <w:pPr>
        <w:ind w:left="60" w:right="399"/>
        <w:spacing w:after="0" w:line="259" w:lineRule="auto"/>
        <w:rPr>
          <w:sz w:val="20"/>
          <w:szCs w:val="20"/>
          <w:color w:val="auto"/>
        </w:rPr>
      </w:pPr>
      <w:r>
        <w:rPr>
          <w:rFonts w:ascii="Arial" w:cs="Arial" w:eastAsia="Arial" w:hAnsi="Arial"/>
          <w:sz w:val="18"/>
          <w:szCs w:val="18"/>
          <w:i w:val="1"/>
          <w:iCs w:val="1"/>
          <w:color w:val="auto"/>
        </w:rPr>
        <w:t xml:space="preserve">Automatic Grant Program </w:t>
      </w:r>
      <w:r>
        <w:rPr>
          <w:rFonts w:ascii="Arial" w:cs="Arial" w:eastAsia="Arial" w:hAnsi="Arial"/>
          <w:sz w:val="18"/>
          <w:szCs w:val="18"/>
          <w:color w:val="auto"/>
        </w:rPr>
        <w:t>— At each annual shareholder meeting, non-employee directors will receive an award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 that entitle the holder to an equivalent number of shares of common stock upon vesting, under the automatic grant program. Awards of restricted stock units granted under the program generally vest on the one-year anniversary of the grant date.</w:t>
      </w:r>
    </w:p>
    <w:p>
      <w:pPr>
        <w:spacing w:after="0" w:line="92"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color w:val="auto"/>
        </w:rPr>
        <w:t>The shares of common stock authorized to be issued under the 2016 Plan may be drawn from shares of the Company’s authorized but unissued common stock or from shares of its common stock that the Company acquires, including shares purchased on the open market or in private transactions.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8" w:lineRule="auto"/>
        <w:rPr>
          <w:sz w:val="20"/>
          <w:szCs w:val="20"/>
          <w:color w:val="auto"/>
        </w:rPr>
      </w:pPr>
      <w:r>
        <w:rPr>
          <w:rFonts w:ascii="Arial" w:cs="Arial" w:eastAsia="Arial" w:hAnsi="Arial"/>
          <w:sz w:val="18"/>
          <w:szCs w:val="18"/>
          <w:color w:val="auto"/>
        </w:rPr>
        <w:t>Share-based compensation expense and other information related to share-based awards for the years ended December 31, 2020, 2019 and 2018 are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Share-based compensation expense, net of estimated forfeitures (in millions)</w:t>
            </w:r>
          </w:p>
        </w:tc>
        <w:tc>
          <w:tcPr>
            <w:tcW w:w="120" w:type="dxa"/>
            <w:vAlign w:val="bottom"/>
          </w:tcPr>
          <w:p>
            <w:pPr>
              <w:spacing w:after="0"/>
              <w:rPr>
                <w:sz w:val="14"/>
                <w:szCs w:val="14"/>
                <w:color w:val="auto"/>
              </w:rPr>
            </w:pPr>
          </w:p>
        </w:tc>
        <w:tc>
          <w:tcPr>
            <w:tcW w:w="1960" w:type="dxa"/>
            <w:vAlign w:val="bottom"/>
            <w:gridSpan w:val="8"/>
          </w:tcPr>
          <w:p>
            <w:pPr>
              <w:ind w:left="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Intrinsic value of options exercised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benefit realized upon stock vesting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Fair value of stock vested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As of December 31, 2020, there was no unrecognized compensation cost related to non-vested stock options. As of December 31, 2020, unrecognized compensation cost related to non-vested restricted stock units and performance-based equity awards was $17.7 million. Unrecognized compensation cost is expected to be recognized over a weighted average period of approximately 1.7 years.</w:t>
      </w:r>
    </w:p>
    <w:p>
      <w:pPr>
        <w:spacing w:after="0" w:line="92" w:lineRule="exact"/>
        <w:rPr>
          <w:sz w:val="20"/>
          <w:szCs w:val="20"/>
          <w:color w:val="auto"/>
        </w:rPr>
      </w:pPr>
    </w:p>
    <w:p>
      <w:pPr>
        <w:ind w:left="60" w:right="679"/>
        <w:spacing w:after="0" w:line="258" w:lineRule="auto"/>
        <w:rPr>
          <w:sz w:val="20"/>
          <w:szCs w:val="20"/>
          <w:color w:val="auto"/>
        </w:rPr>
      </w:pPr>
      <w:r>
        <w:rPr>
          <w:rFonts w:ascii="Arial" w:cs="Arial" w:eastAsia="Arial" w:hAnsi="Arial"/>
          <w:sz w:val="18"/>
          <w:szCs w:val="18"/>
          <w:color w:val="auto"/>
        </w:rPr>
        <w:t>Stock option activity for the year ended December 31, 2020 was as follows (in thousands, except weighted average exercise price and weighted average contractual life):</w:t>
      </w:r>
    </w:p>
    <w:tbl>
      <w:tblPr>
        <w:tblLayout w:type="fixed"/>
        <w:tblInd w:w="40" w:type="dxa"/>
        <w:tblCellMar>
          <w:top w:w="0" w:type="dxa"/>
          <w:left w:w="0" w:type="dxa"/>
          <w:bottom w:w="0" w:type="dxa"/>
          <w:right w:w="0" w:type="dxa"/>
        </w:tblCellMar>
      </w:tblPr>
      <w:tr>
        <w:trPr>
          <w:trHeight w:val="141"/>
        </w:trPr>
        <w:tc>
          <w:tcPr>
            <w:tcW w:w="5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160"/>
              <w:spacing w:after="0" w:line="141" w:lineRule="exact"/>
              <w:rPr>
                <w:sz w:val="20"/>
                <w:szCs w:val="20"/>
                <w:color w:val="auto"/>
              </w:rPr>
            </w:pPr>
            <w:r>
              <w:rPr>
                <w:rFonts w:ascii="Arial" w:cs="Arial" w:eastAsia="Arial" w:hAnsi="Arial"/>
                <w:sz w:val="14"/>
                <w:szCs w:val="14"/>
                <w:b w:val="1"/>
                <w:bCs w:val="1"/>
                <w:color w:val="auto"/>
                <w:w w:val="91"/>
              </w:rPr>
              <w:t>Weighted</w:t>
            </w:r>
          </w:p>
        </w:tc>
        <w:tc>
          <w:tcPr>
            <w:tcW w:w="92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91"/>
              </w:rPr>
              <w:t>Weighted</w:t>
            </w:r>
          </w:p>
        </w:tc>
        <w:tc>
          <w:tcPr>
            <w:tcW w:w="7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2007 Plan</w:t>
            </w: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120"/>
              <w:spacing w:after="0"/>
              <w:rPr>
                <w:sz w:val="20"/>
                <w:szCs w:val="20"/>
                <w:color w:val="auto"/>
              </w:rPr>
            </w:pPr>
            <w:r>
              <w:rPr>
                <w:rFonts w:ascii="Arial" w:cs="Arial" w:eastAsia="Arial" w:hAnsi="Arial"/>
                <w:sz w:val="18"/>
                <w:szCs w:val="18"/>
                <w:color w:val="auto"/>
              </w:rPr>
              <w:t>Exercised</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22.31</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20"/>
              <w:spacing w:after="0"/>
              <w:rPr>
                <w:sz w:val="20"/>
                <w:szCs w:val="20"/>
                <w:color w:val="auto"/>
              </w:rPr>
            </w:pPr>
            <w:r>
              <w:rPr>
                <w:rFonts w:ascii="Arial" w:cs="Arial" w:eastAsia="Arial" w:hAnsi="Arial"/>
                <w:sz w:val="18"/>
                <w:szCs w:val="18"/>
                <w:color w:val="auto"/>
              </w:rPr>
              <w:t>Exercisable at December 31, 2020</w:t>
            </w: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20.84</w:t>
            </w:r>
          </w:p>
        </w:tc>
        <w:tc>
          <w:tcPr>
            <w:tcW w:w="18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gridSpan w:val="2"/>
            <w:vMerge w:val="continue"/>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 w:right="139"/>
        <w:spacing w:after="0" w:line="258" w:lineRule="auto"/>
        <w:rPr>
          <w:sz w:val="20"/>
          <w:szCs w:val="20"/>
          <w:color w:val="auto"/>
        </w:rPr>
      </w:pPr>
      <w:r>
        <w:rPr>
          <w:rFonts w:ascii="Arial" w:cs="Arial" w:eastAsia="Arial" w:hAnsi="Arial"/>
          <w:sz w:val="18"/>
          <w:szCs w:val="18"/>
          <w:color w:val="auto"/>
        </w:rPr>
        <w:t>The following table summarizes non-vested restricted stock unit activity through December 31, 2020 (in thousands, except weighted average grant-date fair value amounts):</w:t>
      </w:r>
    </w:p>
    <w:tbl>
      <w:tblPr>
        <w:tblLayout w:type="fixed"/>
        <w:tblInd w:w="40" w:type="dxa"/>
        <w:tblCellMar>
          <w:top w:w="0" w:type="dxa"/>
          <w:left w:w="0" w:type="dxa"/>
          <w:bottom w:w="0" w:type="dxa"/>
          <w:right w:w="0" w:type="dxa"/>
        </w:tblCellMar>
      </w:tblPr>
      <w:tr>
        <w:trPr>
          <w:trHeight w:val="141"/>
        </w:trPr>
        <w:tc>
          <w:tcPr>
            <w:tcW w:w="22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2"/>
              </w:rPr>
              <w:t>2007 Plan</w:t>
            </w:r>
          </w:p>
        </w:tc>
        <w:tc>
          <w:tcPr>
            <w:tcW w:w="86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5"/>
              </w:rPr>
              <w:t>2016 Plan</w:t>
            </w:r>
          </w:p>
        </w:tc>
        <w:tc>
          <w:tcPr>
            <w:tcW w:w="8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2"/>
                <w:szCs w:val="12"/>
                <w:color w:val="auto"/>
              </w:rPr>
            </w:pPr>
          </w:p>
        </w:tc>
        <w:tc>
          <w:tcPr>
            <w:tcW w:w="880" w:type="dxa"/>
            <w:vAlign w:val="bottom"/>
            <w:gridSpan w:val="2"/>
          </w:tcPr>
          <w:p>
            <w:pPr>
              <w:ind w:left="60"/>
              <w:spacing w:after="0" w:line="141" w:lineRule="exact"/>
              <w:rPr>
                <w:sz w:val="20"/>
                <w:szCs w:val="20"/>
                <w:color w:val="auto"/>
              </w:rPr>
            </w:pPr>
            <w:r>
              <w:rPr>
                <w:rFonts w:ascii="Arial" w:cs="Arial" w:eastAsia="Arial" w:hAnsi="Arial"/>
                <w:sz w:val="14"/>
                <w:szCs w:val="14"/>
                <w:b w:val="1"/>
                <w:bCs w:val="1"/>
                <w:color w:val="auto"/>
              </w:rPr>
              <w:t>Weighted</w:t>
            </w:r>
          </w:p>
        </w:tc>
      </w:tr>
      <w:tr>
        <w:trPr>
          <w:trHeight w:val="148"/>
        </w:trPr>
        <w:tc>
          <w:tcPr>
            <w:tcW w:w="22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Average Grant-</w:t>
            </w:r>
          </w:p>
        </w:tc>
      </w:tr>
      <w:tr>
        <w:trPr>
          <w:trHeight w:val="171"/>
        </w:trPr>
        <w:tc>
          <w:tcPr>
            <w:tcW w:w="22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 Units</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Stock Units</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Stock Units</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Date Fair Value</w:t>
            </w:r>
          </w:p>
        </w:tc>
      </w:tr>
      <w:tr>
        <w:trPr>
          <w:trHeight w:val="209"/>
        </w:trPr>
        <w:tc>
          <w:tcPr>
            <w:tcW w:w="51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gridSpan w:val="3"/>
          </w:tcPr>
          <w:p>
            <w:pPr>
              <w:ind w:left="22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38.68</w:t>
            </w:r>
          </w:p>
        </w:tc>
        <w:tc>
          <w:tcPr>
            <w:tcW w:w="40" w:type="dxa"/>
            <w:vAlign w:val="bottom"/>
          </w:tcPr>
          <w:p>
            <w:pPr>
              <w:spacing w:after="0"/>
              <w:rPr>
                <w:sz w:val="18"/>
                <w:szCs w:val="18"/>
                <w:color w:val="auto"/>
              </w:rPr>
            </w:pPr>
          </w:p>
        </w:tc>
      </w:tr>
      <w:tr>
        <w:trPr>
          <w:trHeight w:val="216"/>
        </w:trPr>
        <w:tc>
          <w:tcPr>
            <w:tcW w:w="52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Settlement of Performance Shares (1)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40" w:type="dxa"/>
            <w:vAlign w:val="bottom"/>
            <w:shd w:val="clear" w:color="auto" w:fill="CCEEFF"/>
          </w:tcPr>
          <w:p>
            <w:pPr>
              <w:spacing w:after="0"/>
              <w:rPr>
                <w:sz w:val="18"/>
                <w:szCs w:val="18"/>
                <w:color w:val="auto"/>
              </w:rPr>
            </w:pPr>
          </w:p>
        </w:tc>
      </w:tr>
      <w:tr>
        <w:trPr>
          <w:trHeight w:val="216"/>
        </w:trPr>
        <w:tc>
          <w:tcPr>
            <w:tcW w:w="5280" w:type="dxa"/>
            <w:vAlign w:val="bottom"/>
            <w:gridSpan w:val="3"/>
          </w:tcPr>
          <w:p>
            <w:pPr>
              <w:ind w:left="220"/>
              <w:spacing w:after="0"/>
              <w:rPr>
                <w:sz w:val="20"/>
                <w:szCs w:val="20"/>
                <w:color w:val="auto"/>
              </w:rPr>
            </w:pPr>
            <w:r>
              <w:rPr>
                <w:rFonts w:ascii="Arial" w:cs="Arial" w:eastAsia="Arial" w:hAnsi="Arial"/>
                <w:sz w:val="18"/>
                <w:szCs w:val="18"/>
                <w:color w:val="auto"/>
              </w:rPr>
              <w:t>Vested</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(339)</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34.86</w:t>
            </w:r>
          </w:p>
        </w:tc>
        <w:tc>
          <w:tcPr>
            <w:tcW w:w="40" w:type="dxa"/>
            <w:vAlign w:val="bottom"/>
          </w:tcPr>
          <w:p>
            <w:pPr>
              <w:spacing w:after="0"/>
              <w:rPr>
                <w:sz w:val="18"/>
                <w:szCs w:val="18"/>
                <w:color w:val="auto"/>
              </w:rPr>
            </w:pPr>
          </w:p>
        </w:tc>
      </w:tr>
      <w:tr>
        <w:trPr>
          <w:trHeight w:val="216"/>
        </w:trPr>
        <w:tc>
          <w:tcPr>
            <w:tcW w:w="52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Canceled</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40" w:type="dxa"/>
            <w:vAlign w:val="bottom"/>
            <w:shd w:val="clear" w:color="auto" w:fill="CCEEFF"/>
          </w:tcPr>
          <w:p>
            <w:pPr>
              <w:spacing w:after="0"/>
              <w:rPr>
                <w:sz w:val="18"/>
                <w:szCs w:val="18"/>
                <w:color w:val="auto"/>
              </w:rPr>
            </w:pPr>
          </w:p>
        </w:tc>
      </w:tr>
      <w:tr>
        <w:trPr>
          <w:trHeight w:val="210"/>
        </w:trPr>
        <w:tc>
          <w:tcPr>
            <w:tcW w:w="5280" w:type="dxa"/>
            <w:vAlign w:val="bottom"/>
            <w:gridSpan w:val="3"/>
          </w:tcPr>
          <w:p>
            <w:pPr>
              <w:ind w:left="20"/>
              <w:spacing w:after="0"/>
              <w:rPr>
                <w:sz w:val="20"/>
                <w:szCs w:val="20"/>
                <w:color w:val="auto"/>
              </w:rPr>
            </w:pPr>
            <w:r>
              <w:rPr>
                <w:rFonts w:ascii="Arial" w:cs="Arial" w:eastAsia="Arial" w:hAnsi="Arial"/>
                <w:sz w:val="18"/>
                <w:szCs w:val="18"/>
                <w:color w:val="auto"/>
              </w:rPr>
              <w:t>Outstanding at December 31, 2020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35.14</w:t>
            </w:r>
          </w:p>
        </w:tc>
        <w:tc>
          <w:tcPr>
            <w:tcW w:w="4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76" w:lineRule="exact"/>
        <w:rPr>
          <w:sz w:val="20"/>
          <w:szCs w:val="20"/>
          <w:color w:val="auto"/>
        </w:rPr>
      </w:pPr>
    </w:p>
    <w:p>
      <w:pPr>
        <w:ind w:left="380" w:hanging="330"/>
        <w:spacing w:after="0"/>
        <w:tabs>
          <w:tab w:leader="none" w:pos="3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shares paid out above target.</w:t>
      </w:r>
    </w:p>
    <w:p>
      <w:pPr>
        <w:spacing w:after="0" w:line="200" w:lineRule="exact"/>
        <w:rPr>
          <w:sz w:val="20"/>
          <w:szCs w:val="20"/>
          <w:color w:val="auto"/>
        </w:rPr>
      </w:pPr>
    </w:p>
    <w:p>
      <w:pPr>
        <w:spacing w:after="0" w:line="220" w:lineRule="exact"/>
        <w:rPr>
          <w:sz w:val="20"/>
          <w:szCs w:val="20"/>
          <w:color w:val="auto"/>
        </w:rPr>
      </w:pPr>
    </w:p>
    <w:p>
      <w:pPr>
        <w:ind w:left="700" w:hanging="650"/>
        <w:spacing w:after="0"/>
        <w:tabs>
          <w:tab w:leader="none" w:pos="7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78"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The Company uses Level 1 inputs for the fair values of its cash, cash equivalents and restricted cash, and Level 2 inputs for its variable and fixed rate debt. The fair values of cash, cash equivalents and restricted cash, and variable rate debt approximate their carrying values due to the nature of the instruments. The fair value of fixed rate debt is calculated based upon interest rates available for debt with terms and maturities similar to the Company’s existing debt arrangements.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58" w:lineRule="auto"/>
        <w:rPr>
          <w:sz w:val="20"/>
          <w:szCs w:val="20"/>
          <w:color w:val="auto"/>
        </w:rPr>
      </w:pPr>
      <w:r>
        <w:rPr>
          <w:rFonts w:ascii="Arial" w:cs="Arial" w:eastAsia="Arial" w:hAnsi="Arial"/>
          <w:sz w:val="18"/>
          <w:szCs w:val="18"/>
          <w:color w:val="auto"/>
        </w:rPr>
        <w:t>The carrying value and fair value of the Company’s financial instruments as of December 31, 2020 and 2019 are as follows:</w:t>
      </w:r>
    </w:p>
    <w:tbl>
      <w:tblPr>
        <w:tblLayout w:type="fixed"/>
        <w:tblInd w:w="40" w:type="dxa"/>
        <w:tblCellMar>
          <w:top w:w="0" w:type="dxa"/>
          <w:left w:w="0" w:type="dxa"/>
          <w:bottom w:w="0" w:type="dxa"/>
          <w:right w:w="0" w:type="dxa"/>
        </w:tblCellMar>
      </w:tblPr>
      <w:tr>
        <w:trPr>
          <w:trHeight w:val="141"/>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94"/>
              <w:spacing w:after="0" w:line="141" w:lineRule="exact"/>
              <w:rPr>
                <w:sz w:val="20"/>
                <w:szCs w:val="20"/>
                <w:color w:val="auto"/>
              </w:rPr>
            </w:pPr>
            <w:r>
              <w:rPr>
                <w:rFonts w:ascii="Arial" w:cs="Arial" w:eastAsia="Arial" w:hAnsi="Arial"/>
                <w:sz w:val="14"/>
                <w:szCs w:val="14"/>
                <w:b w:val="1"/>
                <w:bCs w:val="1"/>
                <w:color w:val="auto"/>
                <w:w w:val="97"/>
              </w:rPr>
              <w:t>Significant</w:t>
            </w:r>
          </w:p>
        </w:tc>
        <w:tc>
          <w:tcPr>
            <w:tcW w:w="120" w:type="dxa"/>
            <w:vAlign w:val="bottom"/>
          </w:tcPr>
          <w:p>
            <w:pPr>
              <w:spacing w:after="0"/>
              <w:rPr>
                <w:sz w:val="12"/>
                <w:szCs w:val="12"/>
                <w:color w:val="auto"/>
              </w:rPr>
            </w:pPr>
          </w:p>
        </w:tc>
        <w:tc>
          <w:tcPr>
            <w:tcW w:w="1040" w:type="dxa"/>
            <w:vAlign w:val="bottom"/>
            <w:gridSpan w:val="3"/>
          </w:tcPr>
          <w:p>
            <w:pPr>
              <w:jc w:val="center"/>
              <w:ind w:right="20"/>
              <w:spacing w:after="0" w:line="141"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5"/>
              </w:rPr>
              <w:t>Carrying Value</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Inputs (Level 2)</w:t>
            </w:r>
          </w:p>
        </w:tc>
        <w:tc>
          <w:tcPr>
            <w:tcW w:w="12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Inputs (Level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December 31, 2020</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73"/>
              </w:rPr>
              <w:t>Value Measurements</w:t>
            </w: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ind w:left="80"/>
              <w:spacing w:after="0" w:line="129" w:lineRule="exact"/>
              <w:rPr>
                <w:sz w:val="20"/>
                <w:szCs w:val="20"/>
                <w:color w:val="auto"/>
              </w:rPr>
            </w:pPr>
            <w:r>
              <w:rPr>
                <w:rFonts w:ascii="Arial" w:cs="Arial" w:eastAsia="Arial" w:hAnsi="Arial"/>
                <w:sz w:val="14"/>
                <w:szCs w:val="14"/>
                <w:b w:val="1"/>
                <w:bCs w:val="1"/>
                <w:color w:val="auto"/>
                <w:w w:val="94"/>
              </w:rPr>
              <w:t>at December 31,</w:t>
            </w:r>
          </w:p>
        </w:tc>
        <w:tc>
          <w:tcPr>
            <w:tcW w:w="56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3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Fixed rate debt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688.3</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686.7</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686.7</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9"/>
          </w:tcPr>
          <w:p>
            <w:pPr>
              <w:ind w:left="620"/>
              <w:spacing w:after="0"/>
              <w:rPr>
                <w:sz w:val="20"/>
                <w:szCs w:val="20"/>
                <w:color w:val="auto"/>
              </w:rPr>
            </w:pPr>
            <w:r>
              <w:rPr>
                <w:rFonts w:ascii="Arial" w:cs="Arial" w:eastAsia="Arial" w:hAnsi="Arial"/>
                <w:sz w:val="14"/>
                <w:szCs w:val="14"/>
                <w:b w:val="1"/>
                <w:bCs w:val="1"/>
                <w:color w:val="auto"/>
                <w:w w:val="98"/>
              </w:rPr>
              <w:t>Fair Value Measurements at December 31, 2019</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3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Fixed rate debt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579.3</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585.9</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585.9</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700" w:hanging="650"/>
        <w:spacing w:after="0"/>
        <w:tabs>
          <w:tab w:leader="none" w:pos="7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Commitments and contractual obligations, excluding debt obligations (see Note 8), lease commitments (see Note 9), pension and post-retirement plan commitments, and multi-employer bargaining plan withdrawal obligations (see Note 11 and 12), are as follows as of December 31, 2020:</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Commitments and Contractual Obligations (in millions)</w:t>
            </w:r>
          </w:p>
        </w:tc>
        <w:tc>
          <w:tcPr>
            <w:tcW w:w="16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10"/>
        </w:trPr>
        <w:tc>
          <w:tcPr>
            <w:tcW w:w="78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Standby letters of credit (1)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080" w:type="dxa"/>
            <w:vAlign w:val="bottom"/>
            <w:gridSpan w:val="3"/>
          </w:tcPr>
          <w:p>
            <w:pPr>
              <w:ind w:left="20"/>
              <w:spacing w:after="0"/>
              <w:rPr>
                <w:sz w:val="20"/>
                <w:szCs w:val="20"/>
                <w:color w:val="auto"/>
              </w:rPr>
            </w:pPr>
            <w:r>
              <w:rPr>
                <w:rFonts w:ascii="Arial" w:cs="Arial" w:eastAsia="Arial" w:hAnsi="Arial"/>
                <w:sz w:val="18"/>
                <w:szCs w:val="18"/>
                <w:color w:val="auto"/>
              </w:rPr>
              <w:t>Bonds (2)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8"/>
                <w:szCs w:val="18"/>
                <w:color w:val="auto"/>
              </w:rPr>
            </w:pPr>
          </w:p>
        </w:tc>
      </w:tr>
      <w:tr>
        <w:trPr>
          <w:trHeight w:val="216"/>
        </w:trPr>
        <w:tc>
          <w:tcPr>
            <w:tcW w:w="8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Vendor and other obligations (3)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60" w:type="dxa"/>
            <w:vAlign w:val="bottom"/>
            <w:shd w:val="clear" w:color="auto" w:fill="CCEEFF"/>
          </w:tcPr>
          <w:p>
            <w:pPr>
              <w:spacing w:after="0"/>
              <w:rPr>
                <w:sz w:val="18"/>
                <w:szCs w:val="18"/>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5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bl>
    <w:p>
      <w:pPr>
        <w:spacing w:after="0" w:line="62" w:lineRule="exact"/>
        <w:rPr>
          <w:sz w:val="20"/>
          <w:szCs w:val="20"/>
          <w:color w:val="auto"/>
        </w:rPr>
      </w:pPr>
    </w:p>
    <w:p>
      <w:pPr>
        <w:ind w:left="380" w:hanging="330"/>
        <w:spacing w:after="0"/>
        <w:tabs>
          <w:tab w:leader="none" w:pos="3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Standby letters of credit are required for the Company’s uninsured workers’ compensation and other insurance programs, and other needs.</w:t>
      </w:r>
    </w:p>
    <w:p>
      <w:pPr>
        <w:ind w:left="380" w:hanging="330"/>
        <w:spacing w:after="0" w:line="221" w:lineRule="auto"/>
        <w:tabs>
          <w:tab w:leader="none" w:pos="3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Bonds are required for U.S. Customs and other related matters.</w:t>
      </w:r>
    </w:p>
    <w:p>
      <w:pPr>
        <w:ind w:left="380" w:right="199" w:hanging="330"/>
        <w:spacing w:after="0" w:line="232" w:lineRule="auto"/>
        <w:tabs>
          <w:tab w:leader="none" w:pos="3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Vendor and other obligations include: (i) non-cancellable contractual capital project obligations; (ii) dry-docking related obligations; and (iii) other contractual obligations. Amounts are considered obligations if a contract has been agreed to specifying significant terms of the contract, and the amounts are not reflected in the Consolidated Balance Sheets.</w:t>
      </w:r>
    </w:p>
    <w:p>
      <w:pPr>
        <w:spacing w:after="0" w:line="187"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These amounts are not recorded on the Company’s Consolidated Balance Sheets and it is not expected that the Company or its subsidiaries will be called upon to advance funds under these commitments.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Contingencies and other litigation related matters are described as follows:</w:t>
      </w:r>
    </w:p>
    <w:p>
      <w:pPr>
        <w:spacing w:after="0" w:line="225" w:lineRule="exact"/>
        <w:rPr>
          <w:sz w:val="20"/>
          <w:szCs w:val="20"/>
          <w:color w:val="auto"/>
        </w:rPr>
      </w:pPr>
    </w:p>
    <w:p>
      <w:pPr>
        <w:ind w:left="60" w:right="199"/>
        <w:spacing w:after="0" w:line="286"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The Company’s Ocean Transportation segment has certain risks that could result in expenditures</w:t>
      </w:r>
      <w:r>
        <w:rPr>
          <w:rFonts w:ascii="Arial" w:cs="Arial" w:eastAsia="Arial" w:hAnsi="Arial"/>
          <w:sz w:val="17"/>
          <w:szCs w:val="17"/>
          <w:i w:val="1"/>
          <w:iCs w:val="1"/>
          <w:color w:val="auto"/>
        </w:rPr>
        <w:t xml:space="preserve"> </w:t>
      </w:r>
      <w:r>
        <w:rPr>
          <w:rFonts w:ascii="Arial" w:cs="Arial" w:eastAsia="Arial" w:hAnsi="Arial"/>
          <w:sz w:val="17"/>
          <w:szCs w:val="17"/>
          <w:color w:val="auto"/>
        </w:rPr>
        <w:t>for environmental remediation. The Company believes that based on all information available to it, the Company is currently in compliance, in all material respects, with applicable environmental laws and regulations.</w:t>
      </w:r>
    </w:p>
    <w:p>
      <w:pPr>
        <w:spacing w:after="0" w:line="165"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INFORMATION (Unaudited)</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Segment results by quarter for 2020 and 2019 are as follows:</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10"/>
          </w:tcPr>
          <w:p>
            <w:pPr>
              <w:jc w:val="right"/>
              <w:ind w:right="31"/>
              <w:spacing w:after="0"/>
              <w:rPr>
                <w:sz w:val="20"/>
                <w:szCs w:val="20"/>
                <w:color w:val="auto"/>
              </w:rPr>
            </w:pPr>
            <w:r>
              <w:rPr>
                <w:rFonts w:ascii="Arial" w:cs="Arial" w:eastAsia="Arial" w:hAnsi="Arial"/>
                <w:sz w:val="14"/>
                <w:szCs w:val="14"/>
                <w:b w:val="1"/>
                <w:bCs w:val="1"/>
                <w:color w:val="auto"/>
                <w:w w:val="93"/>
              </w:rPr>
              <w:t>Quarters in the Year Ended December 31, 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152"/>
              <w:spacing w:after="0"/>
              <w:rPr>
                <w:sz w:val="20"/>
                <w:szCs w:val="20"/>
                <w:color w:val="auto"/>
              </w:rPr>
            </w:pPr>
            <w:r>
              <w:rPr>
                <w:rFonts w:ascii="Arial" w:cs="Arial" w:eastAsia="Arial" w:hAnsi="Arial"/>
                <w:sz w:val="14"/>
                <w:szCs w:val="14"/>
                <w:b w:val="1"/>
                <w:bCs w:val="1"/>
                <w:color w:val="auto"/>
              </w:rPr>
              <w:t>Q1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151"/>
              <w:spacing w:after="0"/>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131"/>
              <w:spacing w:after="0"/>
              <w:rPr>
                <w:sz w:val="20"/>
                <w:szCs w:val="20"/>
                <w:color w:val="auto"/>
              </w:rPr>
            </w:pPr>
            <w:r>
              <w:rPr>
                <w:rFonts w:ascii="Arial" w:cs="Arial" w:eastAsia="Arial" w:hAnsi="Arial"/>
                <w:sz w:val="14"/>
                <w:szCs w:val="14"/>
                <w:b w:val="1"/>
                <w:bCs w:val="1"/>
                <w:color w:val="auto"/>
              </w:rPr>
              <w:t>Q3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ind w:left="80"/>
              <w:spacing w:after="0"/>
              <w:rPr>
                <w:sz w:val="20"/>
                <w:szCs w:val="20"/>
                <w:color w:val="auto"/>
              </w:rPr>
            </w:pPr>
            <w:r>
              <w:rPr>
                <w:rFonts w:ascii="Arial" w:cs="Arial" w:eastAsia="Arial" w:hAnsi="Arial"/>
                <w:sz w:val="14"/>
                <w:szCs w:val="14"/>
                <w:b w:val="1"/>
                <w:bCs w:val="1"/>
                <w:color w:val="auto"/>
              </w:rPr>
              <w:t>Q4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400.9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410.8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498.3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543.9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113.3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146.9</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5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513.9</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524.1</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645.2</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700.1</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42.3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ind w:left="300"/>
              <w:spacing w:after="0"/>
              <w:rPr>
                <w:sz w:val="20"/>
                <w:szCs w:val="20"/>
                <w:color w:val="auto"/>
              </w:rPr>
            </w:pPr>
            <w:r>
              <w:rPr>
                <w:rFonts w:ascii="Arial" w:cs="Arial" w:eastAsia="Arial" w:hAnsi="Arial"/>
                <w:sz w:val="18"/>
                <w:szCs w:val="18"/>
                <w:color w:val="auto"/>
              </w:rPr>
              <w:t>Total Operating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0.76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0"/>
          </w:tcPr>
          <w:p>
            <w:pPr>
              <w:jc w:val="right"/>
              <w:ind w:right="31"/>
              <w:spacing w:after="0"/>
              <w:rPr>
                <w:sz w:val="20"/>
                <w:szCs w:val="20"/>
                <w:color w:val="auto"/>
              </w:rPr>
            </w:pPr>
            <w:r>
              <w:rPr>
                <w:rFonts w:ascii="Arial" w:cs="Arial" w:eastAsia="Arial" w:hAnsi="Arial"/>
                <w:sz w:val="14"/>
                <w:szCs w:val="14"/>
                <w:b w:val="1"/>
                <w:bCs w:val="1"/>
                <w:color w:val="auto"/>
                <w:w w:val="93"/>
              </w:rPr>
              <w:t>Quarters in the Year Ended December 31, 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152"/>
              <w:spacing w:after="0"/>
              <w:rPr>
                <w:sz w:val="20"/>
                <w:szCs w:val="20"/>
                <w:color w:val="auto"/>
              </w:rPr>
            </w:pPr>
            <w:r>
              <w:rPr>
                <w:rFonts w:ascii="Arial" w:cs="Arial" w:eastAsia="Arial" w:hAnsi="Arial"/>
                <w:sz w:val="14"/>
                <w:szCs w:val="14"/>
                <w:b w:val="1"/>
                <w:bCs w:val="1"/>
                <w:color w:val="auto"/>
              </w:rPr>
              <w:t>Q1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151"/>
              <w:spacing w:after="0"/>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131"/>
              <w:spacing w:after="0"/>
              <w:rPr>
                <w:sz w:val="20"/>
                <w:szCs w:val="20"/>
                <w:color w:val="auto"/>
              </w:rPr>
            </w:pPr>
            <w:r>
              <w:rPr>
                <w:rFonts w:ascii="Arial" w:cs="Arial" w:eastAsia="Arial" w:hAnsi="Arial"/>
                <w:sz w:val="14"/>
                <w:szCs w:val="14"/>
                <w:b w:val="1"/>
                <w:bCs w:val="1"/>
                <w:color w:val="auto"/>
              </w:rPr>
              <w:t>Q3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ind w:left="80"/>
              <w:spacing w:after="0"/>
              <w:rPr>
                <w:sz w:val="20"/>
                <w:szCs w:val="20"/>
                <w:color w:val="auto"/>
              </w:rPr>
            </w:pPr>
            <w:r>
              <w:rPr>
                <w:rFonts w:ascii="Arial" w:cs="Arial" w:eastAsia="Arial" w:hAnsi="Arial"/>
                <w:sz w:val="14"/>
                <w:szCs w:val="14"/>
                <w:b w:val="1"/>
                <w:bCs w:val="1"/>
                <w:color w:val="auto"/>
              </w:rPr>
              <w:t>Q4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397.9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415.4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437.2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416.1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142.5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134.9</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532.4</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557.9</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572.1</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540.7</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ind w:left="300"/>
              <w:spacing w:after="0"/>
              <w:rPr>
                <w:sz w:val="20"/>
                <w:szCs w:val="20"/>
                <w:color w:val="auto"/>
              </w:rPr>
            </w:pPr>
            <w:r>
              <w:rPr>
                <w:rFonts w:ascii="Arial" w:cs="Arial" w:eastAsia="Arial" w:hAnsi="Arial"/>
                <w:sz w:val="18"/>
                <w:szCs w:val="18"/>
                <w:color w:val="auto"/>
              </w:rPr>
              <w:t>Total Operating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79"/>
        <w:spacing w:after="0" w:line="308" w:lineRule="auto"/>
        <w:rPr>
          <w:sz w:val="20"/>
          <w:szCs w:val="20"/>
          <w:color w:val="auto"/>
        </w:rPr>
      </w:pPr>
      <w:r>
        <w:rPr>
          <w:rFonts w:ascii="Arial" w:cs="Arial" w:eastAsia="Arial" w:hAnsi="Arial"/>
          <w:sz w:val="17"/>
          <w:szCs w:val="17"/>
          <w:color w:val="auto"/>
        </w:rPr>
        <w:t>The following infrequent transactions impacted the Company’s quarterly segment results during the year ended December 31, 2019. There were no infrequent transactions recorded during the year ended December 31, 2020.</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000" w:type="dxa"/>
            <w:vAlign w:val="bottom"/>
            <w:gridSpan w:val="12"/>
          </w:tcPr>
          <w:p>
            <w:pPr>
              <w:ind w:left="20"/>
              <w:spacing w:after="0"/>
              <w:rPr>
                <w:sz w:val="20"/>
                <w:szCs w:val="20"/>
                <w:color w:val="auto"/>
              </w:rPr>
            </w:pPr>
            <w:r>
              <w:rPr>
                <w:rFonts w:ascii="Arial" w:cs="Arial" w:eastAsia="Arial" w:hAnsi="Arial"/>
                <w:sz w:val="14"/>
                <w:szCs w:val="14"/>
                <w:b w:val="1"/>
                <w:bCs w:val="1"/>
                <w:color w:val="auto"/>
                <w:w w:val="95"/>
              </w:rPr>
              <w:t>Quarters in the Year Ended December 31, 2019</w:t>
            </w:r>
          </w:p>
        </w:tc>
        <w:tc>
          <w:tcPr>
            <w:tcW w:w="0" w:type="dxa"/>
            <w:vAlign w:val="bottom"/>
          </w:tcPr>
          <w:p>
            <w:pPr>
              <w:spacing w:after="0"/>
              <w:rPr>
                <w:sz w:val="1"/>
                <w:szCs w:val="1"/>
                <w:color w:val="auto"/>
              </w:rPr>
            </w:pPr>
          </w:p>
        </w:tc>
      </w:tr>
      <w:tr>
        <w:trPr>
          <w:trHeight w:val="142"/>
        </w:trPr>
        <w:tc>
          <w:tcPr>
            <w:tcW w:w="590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Q1</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right"/>
              <w:ind w:right="464"/>
              <w:spacing w:after="0" w:line="142" w:lineRule="exact"/>
              <w:rPr>
                <w:sz w:val="20"/>
                <w:szCs w:val="20"/>
                <w:color w:val="auto"/>
              </w:rPr>
            </w:pPr>
            <w:r>
              <w:rPr>
                <w:rFonts w:ascii="Arial" w:cs="Arial" w:eastAsia="Arial" w:hAnsi="Arial"/>
                <w:sz w:val="14"/>
                <w:szCs w:val="14"/>
                <w:b w:val="1"/>
                <w:bCs w:val="1"/>
                <w:color w:val="auto"/>
              </w:rPr>
              <w:t>Q2</w:t>
            </w:r>
          </w:p>
        </w:tc>
        <w:tc>
          <w:tcPr>
            <w:tcW w:w="800" w:type="dxa"/>
            <w:vAlign w:val="bottom"/>
            <w:tcBorders>
              <w:top w:val="single" w:sz="8" w:color="auto"/>
            </w:tcBorders>
            <w:gridSpan w:val="3"/>
          </w:tcPr>
          <w:p>
            <w:pPr>
              <w:jc w:val="right"/>
              <w:ind w:right="464"/>
              <w:spacing w:after="0" w:line="142" w:lineRule="exact"/>
              <w:rPr>
                <w:sz w:val="20"/>
                <w:szCs w:val="20"/>
                <w:color w:val="auto"/>
              </w:rPr>
            </w:pPr>
            <w:r>
              <w:rPr>
                <w:rFonts w:ascii="Arial" w:cs="Arial" w:eastAsia="Arial" w:hAnsi="Arial"/>
                <w:sz w:val="14"/>
                <w:szCs w:val="14"/>
                <w:b w:val="1"/>
                <w:bCs w:val="1"/>
                <w:color w:val="auto"/>
              </w:rPr>
              <w:t>Q3</w:t>
            </w:r>
          </w:p>
        </w:tc>
        <w:tc>
          <w:tcPr>
            <w:tcW w:w="4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Q4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taxes - Discrete adjustments related to the Tax Act (1)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Amounts relate to discrete adjustments as a result of applying the Tax Act during the year ended December 31,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 w:right="999" w:hanging="44"/>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Conclusion Regarding Effectiveness of Disclosure Controls and Procedures</w:t>
      </w:r>
    </w:p>
    <w:p>
      <w:pPr>
        <w:spacing w:after="0" w:line="229"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(the “Exchange Act”)) as of the end of the period covered by this report. Based on such evaluation, the Company’s Chief Executive Officer and Chief Financial Officer have concluded that, as of the end of such period, the Company’s disclosure controls and procedures are effective.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See page 37 for management’s annual report on internal control over financial reporting, which is incorporated herein by reference.</w:t>
      </w:r>
    </w:p>
    <w:p>
      <w:pPr>
        <w:spacing w:after="0" w:line="170"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color w:val="auto"/>
        </w:rPr>
        <w:t>See page 38 for the attestation report of the independent registered public accounting firm on the Company’s internal control over financial reporting, which is incorporated herein by reference.</w:t>
      </w:r>
    </w:p>
    <w:p>
      <w:pPr>
        <w:spacing w:after="0" w:line="170" w:lineRule="exact"/>
        <w:rPr>
          <w:sz w:val="20"/>
          <w:szCs w:val="20"/>
          <w:color w:val="auto"/>
        </w:rPr>
      </w:pPr>
    </w:p>
    <w:p>
      <w:pPr>
        <w:ind w:left="60" w:right="319"/>
        <w:spacing w:after="0" w:line="259"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Company’s fiscal fourth quarter ended December 31, 2020, that have materially affected, or are reasonably likely to materially affect, the Company’s internal control over financial reporting.</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ind w:left="1340" w:hanging="642"/>
        <w:spacing w:after="0"/>
        <w:tabs>
          <w:tab w:leader="none" w:pos="13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The information about the Directors of Matson required under this item will be included under the section captioned “Election of Directors” in Matson’s Proxy Statement for the 2021 Annual Meeting of Shareholders to be filed with the SEC within 120 days of the fiscal year ended December 31, 2020 (“Matson’s 2021 Proxy Statement”), which section is incorporated herein by reference.</w:t>
      </w:r>
    </w:p>
    <w:p>
      <w:pPr>
        <w:spacing w:after="0" w:line="183" w:lineRule="exact"/>
        <w:rPr>
          <w:sz w:val="20"/>
          <w:szCs w:val="20"/>
          <w:color w:val="auto"/>
        </w:rPr>
      </w:pPr>
    </w:p>
    <w:p>
      <w:pPr>
        <w:ind w:left="1340" w:hanging="642"/>
        <w:spacing w:after="0"/>
        <w:tabs>
          <w:tab w:leader="none" w:pos="13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ind w:left="60" w:right="239"/>
        <w:spacing w:after="0" w:line="342" w:lineRule="auto"/>
        <w:rPr>
          <w:sz w:val="20"/>
          <w:szCs w:val="20"/>
          <w:color w:val="auto"/>
        </w:rPr>
      </w:pPr>
      <w:r>
        <w:rPr>
          <w:rFonts w:ascii="Arial" w:cs="Arial" w:eastAsia="Arial" w:hAnsi="Arial"/>
          <w:sz w:val="16"/>
          <w:szCs w:val="16"/>
          <w:color w:val="auto"/>
        </w:rPr>
        <w:t>The information about the executive officers of Matson required under this item will be included under the subsection captioned “Executive Officers” in Matson’s 2021 Proxy Statement, which subsection is incorporated herein by reference.</w:t>
      </w:r>
    </w:p>
    <w:p>
      <w:pPr>
        <w:spacing w:after="0" w:line="120" w:lineRule="exact"/>
        <w:rPr>
          <w:sz w:val="20"/>
          <w:szCs w:val="20"/>
          <w:color w:val="auto"/>
        </w:rPr>
      </w:pPr>
    </w:p>
    <w:p>
      <w:pPr>
        <w:ind w:left="1340" w:hanging="642"/>
        <w:spacing w:after="0"/>
        <w:tabs>
          <w:tab w:leader="none" w:pos="13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jc w:val="both"/>
        <w:ind w:left="60" w:right="339"/>
        <w:spacing w:after="0" w:line="259" w:lineRule="auto"/>
        <w:rPr>
          <w:sz w:val="20"/>
          <w:szCs w:val="20"/>
          <w:color w:val="auto"/>
        </w:rPr>
      </w:pPr>
      <w:r>
        <w:rPr>
          <w:rFonts w:ascii="Arial" w:cs="Arial" w:eastAsia="Arial" w:hAnsi="Arial"/>
          <w:sz w:val="18"/>
          <w:szCs w:val="18"/>
          <w:color w:val="auto"/>
        </w:rPr>
        <w:t>The information about the Audit Committee of the Matson Board of Directors and compliance with Section 16(a) of the Exchange Act, will be included under the subsections captioned “Board of Directors and Committees of Board” and, if applicable, “Delinquent Section 16(a) Reports” in Matson’s 2021 Proxy Statement, which subsections are incorporated herein by reference.</w:t>
      </w:r>
    </w:p>
    <w:p>
      <w:pPr>
        <w:spacing w:after="0" w:line="183" w:lineRule="exact"/>
        <w:rPr>
          <w:sz w:val="20"/>
          <w:szCs w:val="20"/>
          <w:color w:val="auto"/>
        </w:rPr>
      </w:pPr>
    </w:p>
    <w:p>
      <w:pPr>
        <w:ind w:left="1340" w:hanging="642"/>
        <w:spacing w:after="0"/>
        <w:tabs>
          <w:tab w:leader="none" w:pos="13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left="60" w:right="279"/>
        <w:spacing w:after="0" w:line="342" w:lineRule="auto"/>
        <w:rPr>
          <w:sz w:val="20"/>
          <w:szCs w:val="20"/>
          <w:color w:val="auto"/>
        </w:rPr>
      </w:pPr>
      <w:r>
        <w:rPr>
          <w:rFonts w:ascii="Arial" w:cs="Arial" w:eastAsia="Arial" w:hAnsi="Arial"/>
          <w:sz w:val="16"/>
          <w:szCs w:val="16"/>
          <w:color w:val="auto"/>
        </w:rPr>
        <w:t>The information about Matson’s Code of Ethics required under this item will be included under the subsection captioned “Code of Ethics” in Matson’s 2021 Proxy Statement, which subsection is incorporated herein by reference.</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The information required under this item will be included under the section captioned “Executive Compensation” and the subsections captioned “Compensation of Directors” and “Pay Risk Assessment” in Matson’s 2021 Proxy Statement, which section and subsections are incorporated herein by reference.</w:t>
      </w:r>
    </w:p>
    <w:p>
      <w:pPr>
        <w:spacing w:after="0" w:line="180" w:lineRule="exact"/>
        <w:rPr>
          <w:sz w:val="20"/>
          <w:szCs w:val="20"/>
          <w:color w:val="auto"/>
        </w:rPr>
      </w:pPr>
    </w:p>
    <w:p>
      <w:pPr>
        <w:ind w:left="60" w:right="103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left="60" w:right="479"/>
        <w:spacing w:after="0" w:line="258" w:lineRule="auto"/>
        <w:rPr>
          <w:sz w:val="20"/>
          <w:szCs w:val="20"/>
          <w:color w:val="auto"/>
        </w:rPr>
      </w:pPr>
      <w:r>
        <w:rPr>
          <w:rFonts w:ascii="Arial" w:cs="Arial" w:eastAsia="Arial" w:hAnsi="Arial"/>
          <w:sz w:val="18"/>
          <w:szCs w:val="18"/>
          <w:i w:val="1"/>
          <w:iCs w:val="1"/>
          <w:color w:val="auto"/>
        </w:rPr>
        <w:t xml:space="preserve">Equity Compensation Plan Information: </w:t>
      </w:r>
      <w:r>
        <w:rPr>
          <w:rFonts w:ascii="Arial" w:cs="Arial" w:eastAsia="Arial" w:hAnsi="Arial"/>
          <w:sz w:val="18"/>
          <w:szCs w:val="18"/>
          <w:color w:val="auto"/>
        </w:rPr>
        <w:t>The following table sets forth, as of December 31, 2020, certain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Matson’s equity compensation plan:</w:t>
      </w:r>
    </w:p>
    <w:tbl>
      <w:tblPr>
        <w:tblLayout w:type="fixed"/>
        <w:tblInd w:w="40" w:type="dxa"/>
        <w:tblCellMar>
          <w:top w:w="0" w:type="dxa"/>
          <w:left w:w="0" w:type="dxa"/>
          <w:bottom w:w="0" w:type="dxa"/>
          <w:right w:w="0" w:type="dxa"/>
        </w:tblCellMar>
      </w:tblPr>
      <w:tr>
        <w:trPr>
          <w:trHeight w:val="141"/>
        </w:trPr>
        <w:tc>
          <w:tcPr>
            <w:tcW w:w="2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Number of shares</w:t>
            </w: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240" w:type="dxa"/>
            <w:vAlign w:val="bottom"/>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to be issued</w:t>
            </w:r>
          </w:p>
        </w:tc>
        <w:tc>
          <w:tcPr>
            <w:tcW w:w="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upon exercise of</w:t>
            </w:r>
          </w:p>
        </w:tc>
        <w:tc>
          <w:tcPr>
            <w:tcW w:w="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40" w:type="dxa"/>
            <w:vAlign w:val="bottom"/>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8"/>
        </w:trPr>
        <w:tc>
          <w:tcPr>
            <w:tcW w:w="4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80" w:type="dxa"/>
            <w:vAlign w:val="bottom"/>
          </w:tcPr>
          <w:p>
            <w:pPr>
              <w:spacing w:after="0"/>
              <w:rPr>
                <w:sz w:val="12"/>
                <w:szCs w:val="12"/>
                <w:color w:val="auto"/>
              </w:rPr>
            </w:pPr>
          </w:p>
        </w:tc>
        <w:tc>
          <w:tcPr>
            <w:tcW w:w="1500" w:type="dxa"/>
            <w:vAlign w:val="bottom"/>
            <w:gridSpan w:val="2"/>
          </w:tcPr>
          <w:p>
            <w:pPr>
              <w:jc w:val="center"/>
              <w:ind w:right="139"/>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plans (excluding shares</w:t>
            </w:r>
          </w:p>
        </w:tc>
        <w:tc>
          <w:tcPr>
            <w:tcW w:w="0" w:type="dxa"/>
            <w:vAlign w:val="bottom"/>
          </w:tcPr>
          <w:p>
            <w:pPr>
              <w:spacing w:after="0"/>
              <w:rPr>
                <w:sz w:val="1"/>
                <w:szCs w:val="1"/>
                <w:color w:val="auto"/>
              </w:rPr>
            </w:pPr>
          </w:p>
        </w:tc>
      </w:tr>
      <w:tr>
        <w:trPr>
          <w:trHeight w:val="171"/>
        </w:trPr>
        <w:tc>
          <w:tcPr>
            <w:tcW w:w="4140" w:type="dxa"/>
            <w:vAlign w:val="bottom"/>
            <w:gridSpan w:val="3"/>
            <w:vMerge w:val="continue"/>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warrants and rights</w:t>
            </w:r>
          </w:p>
        </w:tc>
        <w:tc>
          <w:tcPr>
            <w:tcW w:w="80" w:type="dxa"/>
            <w:vAlign w:val="bottom"/>
          </w:tcPr>
          <w:p>
            <w:pPr>
              <w:spacing w:after="0"/>
              <w:rPr>
                <w:sz w:val="14"/>
                <w:szCs w:val="14"/>
                <w:color w:val="auto"/>
              </w:rPr>
            </w:pPr>
          </w:p>
        </w:tc>
        <w:tc>
          <w:tcPr>
            <w:tcW w:w="150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93"/>
              </w:rPr>
              <w:t>warrants and rights</w:t>
            </w: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reflected in column (a))</w:t>
            </w:r>
          </w:p>
        </w:tc>
        <w:tc>
          <w:tcPr>
            <w:tcW w:w="0" w:type="dxa"/>
            <w:vAlign w:val="bottom"/>
          </w:tcPr>
          <w:p>
            <w:pPr>
              <w:spacing w:after="0"/>
              <w:rPr>
                <w:sz w:val="1"/>
                <w:szCs w:val="1"/>
                <w:color w:val="auto"/>
              </w:rPr>
            </w:pPr>
          </w:p>
        </w:tc>
      </w:tr>
      <w:tr>
        <w:trPr>
          <w:trHeight w:val="196"/>
        </w:trPr>
        <w:tc>
          <w:tcPr>
            <w:tcW w:w="224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(a)</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(b)</w:t>
            </w:r>
          </w:p>
        </w:tc>
        <w:tc>
          <w:tcPr>
            <w:tcW w:w="2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(c)</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gridSpan w:val="3"/>
          </w:tcPr>
          <w:p>
            <w:pPr>
              <w:ind w:left="20"/>
              <w:spacing w:after="0"/>
              <w:rPr>
                <w:sz w:val="20"/>
                <w:szCs w:val="20"/>
                <w:color w:val="auto"/>
              </w:rPr>
            </w:pPr>
            <w:r>
              <w:rPr>
                <w:rFonts w:ascii="Arial" w:cs="Arial" w:eastAsia="Arial" w:hAnsi="Arial"/>
                <w:sz w:val="16"/>
                <w:szCs w:val="16"/>
                <w:color w:val="auto"/>
              </w:rPr>
              <w:t>Equity compensation plans approved by shareholders</w:t>
            </w: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793,080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20.84</w:t>
            </w:r>
          </w:p>
        </w:tc>
        <w:tc>
          <w:tcPr>
            <w:tcW w:w="240" w:type="dxa"/>
            <w:vAlign w:val="bottom"/>
          </w:tcPr>
          <w:p>
            <w:pPr>
              <w:jc w:val="right"/>
              <w:spacing w:after="0"/>
              <w:rPr>
                <w:sz w:val="20"/>
                <w:szCs w:val="20"/>
                <w:color w:val="auto"/>
              </w:rPr>
            </w:pPr>
            <w:r>
              <w:rPr>
                <w:rFonts w:ascii="Arial" w:cs="Arial" w:eastAsia="Arial" w:hAnsi="Arial"/>
                <w:sz w:val="16"/>
                <w:szCs w:val="16"/>
                <w:color w:val="auto"/>
                <w:w w:val="91"/>
              </w:rPr>
              <w:t>(2)</w:t>
            </w: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1,000,659 (3)</w:t>
            </w:r>
          </w:p>
        </w:tc>
        <w:tc>
          <w:tcPr>
            <w:tcW w:w="0" w:type="dxa"/>
            <w:vAlign w:val="bottom"/>
          </w:tcPr>
          <w:p>
            <w:pPr>
              <w:spacing w:after="0"/>
              <w:rPr>
                <w:sz w:val="1"/>
                <w:szCs w:val="1"/>
                <w:color w:val="auto"/>
              </w:rPr>
            </w:pPr>
          </w:p>
        </w:tc>
      </w:tr>
      <w:tr>
        <w:trPr>
          <w:trHeight w:val="203"/>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Equity compensation plans not approved by shareholders</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140" w:type="dxa"/>
            <w:vAlign w:val="bottom"/>
            <w:gridSpan w:val="3"/>
          </w:tcPr>
          <w:p>
            <w:pPr>
              <w:ind w:left="220"/>
              <w:spacing w:after="0"/>
              <w:rPr>
                <w:sz w:val="20"/>
                <w:szCs w:val="20"/>
                <w:color w:val="auto"/>
              </w:rPr>
            </w:pPr>
            <w:r>
              <w:rPr>
                <w:rFonts w:ascii="Arial" w:cs="Arial" w:eastAsia="Arial" w:hAnsi="Arial"/>
                <w:sz w:val="16"/>
                <w:szCs w:val="16"/>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793,080</w:t>
            </w:r>
          </w:p>
        </w:tc>
        <w:tc>
          <w:tcPr>
            <w:tcW w:w="24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20.84</w:t>
            </w:r>
          </w:p>
        </w:tc>
        <w:tc>
          <w:tcPr>
            <w:tcW w:w="24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1,000,659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40" w:type="dxa"/>
            <w:vAlign w:val="bottom"/>
            <w:tcBorders>
              <w:bottom w:val="single" w:sz="8" w:color="auto"/>
            </w:tcBorders>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80" w:right="459" w:hanging="330"/>
        <w:spacing w:after="0" w:line="230" w:lineRule="auto"/>
        <w:tabs>
          <w:tab w:leader="none" w:pos="3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 addition to 982 shares subject to outstanding stock option awards, this also includes 413,237 shares subject to unvested restricted stock unit awards and 378,861 shares subject to unvested Performance Share awards.</w:t>
      </w:r>
    </w:p>
    <w:p>
      <w:pPr>
        <w:ind w:left="380" w:right="399" w:hanging="330"/>
        <w:spacing w:after="0" w:line="221" w:lineRule="auto"/>
        <w:tabs>
          <w:tab w:leader="none" w:pos="3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As restricted stock unit and Performance Share awards do not have exercise prices, the weighted average exercise price is computed using only outstanding stock option awards.</w:t>
      </w:r>
    </w:p>
    <w:p>
      <w:pPr>
        <w:ind w:left="380" w:hanging="330"/>
        <w:spacing w:after="0"/>
        <w:tabs>
          <w:tab w:leader="none" w:pos="3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These shares are available for issuance under the Company’s 2016 Incentive Compensation Plan.</w:t>
      </w:r>
    </w:p>
    <w:p>
      <w:pPr>
        <w:spacing w:after="0" w:line="196" w:lineRule="exact"/>
        <w:rPr>
          <w:sz w:val="20"/>
          <w:szCs w:val="20"/>
          <w:color w:val="auto"/>
        </w:rPr>
      </w:pPr>
    </w:p>
    <w:p>
      <w:pPr>
        <w:ind w:left="60" w:right="219"/>
        <w:spacing w:after="0" w:line="286" w:lineRule="auto"/>
        <w:rPr>
          <w:sz w:val="20"/>
          <w:szCs w:val="20"/>
          <w:color w:val="auto"/>
        </w:rPr>
      </w:pPr>
      <w:r>
        <w:rPr>
          <w:rFonts w:ascii="Arial" w:cs="Arial" w:eastAsia="Arial" w:hAnsi="Arial"/>
          <w:sz w:val="17"/>
          <w:szCs w:val="17"/>
          <w:color w:val="auto"/>
        </w:rPr>
        <w:t>Other information required under this item will be included under the section captioned “Security Ownership of Certain Shareholders” and the subsections captioned “Security Ownership of Directors and Executive Officers” in Matson’s 2021 Proxy Statement, which section and subsections are incorporated herein by reference.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1499"/>
        <w:spacing w:after="0" w:line="282"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6" w:lineRule="exact"/>
        <w:rPr>
          <w:sz w:val="20"/>
          <w:szCs w:val="20"/>
          <w:color w:val="auto"/>
        </w:rPr>
      </w:pPr>
    </w:p>
    <w:p>
      <w:pPr>
        <w:ind w:left="60" w:right="519"/>
        <w:spacing w:after="0" w:line="263" w:lineRule="auto"/>
        <w:rPr>
          <w:sz w:val="20"/>
          <w:szCs w:val="20"/>
          <w:color w:val="auto"/>
        </w:rPr>
      </w:pPr>
      <w:r>
        <w:rPr>
          <w:rFonts w:ascii="Arial" w:cs="Arial" w:eastAsia="Arial" w:hAnsi="Arial"/>
          <w:sz w:val="18"/>
          <w:szCs w:val="18"/>
          <w:color w:val="auto"/>
        </w:rPr>
        <w:t>The information required under this item will be included in the section captioned “Election of Directors” and the subsection captioned “Certain Relationships and Transactions” in Matson’s 2021 Proxy Statement, which section and subsection are incorporated herein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60" w:right="479"/>
        <w:spacing w:after="0" w:line="311" w:lineRule="auto"/>
        <w:rPr>
          <w:sz w:val="20"/>
          <w:szCs w:val="20"/>
          <w:color w:val="auto"/>
        </w:rPr>
      </w:pPr>
      <w:r>
        <w:rPr>
          <w:rFonts w:ascii="Arial" w:cs="Arial" w:eastAsia="Arial" w:hAnsi="Arial"/>
          <w:sz w:val="16"/>
          <w:szCs w:val="16"/>
          <w:color w:val="auto"/>
        </w:rPr>
        <w:t>The information concerning principal accountant fees and services required under this item will be included under the sections captioned “Audit Committee Report” and “Ratification of Appointment of Independent Registered Public Accounting Firm” in Matson’s 2021 Proxy Statement, which sections are incorporated herein by reference.</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700" w:hanging="650"/>
        <w:spacing w:after="0"/>
        <w:tabs>
          <w:tab w:leader="none" w:pos="7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Consolidated Financial Statements are set forth in Item 8 of Part II above.</w:t>
      </w:r>
    </w:p>
    <w:p>
      <w:pPr>
        <w:spacing w:after="0" w:line="221" w:lineRule="exact"/>
        <w:rPr>
          <w:sz w:val="20"/>
          <w:szCs w:val="20"/>
          <w:color w:val="auto"/>
        </w:rPr>
      </w:pPr>
    </w:p>
    <w:p>
      <w:pPr>
        <w:ind w:left="700" w:hanging="650"/>
        <w:spacing w:after="0"/>
        <w:tabs>
          <w:tab w:leader="none" w:pos="7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left="60" w:right="919"/>
        <w:spacing w:after="0" w:line="308" w:lineRule="auto"/>
        <w:rPr>
          <w:sz w:val="20"/>
          <w:szCs w:val="20"/>
          <w:color w:val="auto"/>
        </w:rPr>
      </w:pPr>
      <w:r>
        <w:rPr>
          <w:rFonts w:ascii="Arial" w:cs="Arial" w:eastAsia="Arial" w:hAnsi="Arial"/>
          <w:sz w:val="17"/>
          <w:szCs w:val="17"/>
          <w:color w:val="auto"/>
        </w:rPr>
        <w:t>All schedules are omitted because of the absence of the conditions under which they are required or because the information called for is included in the Consolidated Financial Statements or notes thereto.</w:t>
      </w:r>
    </w:p>
    <w:p>
      <w:pPr>
        <w:spacing w:after="0" w:line="142" w:lineRule="exact"/>
        <w:rPr>
          <w:sz w:val="20"/>
          <w:szCs w:val="20"/>
          <w:color w:val="auto"/>
        </w:rPr>
      </w:pPr>
    </w:p>
    <w:p>
      <w:pPr>
        <w:ind w:left="700" w:hanging="650"/>
        <w:spacing w:after="0"/>
        <w:tabs>
          <w:tab w:leader="none" w:pos="7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Exhibits Required by Item 601 of Regulation S</w:t>
      </w:r>
      <w:r>
        <w:rPr>
          <w:rFonts w:ascii="Arial" w:cs="Arial" w:eastAsia="Arial" w:hAnsi="Arial"/>
          <w:sz w:val="18"/>
          <w:szCs w:val="18"/>
          <w:color w:val="auto"/>
        </w:rPr>
        <w:t>-</w:t>
      </w:r>
      <w:r>
        <w:rPr>
          <w:rFonts w:ascii="Arial" w:cs="Arial" w:eastAsia="Arial" w:hAnsi="Arial"/>
          <w:sz w:val="18"/>
          <w:szCs w:val="18"/>
          <w:b w:val="1"/>
          <w:bCs w:val="1"/>
          <w:color w:val="auto"/>
        </w:rPr>
        <w:t>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Exhibits not filed herewith are incorporated by reference to the exhibit number and previous filing shown in parentheses.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All previous exhibits were filed with the Securities and Exchange Commission in Washington, D.C.</w:t>
      </w:r>
    </w:p>
    <w:p>
      <w:pPr>
        <w:spacing w:after="0" w:line="211"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Exhibits filed pursuant to the Securities Exchange Act of 1934 were filed under file number 001-34187. Shareholders may obtain copies of exhibits for a copying and handling charge of $0.15 per page by writing to, Corporate Secretary, Matson, Inc., 555 12th Street, Oakland, California 94607.</w:t>
      </w:r>
    </w:p>
    <w:p>
      <w:pPr>
        <w:spacing w:after="0" w:line="89" w:lineRule="exact"/>
        <w:rPr>
          <w:sz w:val="20"/>
          <w:szCs w:val="20"/>
          <w:color w:val="auto"/>
        </w:rPr>
      </w:pPr>
    </w:p>
    <w:p>
      <w:pPr>
        <w:ind w:left="1120" w:hanging="1064"/>
        <w:spacing w:after="0"/>
        <w:tabs>
          <w:tab w:leader="none" w:pos="11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Plan of acquisition, reorganization, arrangement, liquidation or succession.</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2.1</w:t>
            </w:r>
          </w:p>
        </w:tc>
        <w:tc>
          <w:tcPr>
            <w:tcW w:w="7120" w:type="dxa"/>
            <w:vAlign w:val="bottom"/>
            <w:tcBorders>
              <w:bottom w:val="single" w:sz="8" w:color="0000EE"/>
            </w:tcBorders>
            <w:gridSpan w:val="6"/>
          </w:tcPr>
          <w:p>
            <w:pPr>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Agreement and Plan of Merger, dated as of November 11, 2014, by and among Matson Navigation</w:t>
              </w:r>
            </w:hyperlink>
          </w:p>
        </w:tc>
        <w:tc>
          <w:tcPr>
            <w:tcW w:w="680" w:type="dxa"/>
            <w:vAlign w:val="bottom"/>
            <w:gridSpan w:val="6"/>
          </w:tcPr>
          <w:p>
            <w:pPr>
              <w:spacing w:after="0"/>
              <w:rPr>
                <w:sz w:val="18"/>
                <w:szCs w:val="18"/>
                <w:color w:val="auto"/>
              </w:rPr>
            </w:pPr>
          </w:p>
        </w:tc>
      </w:tr>
      <w:tr>
        <w:trPr>
          <w:trHeight w:val="196"/>
        </w:trPr>
        <w:tc>
          <w:tcPr>
            <w:tcW w:w="1060" w:type="dxa"/>
            <w:vAlign w:val="bottom"/>
          </w:tcPr>
          <w:p>
            <w:pPr>
              <w:spacing w:after="0"/>
              <w:rPr>
                <w:sz w:val="17"/>
                <w:szCs w:val="17"/>
                <w:color w:val="auto"/>
              </w:rPr>
            </w:pPr>
          </w:p>
        </w:tc>
        <w:tc>
          <w:tcPr>
            <w:tcW w:w="77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Company, Inc., Hogan Acquisition Inc. and Horizon Lines, Inc. (incorporated by reference to Exhibit 2.1 of</w:t>
              </w:r>
            </w:hyperlink>
          </w:p>
        </w:tc>
        <w:tc>
          <w:tcPr>
            <w:tcW w:w="4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4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Matson’s Form 8-K dated November 11, 2014).</w:t>
              </w:r>
            </w:hyperlink>
          </w:p>
        </w:tc>
        <w:tc>
          <w:tcPr>
            <w:tcW w:w="4360" w:type="dxa"/>
            <w:vAlign w:val="bottom"/>
            <w:gridSpan w:val="10"/>
          </w:tcPr>
          <w:p>
            <w:pPr>
              <w:spacing w:after="0"/>
              <w:rPr>
                <w:sz w:val="17"/>
                <w:szCs w:val="17"/>
                <w:color w:val="auto"/>
              </w:rPr>
            </w:pPr>
          </w:p>
        </w:tc>
      </w:tr>
      <w:tr>
        <w:trPr>
          <w:trHeight w:val="412"/>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2.2</w:t>
            </w:r>
          </w:p>
        </w:tc>
        <w:tc>
          <w:tcPr>
            <w:tcW w:w="7800" w:type="dxa"/>
            <w:vAlign w:val="bottom"/>
            <w:gridSpan w:val="12"/>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Amendment No. 1 to Agreement and Plan of Merger, dated as of February 13, 2015, by and among Matson</w:t>
              </w:r>
            </w:hyperlink>
          </w:p>
        </w:tc>
      </w:tr>
      <w:tr>
        <w:trPr>
          <w:trHeight w:val="196"/>
        </w:trPr>
        <w:tc>
          <w:tcPr>
            <w:tcW w:w="1060" w:type="dxa"/>
            <w:vAlign w:val="bottom"/>
          </w:tcPr>
          <w:p>
            <w:pPr>
              <w:spacing w:after="0"/>
              <w:rPr>
                <w:sz w:val="17"/>
                <w:szCs w:val="17"/>
                <w:color w:val="auto"/>
              </w:rPr>
            </w:pPr>
          </w:p>
        </w:tc>
        <w:tc>
          <w:tcPr>
            <w:tcW w:w="7720" w:type="dxa"/>
            <w:vAlign w:val="bottom"/>
            <w:tcBorders>
              <w:top w:val="single" w:sz="8" w:color="0000EE"/>
            </w:tcBorders>
            <w:gridSpan w:val="9"/>
          </w:tcPr>
          <w:p>
            <w:pPr>
              <w:spacing w:after="0" w:line="196" w:lineRule="exact"/>
              <w:rPr>
                <w:rFonts w:ascii="Arial" w:cs="Arial" w:eastAsia="Arial" w:hAnsi="Arial"/>
                <w:sz w:val="18"/>
                <w:szCs w:val="18"/>
                <w:color w:val="0000EE"/>
                <w:w w:val="93"/>
              </w:rPr>
            </w:pPr>
            <w:hyperlink r:id="rId127">
              <w:r>
                <w:rPr>
                  <w:rFonts w:ascii="Arial" w:cs="Arial" w:eastAsia="Arial" w:hAnsi="Arial"/>
                  <w:sz w:val="18"/>
                  <w:szCs w:val="18"/>
                  <w:color w:val="0000EE"/>
                  <w:w w:val="93"/>
                </w:rPr>
                <w:t>Navigation Company, Inc., Hogan Acquisition Inc. and Horizon Lines, Inc. (incorporated by reference to</w:t>
              </w:r>
            </w:hyperlink>
          </w:p>
        </w:tc>
        <w:tc>
          <w:tcPr>
            <w:tcW w:w="8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Exhibit 2.1 of Matson’s Form 8-K dated February 17, 2015).</w:t>
              </w:r>
            </w:hyperlink>
          </w:p>
        </w:tc>
        <w:tc>
          <w:tcPr>
            <w:tcW w:w="3180" w:type="dxa"/>
            <w:vAlign w:val="bottom"/>
            <w:tcBorders>
              <w:top w:val="single" w:sz="8" w:color="0000EE"/>
            </w:tcBorders>
            <w:gridSpan w:val="5"/>
          </w:tcPr>
          <w:p>
            <w:pPr>
              <w:spacing w:after="0"/>
              <w:rPr>
                <w:sz w:val="17"/>
                <w:szCs w:val="17"/>
                <w:color w:val="auto"/>
              </w:rPr>
            </w:pPr>
          </w:p>
        </w:tc>
        <w:tc>
          <w:tcPr>
            <w:tcW w:w="240" w:type="dxa"/>
            <w:vAlign w:val="bottom"/>
            <w:gridSpan w:val="4"/>
          </w:tcPr>
          <w:p>
            <w:pPr>
              <w:spacing w:after="0"/>
              <w:rPr>
                <w:sz w:val="17"/>
                <w:szCs w:val="17"/>
                <w:color w:val="auto"/>
              </w:rPr>
            </w:pPr>
          </w:p>
        </w:tc>
      </w:tr>
      <w:tr>
        <w:trPr>
          <w:trHeight w:val="412"/>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2.3</w:t>
            </w:r>
          </w:p>
        </w:tc>
        <w:tc>
          <w:tcPr>
            <w:tcW w:w="7800" w:type="dxa"/>
            <w:vAlign w:val="bottom"/>
            <w:gridSpan w:val="12"/>
          </w:tcPr>
          <w:p>
            <w:pPr>
              <w:spacing w:after="0"/>
              <w:rPr>
                <w:rFonts w:ascii="Arial" w:cs="Arial" w:eastAsia="Arial" w:hAnsi="Arial"/>
                <w:sz w:val="18"/>
                <w:szCs w:val="18"/>
                <w:color w:val="0000EE"/>
                <w:w w:val="93"/>
              </w:rPr>
            </w:pPr>
            <w:hyperlink r:id="rId128">
              <w:r>
                <w:rPr>
                  <w:rFonts w:ascii="Arial" w:cs="Arial" w:eastAsia="Arial" w:hAnsi="Arial"/>
                  <w:sz w:val="18"/>
                  <w:szCs w:val="18"/>
                  <w:color w:val="0000EE"/>
                  <w:w w:val="93"/>
                </w:rPr>
                <w:t>Contribution, Assumption and Purchase Agreement, dated as of November 11, 2014, by and among The</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Pasha Group, SR Holding LLC, Horizon Lines, Inc. and Sunrise Operations LLC (incorporated by reference</w:t>
              </w:r>
            </w:hyperlink>
          </w:p>
        </w:tc>
      </w:tr>
      <w:tr>
        <w:trPr>
          <w:trHeight w:val="196"/>
        </w:trPr>
        <w:tc>
          <w:tcPr>
            <w:tcW w:w="1060" w:type="dxa"/>
            <w:vAlign w:val="bottom"/>
          </w:tcPr>
          <w:p>
            <w:pPr>
              <w:spacing w:after="0"/>
              <w:rPr>
                <w:sz w:val="17"/>
                <w:szCs w:val="17"/>
                <w:color w:val="auto"/>
              </w:rPr>
            </w:pPr>
          </w:p>
        </w:tc>
        <w:tc>
          <w:tcPr>
            <w:tcW w:w="7800" w:type="dxa"/>
            <w:vAlign w:val="bottom"/>
            <w:gridSpan w:val="12"/>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to Exhibit 2.2 of Horizon Lines, Inc.’s Form 8-K dated November 13, 2014).</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2.4</w:t>
            </w:r>
          </w:p>
        </w:tc>
        <w:tc>
          <w:tcPr>
            <w:tcW w:w="7800" w:type="dxa"/>
            <w:vAlign w:val="bottom"/>
            <w:gridSpan w:val="12"/>
          </w:tcPr>
          <w:p>
            <w:pPr>
              <w:spacing w:after="0"/>
              <w:rPr>
                <w:rFonts w:ascii="Arial" w:cs="Arial" w:eastAsia="Arial" w:hAnsi="Arial"/>
                <w:sz w:val="18"/>
                <w:szCs w:val="18"/>
                <w:color w:val="0000EE"/>
                <w:w w:val="91"/>
              </w:rPr>
            </w:pPr>
            <w:hyperlink r:id="rId129">
              <w:r>
                <w:rPr>
                  <w:rFonts w:ascii="Arial" w:cs="Arial" w:eastAsia="Arial" w:hAnsi="Arial"/>
                  <w:sz w:val="18"/>
                  <w:szCs w:val="18"/>
                  <w:color w:val="0000EE"/>
                  <w:w w:val="91"/>
                </w:rPr>
                <w:t>Amendment No. 1 to the Contribution, Assumption and Purchase Agreement, dated as of May 29, 2015, by</w:t>
              </w:r>
            </w:hyperlink>
          </w:p>
        </w:tc>
      </w:tr>
      <w:tr>
        <w:trPr>
          <w:trHeight w:val="196"/>
        </w:trPr>
        <w:tc>
          <w:tcPr>
            <w:tcW w:w="106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and among The Pasha Group, SR Holding LLC, Horizon Lines, Inc. and Sunrise Operations LLC</w:t>
              </w:r>
            </w:hyperlink>
          </w:p>
        </w:tc>
        <w:tc>
          <w:tcPr>
            <w:tcW w:w="720" w:type="dxa"/>
            <w:vAlign w:val="bottom"/>
            <w:tcBorders>
              <w:top w:val="single" w:sz="8" w:color="0000EE"/>
            </w:tcBorders>
            <w:gridSpan w:val="5"/>
          </w:tcPr>
          <w:p>
            <w:pPr>
              <w:spacing w:after="0"/>
              <w:rPr>
                <w:sz w:val="17"/>
                <w:szCs w:val="17"/>
                <w:color w:val="auto"/>
              </w:rPr>
            </w:pPr>
          </w:p>
        </w:tc>
        <w:tc>
          <w:tcPr>
            <w:tcW w:w="60" w:type="dxa"/>
            <w:vAlign w:val="bottom"/>
            <w:gridSpan w:val="2"/>
          </w:tcPr>
          <w:p>
            <w:pPr>
              <w:spacing w:after="0"/>
              <w:rPr>
                <w:sz w:val="17"/>
                <w:szCs w:val="17"/>
                <w:color w:val="auto"/>
              </w:rPr>
            </w:pPr>
          </w:p>
        </w:tc>
      </w:tr>
      <w:tr>
        <w:trPr>
          <w:trHeight w:val="236"/>
        </w:trPr>
        <w:tc>
          <w:tcPr>
            <w:tcW w:w="1060" w:type="dxa"/>
            <w:vAlign w:val="bottom"/>
          </w:tcPr>
          <w:p>
            <w:pPr>
              <w:spacing w:after="0"/>
              <w:rPr>
                <w:sz w:val="20"/>
                <w:szCs w:val="20"/>
                <w:color w:val="auto"/>
              </w:rPr>
            </w:pPr>
          </w:p>
        </w:tc>
        <w:tc>
          <w:tcPr>
            <w:tcW w:w="7800" w:type="dxa"/>
            <w:vAlign w:val="bottom"/>
            <w:gridSpan w:val="12"/>
          </w:tcPr>
          <w:p>
            <w:pPr>
              <w:spacing w:after="0"/>
              <w:rPr>
                <w:rFonts w:ascii="Arial" w:cs="Arial" w:eastAsia="Arial" w:hAnsi="Arial"/>
                <w:sz w:val="18"/>
                <w:szCs w:val="18"/>
                <w:u w:val="single" w:color="auto"/>
                <w:color w:val="0000EE"/>
                <w:w w:val="95"/>
              </w:rPr>
            </w:pPr>
            <w:hyperlink r:id="rId129">
              <w:r>
                <w:rPr>
                  <w:rFonts w:ascii="Arial" w:cs="Arial" w:eastAsia="Arial" w:hAnsi="Arial"/>
                  <w:sz w:val="18"/>
                  <w:szCs w:val="18"/>
                  <w:u w:val="single" w:color="auto"/>
                  <w:color w:val="0000EE"/>
                  <w:w w:val="95"/>
                </w:rPr>
                <w:t>(incorporated by reference to Exhibit 2.2 of Matson’s Form 10-Q for the quarter ended June 30, 2015).</w:t>
              </w:r>
            </w:hyperlink>
          </w:p>
        </w:tc>
      </w:tr>
      <w:tr>
        <w:trPr>
          <w:trHeight w:val="392"/>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2.5</w:t>
            </w:r>
          </w:p>
        </w:tc>
        <w:tc>
          <w:tcPr>
            <w:tcW w:w="7800" w:type="dxa"/>
            <w:vAlign w:val="bottom"/>
            <w:tcBorders>
              <w:bottom w:val="single" w:sz="8" w:color="0000EE"/>
            </w:tcBorders>
            <w:gridSpan w:val="12"/>
          </w:tcPr>
          <w:p>
            <w:pPr>
              <w:spacing w:after="0"/>
              <w:rPr>
                <w:rFonts w:ascii="Arial" w:cs="Arial" w:eastAsia="Arial" w:hAnsi="Arial"/>
                <w:sz w:val="18"/>
                <w:szCs w:val="18"/>
                <w:color w:val="0000EE"/>
                <w:w w:val="89"/>
              </w:rPr>
            </w:pPr>
            <w:hyperlink r:id="rId130">
              <w:r>
                <w:rPr>
                  <w:rFonts w:ascii="Arial" w:cs="Arial" w:eastAsia="Arial" w:hAnsi="Arial"/>
                  <w:sz w:val="18"/>
                  <w:szCs w:val="18"/>
                  <w:color w:val="0000EE"/>
                  <w:w w:val="89"/>
                </w:rPr>
                <w:t>Membership Interest Purchase Agreement, dated as of July 18, 2016, by and between Matson Logistics, Inc.</w:t>
              </w:r>
            </w:hyperlink>
          </w:p>
        </w:tc>
      </w:tr>
      <w:tr>
        <w:trPr>
          <w:trHeight w:val="196"/>
        </w:trPr>
        <w:tc>
          <w:tcPr>
            <w:tcW w:w="1060" w:type="dxa"/>
            <w:vAlign w:val="bottom"/>
          </w:tcPr>
          <w:p>
            <w:pPr>
              <w:spacing w:after="0"/>
              <w:rPr>
                <w:sz w:val="17"/>
                <w:szCs w:val="17"/>
                <w:color w:val="auto"/>
              </w:rPr>
            </w:pPr>
          </w:p>
        </w:tc>
        <w:tc>
          <w:tcPr>
            <w:tcW w:w="7800" w:type="dxa"/>
            <w:vAlign w:val="bottom"/>
            <w:gridSpan w:val="12"/>
          </w:tcPr>
          <w:p>
            <w:pPr>
              <w:spacing w:after="0" w:line="196" w:lineRule="exact"/>
              <w:rPr>
                <w:rFonts w:ascii="Arial" w:cs="Arial" w:eastAsia="Arial" w:hAnsi="Arial"/>
                <w:sz w:val="18"/>
                <w:szCs w:val="18"/>
                <w:color w:val="0000EE"/>
                <w:w w:val="95"/>
              </w:rPr>
            </w:pPr>
            <w:hyperlink r:id="rId130">
              <w:r>
                <w:rPr>
                  <w:rFonts w:ascii="Arial" w:cs="Arial" w:eastAsia="Arial" w:hAnsi="Arial"/>
                  <w:sz w:val="18"/>
                  <w:szCs w:val="18"/>
                  <w:color w:val="0000EE"/>
                  <w:w w:val="95"/>
                </w:rPr>
                <w:t>and Span Holdings, LLC (incorporated by reference to Exhibit 2.1 of Matson’s Form 8-K dated July 19,</w:t>
              </w:r>
            </w:hyperlink>
          </w:p>
        </w:tc>
      </w:tr>
      <w:tr>
        <w:trPr>
          <w:trHeight w:val="196"/>
        </w:trPr>
        <w:tc>
          <w:tcPr>
            <w:tcW w:w="10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30">
              <w:r>
                <w:rPr>
                  <w:rFonts w:ascii="Arial" w:cs="Arial" w:eastAsia="Arial" w:hAnsi="Arial"/>
                  <w:sz w:val="18"/>
                  <w:szCs w:val="18"/>
                  <w:color w:val="0000EE"/>
                  <w:w w:val="86"/>
                </w:rPr>
                <w:t>2016).</w:t>
              </w:r>
            </w:hyperlink>
          </w:p>
        </w:tc>
        <w:tc>
          <w:tcPr>
            <w:tcW w:w="29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bl>
    <w:p>
      <w:pPr>
        <w:spacing w:after="0" w:line="229" w:lineRule="exact"/>
        <w:rPr>
          <w:sz w:val="20"/>
          <w:szCs w:val="20"/>
          <w:color w:val="auto"/>
        </w:rPr>
      </w:pPr>
    </w:p>
    <w:p>
      <w:pPr>
        <w:ind w:left="1120" w:hanging="1064"/>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3.1</w:t>
            </w:r>
          </w:p>
        </w:tc>
        <w:tc>
          <w:tcPr>
            <w:tcW w:w="7820" w:type="dxa"/>
            <w:vAlign w:val="bottom"/>
            <w:tcBorders>
              <w:bottom w:val="single" w:sz="8" w:color="0000EE"/>
            </w:tcBorders>
            <w:gridSpan w:val="5"/>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Amended and Restated Articles of Incorporation of Matson, Inc. (incorporated by reference to Exhibit 3.1 of</w:t>
              </w:r>
            </w:hyperlink>
          </w:p>
        </w:tc>
      </w:tr>
      <w:tr>
        <w:trPr>
          <w:trHeight w:val="196"/>
        </w:trPr>
        <w:tc>
          <w:tcPr>
            <w:tcW w:w="1060" w:type="dxa"/>
            <w:vAlign w:val="bottom"/>
          </w:tcPr>
          <w:p>
            <w:pPr>
              <w:spacing w:after="0"/>
              <w:rPr>
                <w:sz w:val="17"/>
                <w:szCs w:val="17"/>
                <w:color w:val="auto"/>
              </w:rPr>
            </w:pPr>
          </w:p>
        </w:tc>
        <w:tc>
          <w:tcPr>
            <w:tcW w:w="42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Matson’s Form 10-Q for the quarter ended June 30, 2012).</w:t>
              </w:r>
            </w:hyperlink>
          </w:p>
        </w:tc>
        <w:tc>
          <w:tcPr>
            <w:tcW w:w="3600" w:type="dxa"/>
            <w:vAlign w:val="bottom"/>
            <w:gridSpan w:val="3"/>
          </w:tcPr>
          <w:p>
            <w:pPr>
              <w:spacing w:after="0"/>
              <w:rPr>
                <w:sz w:val="17"/>
                <w:szCs w:val="17"/>
                <w:color w:val="auto"/>
              </w:rPr>
            </w:pPr>
          </w:p>
        </w:tc>
      </w:tr>
      <w:tr>
        <w:trPr>
          <w:trHeight w:val="412"/>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3.2</w:t>
            </w:r>
          </w:p>
        </w:tc>
        <w:tc>
          <w:tcPr>
            <w:tcW w:w="7820" w:type="dxa"/>
            <w:vAlign w:val="bottom"/>
            <w:gridSpan w:val="5"/>
          </w:tcPr>
          <w:p>
            <w:pPr>
              <w:spacing w:after="0"/>
              <w:rPr>
                <w:rFonts w:ascii="Arial" w:cs="Arial" w:eastAsia="Arial" w:hAnsi="Arial"/>
                <w:sz w:val="18"/>
                <w:szCs w:val="18"/>
                <w:color w:val="0000EE"/>
                <w:w w:val="94"/>
              </w:rPr>
            </w:pPr>
            <w:hyperlink r:id="rId132">
              <w:r>
                <w:rPr>
                  <w:rFonts w:ascii="Arial" w:cs="Arial" w:eastAsia="Arial" w:hAnsi="Arial"/>
                  <w:sz w:val="18"/>
                  <w:szCs w:val="18"/>
                  <w:color w:val="0000EE"/>
                  <w:w w:val="94"/>
                </w:rPr>
                <w:t>Articles of Amendment to Change Corporate Name (incorporated by reference to Exhibit 4.2 of Matson’s</w:t>
              </w:r>
            </w:hyperlink>
          </w:p>
        </w:tc>
      </w:tr>
      <w:tr>
        <w:trPr>
          <w:trHeight w:val="196"/>
        </w:trPr>
        <w:tc>
          <w:tcPr>
            <w:tcW w:w="1060" w:type="dxa"/>
            <w:vAlign w:val="bottom"/>
          </w:tcPr>
          <w:p>
            <w:pPr>
              <w:spacing w:after="0"/>
              <w:rPr>
                <w:sz w:val="17"/>
                <w:szCs w:val="17"/>
                <w:color w:val="auto"/>
              </w:rPr>
            </w:pPr>
          </w:p>
        </w:tc>
        <w:tc>
          <w:tcPr>
            <w:tcW w:w="76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Form S-8 dated October 26, 2012).</w:t>
              </w:r>
            </w:hyperlink>
          </w:p>
        </w:tc>
        <w:tc>
          <w:tcPr>
            <w:tcW w:w="2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412"/>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3.3</w:t>
            </w:r>
          </w:p>
        </w:tc>
        <w:tc>
          <w:tcPr>
            <w:tcW w:w="7820" w:type="dxa"/>
            <w:vAlign w:val="bottom"/>
            <w:gridSpan w:val="5"/>
          </w:tcPr>
          <w:p>
            <w:pPr>
              <w:spacing w:after="0"/>
              <w:rPr>
                <w:rFonts w:ascii="Arial" w:cs="Arial" w:eastAsia="Arial" w:hAnsi="Arial"/>
                <w:sz w:val="18"/>
                <w:szCs w:val="18"/>
                <w:color w:val="0000EE"/>
                <w:w w:val="94"/>
              </w:rPr>
            </w:pPr>
            <w:hyperlink r:id="rId133">
              <w:r>
                <w:rPr>
                  <w:rFonts w:ascii="Arial" w:cs="Arial" w:eastAsia="Arial" w:hAnsi="Arial"/>
                  <w:sz w:val="18"/>
                  <w:szCs w:val="18"/>
                  <w:color w:val="0000EE"/>
                  <w:w w:val="94"/>
                </w:rPr>
                <w:t>Amended and Restated Bylaws of Matson, Inc. (as amended as of November 6, 2013) (incorporated by</w:t>
              </w:r>
            </w:hyperlink>
          </w:p>
        </w:tc>
      </w:tr>
      <w:tr>
        <w:trPr>
          <w:trHeight w:val="236"/>
        </w:trPr>
        <w:tc>
          <w:tcPr>
            <w:tcW w:w="1060" w:type="dxa"/>
            <w:vAlign w:val="bottom"/>
          </w:tcPr>
          <w:p>
            <w:pPr>
              <w:spacing w:after="0"/>
              <w:rPr>
                <w:sz w:val="20"/>
                <w:szCs w:val="20"/>
                <w:color w:val="auto"/>
              </w:rPr>
            </w:pPr>
          </w:p>
        </w:tc>
        <w:tc>
          <w:tcPr>
            <w:tcW w:w="7420" w:type="dxa"/>
            <w:vAlign w:val="bottom"/>
            <w:tcBorders>
              <w:top w:val="single" w:sz="8" w:color="0000EE"/>
            </w:tcBorders>
            <w:gridSpan w:val="3"/>
          </w:tcPr>
          <w:p>
            <w:pPr>
              <w:spacing w:after="0"/>
              <w:rPr>
                <w:rFonts w:ascii="Arial" w:cs="Arial" w:eastAsia="Arial" w:hAnsi="Arial"/>
                <w:sz w:val="18"/>
                <w:szCs w:val="18"/>
                <w:u w:val="single" w:color="auto"/>
                <w:color w:val="0000EE"/>
              </w:rPr>
            </w:pPr>
            <w:hyperlink r:id="rId133">
              <w:r>
                <w:rPr>
                  <w:rFonts w:ascii="Arial" w:cs="Arial" w:eastAsia="Arial" w:hAnsi="Arial"/>
                  <w:sz w:val="18"/>
                  <w:szCs w:val="18"/>
                  <w:u w:val="single" w:color="auto"/>
                  <w:color w:val="0000EE"/>
                </w:rPr>
                <w:t>reference to Exhibit 3.1 of Matson’s Form 10-Q for the quarter ended September 30, 2013).</w:t>
              </w:r>
            </w:hyperlink>
          </w:p>
        </w:tc>
        <w:tc>
          <w:tcPr>
            <w:tcW w:w="400" w:type="dxa"/>
            <w:vAlign w:val="bottom"/>
            <w:gridSpan w:val="2"/>
          </w:tcPr>
          <w:p>
            <w:pPr>
              <w:spacing w:after="0"/>
              <w:rPr>
                <w:sz w:val="20"/>
                <w:szCs w:val="20"/>
                <w:color w:val="auto"/>
              </w:rPr>
            </w:pPr>
          </w:p>
        </w:tc>
      </w:tr>
    </w:tbl>
    <w:p>
      <w:pPr>
        <w:spacing w:after="0" w:line="202" w:lineRule="exact"/>
        <w:rPr>
          <w:sz w:val="20"/>
          <w:szCs w:val="20"/>
          <w:color w:val="auto"/>
        </w:rPr>
      </w:pPr>
    </w:p>
    <w:p>
      <w:pPr>
        <w:ind w:left="1120" w:right="179" w:hanging="1064"/>
        <w:spacing w:after="0" w:line="277" w:lineRule="auto"/>
        <w:tabs>
          <w:tab w:leader="none" w:pos="1120" w:val="left"/>
        </w:tabs>
        <w:numPr>
          <w:ilvl w:val="0"/>
          <w:numId w:val="77"/>
        </w:numPr>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Description of Registered Securities (incorporated by reference to Exhibit 4 of Matson’s Form 10-K for the</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year ended December 31, 2019).</w:t>
        </w:r>
      </w:hyperlink>
    </w:p>
    <w:p>
      <w:pPr>
        <w:sectPr>
          <w:pgSz w:w="11900" w:h="16838" w:orient="portrait"/>
          <w:cols w:equalWidth="0" w:num="1">
            <w:col w:w="9019"/>
          </w:cols>
          <w:pgMar w:left="1440" w:top="517" w:right="1440" w:bottom="1440" w:gutter="0" w:footer="0" w:header="0"/>
        </w:sect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w:t>
            </w:r>
          </w:p>
        </w:tc>
        <w:tc>
          <w:tcPr>
            <w:tcW w:w="7840" w:type="dxa"/>
            <w:vAlign w:val="bottom"/>
            <w:gridSpan w:val="31"/>
          </w:tcPr>
          <w:p>
            <w:pPr>
              <w:spacing w:after="0"/>
              <w:rPr>
                <w:sz w:val="20"/>
                <w:szCs w:val="20"/>
                <w:color w:val="auto"/>
              </w:rPr>
            </w:pPr>
            <w:r>
              <w:rPr>
                <w:rFonts w:ascii="Arial" w:cs="Arial" w:eastAsia="Arial" w:hAnsi="Arial"/>
                <w:sz w:val="18"/>
                <w:szCs w:val="18"/>
                <w:color w:val="auto"/>
              </w:rPr>
              <w:t>Material contracts.</w:t>
            </w:r>
          </w:p>
        </w:tc>
      </w:tr>
      <w:tr>
        <w:trPr>
          <w:trHeight w:val="391"/>
        </w:trPr>
        <w:tc>
          <w:tcPr>
            <w:tcW w:w="1060" w:type="dxa"/>
            <w:vAlign w:val="bottom"/>
          </w:tcPr>
          <w:p>
            <w:pPr>
              <w:spacing w:after="0"/>
              <w:rPr>
                <w:sz w:val="20"/>
                <w:szCs w:val="20"/>
                <w:color w:val="auto"/>
              </w:rPr>
            </w:pPr>
            <w:r>
              <w:rPr>
                <w:rFonts w:ascii="Arial" w:cs="Arial" w:eastAsia="Arial" w:hAnsi="Arial"/>
                <w:sz w:val="18"/>
                <w:szCs w:val="18"/>
                <w:color w:val="auto"/>
              </w:rPr>
              <w:t>10.1</w:t>
            </w:r>
          </w:p>
        </w:tc>
        <w:tc>
          <w:tcPr>
            <w:tcW w:w="7840" w:type="dxa"/>
            <w:vAlign w:val="bottom"/>
            <w:gridSpan w:val="31"/>
          </w:tcPr>
          <w:p>
            <w:pPr>
              <w:spacing w:after="0"/>
              <w:rPr>
                <w:rFonts w:ascii="Arial" w:cs="Arial" w:eastAsia="Arial" w:hAnsi="Arial"/>
                <w:sz w:val="18"/>
                <w:szCs w:val="18"/>
                <w:color w:val="0000EE"/>
                <w:w w:val="93"/>
              </w:rPr>
            </w:pPr>
            <w:hyperlink r:id="rId136">
              <w:r>
                <w:rPr>
                  <w:rFonts w:ascii="Arial" w:cs="Arial" w:eastAsia="Arial" w:hAnsi="Arial"/>
                  <w:sz w:val="18"/>
                  <w:szCs w:val="18"/>
                  <w:color w:val="0000EE"/>
                  <w:w w:val="93"/>
                </w:rPr>
                <w:t>Amended and Restated Credit Agreement among Matson, Inc., Bank of America, N.A., as the Agent, and</w:t>
              </w:r>
            </w:hyperlink>
          </w:p>
        </w:tc>
      </w:tr>
      <w:tr>
        <w:trPr>
          <w:trHeight w:val="20"/>
        </w:trPr>
        <w:tc>
          <w:tcPr>
            <w:tcW w:w="10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68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the lenders thereto, dated as of June 29, 2017 (incorporated by reference to Exhibit 10.1 of Matson’s Form</w:t>
              </w:r>
            </w:hyperlink>
          </w:p>
        </w:tc>
        <w:tc>
          <w:tcPr>
            <w:tcW w:w="160" w:type="dxa"/>
            <w:vAlign w:val="bottom"/>
            <w:gridSpan w:val="7"/>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8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36">
              <w:r>
                <w:rPr>
                  <w:rFonts w:ascii="Arial" w:cs="Arial" w:eastAsia="Arial" w:hAnsi="Arial"/>
                  <w:sz w:val="18"/>
                  <w:szCs w:val="18"/>
                  <w:color w:val="0000EE"/>
                  <w:w w:val="89"/>
                </w:rPr>
                <w:t>8-K dated June 30, 2017).</w:t>
              </w:r>
            </w:hyperlink>
          </w:p>
        </w:tc>
        <w:tc>
          <w:tcPr>
            <w:tcW w:w="5960" w:type="dxa"/>
            <w:vAlign w:val="bottom"/>
            <w:gridSpan w:val="29"/>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10.2</w:t>
            </w:r>
          </w:p>
        </w:tc>
        <w:tc>
          <w:tcPr>
            <w:tcW w:w="7240" w:type="dxa"/>
            <w:vAlign w:val="bottom"/>
            <w:tcBorders>
              <w:bottom w:val="single" w:sz="8" w:color="0000EE"/>
            </w:tcBorders>
            <w:gridSpan w:val="11"/>
          </w:tcPr>
          <w:p>
            <w:pPr>
              <w:spacing w:after="0"/>
              <w:rPr>
                <w:rFonts w:ascii="Arial" w:cs="Arial" w:eastAsia="Arial" w:hAnsi="Arial"/>
                <w:sz w:val="18"/>
                <w:szCs w:val="18"/>
                <w:color w:val="0000EE"/>
                <w:w w:val="89"/>
              </w:rPr>
            </w:pPr>
            <w:hyperlink r:id="rId137">
              <w:r>
                <w:rPr>
                  <w:rFonts w:ascii="Arial" w:cs="Arial" w:eastAsia="Arial" w:hAnsi="Arial"/>
                  <w:sz w:val="18"/>
                  <w:szCs w:val="18"/>
                  <w:color w:val="0000EE"/>
                  <w:w w:val="89"/>
                </w:rPr>
                <w:t>Amendment to Third Amended and Restated Note Purchase Agreement among Matson, Inc. and the</w:t>
              </w:r>
            </w:hyperlink>
          </w:p>
        </w:tc>
        <w:tc>
          <w:tcPr>
            <w:tcW w:w="600" w:type="dxa"/>
            <w:vAlign w:val="bottom"/>
            <w:gridSpan w:val="20"/>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74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137">
              <w:r>
                <w:rPr>
                  <w:rFonts w:ascii="Arial" w:cs="Arial" w:eastAsia="Arial" w:hAnsi="Arial"/>
                  <w:sz w:val="18"/>
                  <w:szCs w:val="18"/>
                  <w:color w:val="0000EE"/>
                  <w:w w:val="89"/>
                </w:rPr>
                <w:t>purchasers named therein, dated as of June 29, 2017 (incorporated by reference to Exhibit 10.4 of Matson’s</w:t>
              </w:r>
            </w:hyperlink>
          </w:p>
        </w:tc>
        <w:tc>
          <w:tcPr>
            <w:tcW w:w="100" w:type="dxa"/>
            <w:vAlign w:val="bottom"/>
            <w:gridSpan w:val="5"/>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1"/>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Form 8-K dated June 30, 2017).</w:t>
              </w:r>
            </w:hyperlink>
          </w:p>
        </w:tc>
      </w:tr>
      <w:tr>
        <w:trPr>
          <w:trHeight w:val="20"/>
        </w:trPr>
        <w:tc>
          <w:tcPr>
            <w:tcW w:w="10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10.3</w:t>
            </w:r>
          </w:p>
        </w:tc>
        <w:tc>
          <w:tcPr>
            <w:tcW w:w="7820" w:type="dxa"/>
            <w:vAlign w:val="bottom"/>
            <w:tcBorders>
              <w:bottom w:val="single" w:sz="8" w:color="0000EE"/>
            </w:tcBorders>
            <w:gridSpan w:val="30"/>
          </w:tcPr>
          <w:p>
            <w:pPr>
              <w:spacing w:after="0"/>
              <w:rPr>
                <w:rFonts w:ascii="Arial" w:cs="Arial" w:eastAsia="Arial" w:hAnsi="Arial"/>
                <w:sz w:val="18"/>
                <w:szCs w:val="18"/>
                <w:color w:val="0000EE"/>
                <w:w w:val="89"/>
              </w:rPr>
            </w:pPr>
            <w:hyperlink r:id="rId138">
              <w:r>
                <w:rPr>
                  <w:rFonts w:ascii="Arial" w:cs="Arial" w:eastAsia="Arial" w:hAnsi="Arial"/>
                  <w:sz w:val="18"/>
                  <w:szCs w:val="18"/>
                  <w:color w:val="0000EE"/>
                  <w:w w:val="89"/>
                </w:rPr>
                <w:t>Amendment to Note Purchase Agreement among Matson, Inc. and the purchasers named therein, dated as of</w:t>
              </w:r>
            </w:hyperlink>
          </w:p>
        </w:tc>
        <w:tc>
          <w:tcPr>
            <w:tcW w:w="20" w:type="dxa"/>
            <w:vAlign w:val="bottom"/>
          </w:tcPr>
          <w:p>
            <w:pPr>
              <w:spacing w:after="0"/>
              <w:rPr>
                <w:sz w:val="24"/>
                <w:szCs w:val="24"/>
                <w:color w:val="auto"/>
              </w:rPr>
            </w:pPr>
          </w:p>
        </w:tc>
      </w:tr>
      <w:tr>
        <w:trPr>
          <w:trHeight w:val="237"/>
        </w:trPr>
        <w:tc>
          <w:tcPr>
            <w:tcW w:w="1060" w:type="dxa"/>
            <w:vAlign w:val="bottom"/>
          </w:tcPr>
          <w:p>
            <w:pPr>
              <w:spacing w:after="0"/>
              <w:rPr>
                <w:sz w:val="20"/>
                <w:szCs w:val="20"/>
                <w:color w:val="auto"/>
              </w:rPr>
            </w:pPr>
          </w:p>
        </w:tc>
        <w:tc>
          <w:tcPr>
            <w:tcW w:w="7840" w:type="dxa"/>
            <w:vAlign w:val="bottom"/>
            <w:gridSpan w:val="31"/>
          </w:tcPr>
          <w:p>
            <w:pPr>
              <w:spacing w:after="0"/>
              <w:rPr>
                <w:rFonts w:ascii="Arial" w:cs="Arial" w:eastAsia="Arial" w:hAnsi="Arial"/>
                <w:sz w:val="18"/>
                <w:szCs w:val="18"/>
                <w:u w:val="single" w:color="auto"/>
                <w:color w:val="0000EE"/>
                <w:w w:val="96"/>
              </w:rPr>
            </w:pPr>
            <w:hyperlink r:id="rId138">
              <w:r>
                <w:rPr>
                  <w:rFonts w:ascii="Arial" w:cs="Arial" w:eastAsia="Arial" w:hAnsi="Arial"/>
                  <w:sz w:val="18"/>
                  <w:szCs w:val="18"/>
                  <w:u w:val="single" w:color="auto"/>
                  <w:color w:val="0000EE"/>
                  <w:w w:val="96"/>
                </w:rPr>
                <w:t>June 29, 2017 (incorporated by reference to Exhibit 10.5 of Matson’s Form 8-K dated June 30, 2017).</w:t>
              </w:r>
            </w:hyperlink>
          </w:p>
        </w:tc>
      </w:tr>
      <w:tr>
        <w:trPr>
          <w:trHeight w:val="391"/>
        </w:trPr>
        <w:tc>
          <w:tcPr>
            <w:tcW w:w="1060" w:type="dxa"/>
            <w:vAlign w:val="bottom"/>
          </w:tcPr>
          <w:p>
            <w:pPr>
              <w:spacing w:after="0"/>
              <w:rPr>
                <w:sz w:val="20"/>
                <w:szCs w:val="20"/>
                <w:color w:val="auto"/>
              </w:rPr>
            </w:pPr>
            <w:r>
              <w:rPr>
                <w:rFonts w:ascii="Arial" w:cs="Arial" w:eastAsia="Arial" w:hAnsi="Arial"/>
                <w:sz w:val="18"/>
                <w:szCs w:val="18"/>
                <w:color w:val="auto"/>
              </w:rPr>
              <w:t>10.4</w:t>
            </w:r>
          </w:p>
        </w:tc>
        <w:tc>
          <w:tcPr>
            <w:tcW w:w="7660" w:type="dxa"/>
            <w:vAlign w:val="bottom"/>
            <w:tcBorders>
              <w:bottom w:val="single" w:sz="8" w:color="0000EE"/>
            </w:tcBorders>
            <w:gridSpan w:val="23"/>
          </w:tcPr>
          <w:p>
            <w:pPr>
              <w:spacing w:after="0"/>
              <w:rPr>
                <w:rFonts w:ascii="Arial" w:cs="Arial" w:eastAsia="Arial" w:hAnsi="Arial"/>
                <w:sz w:val="18"/>
                <w:szCs w:val="18"/>
                <w:color w:val="0000EE"/>
                <w:w w:val="89"/>
              </w:rPr>
            </w:pPr>
            <w:hyperlink r:id="rId139">
              <w:r>
                <w:rPr>
                  <w:rFonts w:ascii="Arial" w:cs="Arial" w:eastAsia="Arial" w:hAnsi="Arial"/>
                  <w:sz w:val="18"/>
                  <w:szCs w:val="18"/>
                  <w:color w:val="0000EE"/>
                  <w:w w:val="89"/>
                </w:rPr>
                <w:t>Note Purchase Agreement among Matson, Inc. and the purchasers party thereto, dated as of December 21,</w:t>
              </w:r>
            </w:hyperlink>
          </w:p>
        </w:tc>
        <w:tc>
          <w:tcPr>
            <w:tcW w:w="180" w:type="dxa"/>
            <w:vAlign w:val="bottom"/>
            <w:gridSpan w:val="8"/>
          </w:tcPr>
          <w:p>
            <w:pPr>
              <w:spacing w:after="0"/>
              <w:rPr>
                <w:sz w:val="24"/>
                <w:szCs w:val="24"/>
                <w:color w:val="auto"/>
              </w:rPr>
            </w:pPr>
          </w:p>
        </w:tc>
      </w:tr>
      <w:tr>
        <w:trPr>
          <w:trHeight w:val="237"/>
        </w:trPr>
        <w:tc>
          <w:tcPr>
            <w:tcW w:w="1060" w:type="dxa"/>
            <w:vAlign w:val="bottom"/>
          </w:tcPr>
          <w:p>
            <w:pPr>
              <w:spacing w:after="0"/>
              <w:rPr>
                <w:sz w:val="20"/>
                <w:szCs w:val="20"/>
                <w:color w:val="auto"/>
              </w:rPr>
            </w:pPr>
          </w:p>
        </w:tc>
        <w:tc>
          <w:tcPr>
            <w:tcW w:w="7840" w:type="dxa"/>
            <w:vAlign w:val="bottom"/>
            <w:gridSpan w:val="31"/>
          </w:tcPr>
          <w:p>
            <w:pPr>
              <w:spacing w:after="0"/>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2016 (incorporated by reference to Exhibit 10.1 of Matson’s Form 8-K dated December 22, 2016).</w:t>
              </w:r>
            </w:hyperlink>
          </w:p>
        </w:tc>
      </w:tr>
      <w:tr>
        <w:trPr>
          <w:trHeight w:val="392"/>
        </w:trPr>
        <w:tc>
          <w:tcPr>
            <w:tcW w:w="1060" w:type="dxa"/>
            <w:vAlign w:val="bottom"/>
          </w:tcPr>
          <w:p>
            <w:pPr>
              <w:spacing w:after="0"/>
              <w:rPr>
                <w:sz w:val="20"/>
                <w:szCs w:val="20"/>
                <w:color w:val="auto"/>
              </w:rPr>
            </w:pPr>
            <w:r>
              <w:rPr>
                <w:rFonts w:ascii="Arial" w:cs="Arial" w:eastAsia="Arial" w:hAnsi="Arial"/>
                <w:sz w:val="18"/>
                <w:szCs w:val="18"/>
                <w:color w:val="auto"/>
              </w:rPr>
              <w:t>10.5</w:t>
            </w:r>
          </w:p>
        </w:tc>
        <w:tc>
          <w:tcPr>
            <w:tcW w:w="7840" w:type="dxa"/>
            <w:vAlign w:val="bottom"/>
            <w:gridSpan w:val="31"/>
          </w:tcPr>
          <w:p>
            <w:pPr>
              <w:spacing w:after="0"/>
              <w:rPr>
                <w:rFonts w:ascii="Arial" w:cs="Arial" w:eastAsia="Arial" w:hAnsi="Arial"/>
                <w:sz w:val="18"/>
                <w:szCs w:val="18"/>
                <w:color w:val="0000EE"/>
                <w:w w:val="95"/>
              </w:rPr>
            </w:pPr>
            <w:hyperlink r:id="rId140">
              <w:r>
                <w:rPr>
                  <w:rFonts w:ascii="Arial" w:cs="Arial" w:eastAsia="Arial" w:hAnsi="Arial"/>
                  <w:sz w:val="18"/>
                  <w:szCs w:val="18"/>
                  <w:color w:val="0000EE"/>
                  <w:w w:val="95"/>
                </w:rPr>
                <w:t>Third Amended and Restated Note Purchase and Private Shelf Agreement among Matson, Inc. and the</w:t>
              </w:r>
            </w:hyperlink>
          </w:p>
        </w:tc>
      </w:tr>
      <w:tr>
        <w:trPr>
          <w:trHeight w:val="196"/>
        </w:trPr>
        <w:tc>
          <w:tcPr>
            <w:tcW w:w="1060" w:type="dxa"/>
            <w:vAlign w:val="bottom"/>
          </w:tcPr>
          <w:p>
            <w:pPr>
              <w:spacing w:after="0"/>
              <w:rPr>
                <w:sz w:val="17"/>
                <w:szCs w:val="17"/>
                <w:color w:val="auto"/>
              </w:rPr>
            </w:pPr>
          </w:p>
        </w:tc>
        <w:tc>
          <w:tcPr>
            <w:tcW w:w="73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r:id="rId140">
              <w:r>
                <w:rPr>
                  <w:rFonts w:ascii="Arial" w:cs="Arial" w:eastAsia="Arial" w:hAnsi="Arial"/>
                  <w:sz w:val="18"/>
                  <w:szCs w:val="18"/>
                  <w:color w:val="0000EE"/>
                  <w:w w:val="89"/>
                </w:rPr>
                <w:t>purchasers party thereto, dated as of September 14, 2016 (incorporated by reference to Exhibit 10.1 of</w:t>
              </w:r>
            </w:hyperlink>
          </w:p>
        </w:tc>
        <w:tc>
          <w:tcPr>
            <w:tcW w:w="20" w:type="dxa"/>
            <w:vAlign w:val="bottom"/>
            <w:tcBorders>
              <w:top w:val="single" w:sz="8" w:color="0000EE"/>
            </w:tcBorders>
          </w:tcPr>
          <w:p>
            <w:pPr>
              <w:spacing w:after="0"/>
              <w:rPr>
                <w:sz w:val="17"/>
                <w:szCs w:val="17"/>
                <w:color w:val="auto"/>
              </w:rPr>
            </w:pPr>
          </w:p>
        </w:tc>
        <w:tc>
          <w:tcPr>
            <w:tcW w:w="460" w:type="dxa"/>
            <w:vAlign w:val="bottom"/>
            <w:gridSpan w:val="17"/>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4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Matson’s Form 8-K dated September 14, 2016).</w:t>
              </w:r>
            </w:hyperlink>
          </w:p>
        </w:tc>
        <w:tc>
          <w:tcPr>
            <w:tcW w:w="4380" w:type="dxa"/>
            <w:vAlign w:val="bottom"/>
            <w:gridSpan w:val="25"/>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10.6</w:t>
            </w:r>
          </w:p>
        </w:tc>
        <w:tc>
          <w:tcPr>
            <w:tcW w:w="7780" w:type="dxa"/>
            <w:vAlign w:val="bottom"/>
            <w:tcBorders>
              <w:bottom w:val="single" w:sz="8" w:color="0000EE"/>
            </w:tcBorders>
            <w:gridSpan w:val="28"/>
          </w:tcPr>
          <w:p>
            <w:pPr>
              <w:spacing w:after="0"/>
              <w:rPr>
                <w:rFonts w:ascii="Arial" w:cs="Arial" w:eastAsia="Arial" w:hAnsi="Arial"/>
                <w:sz w:val="18"/>
                <w:szCs w:val="18"/>
                <w:color w:val="0000EE"/>
                <w:w w:val="91"/>
              </w:rPr>
            </w:pPr>
            <w:hyperlink r:id="rId141">
              <w:r>
                <w:rPr>
                  <w:rFonts w:ascii="Arial" w:cs="Arial" w:eastAsia="Arial" w:hAnsi="Arial"/>
                  <w:sz w:val="18"/>
                  <w:szCs w:val="18"/>
                  <w:color w:val="0000EE"/>
                  <w:w w:val="91"/>
                </w:rPr>
                <w:t>First Amendment to Amended and Restated Credit Agreement among Matson, Inc., Bank of America, N.A.</w:t>
              </w:r>
            </w:hyperlink>
          </w:p>
        </w:tc>
        <w:tc>
          <w:tcPr>
            <w:tcW w:w="6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76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r:id="rId141">
              <w:r>
                <w:rPr>
                  <w:rFonts w:ascii="Arial" w:cs="Arial" w:eastAsia="Arial" w:hAnsi="Arial"/>
                  <w:sz w:val="18"/>
                  <w:szCs w:val="18"/>
                  <w:color w:val="0000EE"/>
                  <w:w w:val="89"/>
                </w:rPr>
                <w:t>as the Agent, and the lenders thereto, dated as of March 31, 2020 (incorporated by reference to Exhibit 10.1</w:t>
              </w:r>
            </w:hyperlink>
          </w:p>
        </w:tc>
        <w:tc>
          <w:tcPr>
            <w:tcW w:w="8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1"/>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of Matson’s Form 8-K dated April 6, 2020).</w:t>
              </w:r>
            </w:hyperlink>
          </w:p>
        </w:tc>
      </w:tr>
      <w:tr>
        <w:trPr>
          <w:trHeight w:val="20"/>
        </w:trPr>
        <w:tc>
          <w:tcPr>
            <w:tcW w:w="10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10.7</w:t>
            </w:r>
          </w:p>
        </w:tc>
        <w:tc>
          <w:tcPr>
            <w:tcW w:w="7620" w:type="dxa"/>
            <w:vAlign w:val="bottom"/>
            <w:tcBorders>
              <w:bottom w:val="single" w:sz="8" w:color="0000EE"/>
            </w:tcBorders>
            <w:gridSpan w:val="21"/>
          </w:tcPr>
          <w:p>
            <w:pPr>
              <w:spacing w:after="0"/>
              <w:rPr>
                <w:rFonts w:ascii="Arial" w:cs="Arial" w:eastAsia="Arial" w:hAnsi="Arial"/>
                <w:sz w:val="18"/>
                <w:szCs w:val="18"/>
                <w:color w:val="0000EE"/>
                <w:w w:val="89"/>
              </w:rPr>
            </w:pPr>
            <w:hyperlink r:id="rId142">
              <w:r>
                <w:rPr>
                  <w:rFonts w:ascii="Arial" w:cs="Arial" w:eastAsia="Arial" w:hAnsi="Arial"/>
                  <w:sz w:val="18"/>
                  <w:szCs w:val="18"/>
                  <w:color w:val="0000EE"/>
                  <w:w w:val="89"/>
                </w:rPr>
                <w:t>Amendment to Third Amended and Restated Note Purchase and Private Shelf Agreement among Matson,</w:t>
              </w:r>
            </w:hyperlink>
          </w:p>
        </w:tc>
        <w:tc>
          <w:tcPr>
            <w:tcW w:w="220" w:type="dxa"/>
            <w:vAlign w:val="bottom"/>
            <w:gridSpan w:val="10"/>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1"/>
          </w:tcPr>
          <w:p>
            <w:pPr>
              <w:spacing w:after="0" w:line="196" w:lineRule="exact"/>
              <w:rPr>
                <w:rFonts w:ascii="Arial" w:cs="Arial" w:eastAsia="Arial" w:hAnsi="Arial"/>
                <w:sz w:val="18"/>
                <w:szCs w:val="18"/>
                <w:color w:val="0000EE"/>
                <w:w w:val="93"/>
              </w:rPr>
            </w:pPr>
            <w:hyperlink r:id="rId142">
              <w:r>
                <w:rPr>
                  <w:rFonts w:ascii="Arial" w:cs="Arial" w:eastAsia="Arial" w:hAnsi="Arial"/>
                  <w:sz w:val="18"/>
                  <w:szCs w:val="18"/>
                  <w:color w:val="0000EE"/>
                  <w:w w:val="93"/>
                </w:rPr>
                <w:t>Inc. and the purchasers named therein, dated as of March 31, 2020 (incorporated by reference to Exhibit</w:t>
              </w:r>
            </w:hyperlink>
          </w:p>
        </w:tc>
      </w:tr>
      <w:tr>
        <w:trPr>
          <w:trHeight w:val="196"/>
        </w:trPr>
        <w:tc>
          <w:tcPr>
            <w:tcW w:w="1060" w:type="dxa"/>
            <w:vAlign w:val="bottom"/>
          </w:tcPr>
          <w:p>
            <w:pPr>
              <w:spacing w:after="0"/>
              <w:rPr>
                <w:sz w:val="17"/>
                <w:szCs w:val="17"/>
                <w:color w:val="auto"/>
              </w:rPr>
            </w:pPr>
          </w:p>
        </w:tc>
        <w:tc>
          <w:tcPr>
            <w:tcW w:w="75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10.</w:t>
              </w:r>
              <w:r>
                <w:rPr>
                  <w:rFonts w:ascii="Arial" w:cs="Arial" w:eastAsia="Arial" w:hAnsi="Arial"/>
                  <w:sz w:val="18"/>
                  <w:szCs w:val="18"/>
                  <w:u w:val="single" w:color="auto"/>
                  <w:color w:val="0000EE"/>
                </w:rPr>
                <w:t>4</w:t>
              </w:r>
              <w:r>
                <w:rPr>
                  <w:rFonts w:ascii="Arial" w:cs="Arial" w:eastAsia="Arial" w:hAnsi="Arial"/>
                  <w:sz w:val="18"/>
                  <w:szCs w:val="18"/>
                  <w:color w:val="0000EE"/>
                </w:rPr>
                <w:t xml:space="preserve"> of Matson’s Form 8-K dated April 6, 2020).</w:t>
              </w:r>
            </w:hyperlink>
          </w:p>
        </w:tc>
        <w:tc>
          <w:tcPr>
            <w:tcW w:w="340" w:type="dxa"/>
            <w:vAlign w:val="bottom"/>
            <w:gridSpan w:val="14"/>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10.8</w:t>
            </w:r>
          </w:p>
        </w:tc>
        <w:tc>
          <w:tcPr>
            <w:tcW w:w="7340" w:type="dxa"/>
            <w:vAlign w:val="bottom"/>
            <w:tcBorders>
              <w:bottom w:val="single" w:sz="8" w:color="0000EE"/>
            </w:tcBorders>
            <w:gridSpan w:val="12"/>
          </w:tcPr>
          <w:p>
            <w:pPr>
              <w:spacing w:after="0"/>
              <w:rPr>
                <w:rFonts w:ascii="Arial" w:cs="Arial" w:eastAsia="Arial" w:hAnsi="Arial"/>
                <w:sz w:val="18"/>
                <w:szCs w:val="18"/>
                <w:color w:val="0000EE"/>
                <w:w w:val="89"/>
              </w:rPr>
            </w:pPr>
            <w:hyperlink r:id="rId143">
              <w:r>
                <w:rPr>
                  <w:rFonts w:ascii="Arial" w:cs="Arial" w:eastAsia="Arial" w:hAnsi="Arial"/>
                  <w:sz w:val="18"/>
                  <w:szCs w:val="18"/>
                  <w:color w:val="0000EE"/>
                  <w:w w:val="89"/>
                </w:rPr>
                <w:t>Amendment to December 21, 2016 Note Purchase Agreement among Matson, Inc. and the purchasers</w:t>
              </w:r>
            </w:hyperlink>
          </w:p>
        </w:tc>
        <w:tc>
          <w:tcPr>
            <w:tcW w:w="500" w:type="dxa"/>
            <w:vAlign w:val="bottom"/>
            <w:gridSpan w:val="19"/>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named therein, dated as of March 31, 2020 (incorporated by reference to Exhibit 10.5 of Matson’s Form 8-K</w:t>
              </w:r>
            </w:hyperlink>
          </w:p>
        </w:tc>
        <w:tc>
          <w:tcPr>
            <w:tcW w:w="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1"/>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dated April 6, 2020).</w:t>
              </w:r>
            </w:hyperlink>
          </w:p>
        </w:tc>
      </w:tr>
      <w:tr>
        <w:trPr>
          <w:trHeight w:val="20"/>
        </w:trPr>
        <w:tc>
          <w:tcPr>
            <w:tcW w:w="10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10.9</w:t>
            </w:r>
          </w:p>
        </w:tc>
        <w:tc>
          <w:tcPr>
            <w:tcW w:w="7480" w:type="dxa"/>
            <w:vAlign w:val="bottom"/>
            <w:tcBorders>
              <w:bottom w:val="single" w:sz="8" w:color="0000EE"/>
            </w:tcBorders>
            <w:gridSpan w:val="16"/>
          </w:tcPr>
          <w:p>
            <w:pPr>
              <w:spacing w:after="0"/>
              <w:rPr>
                <w:rFonts w:ascii="Arial" w:cs="Arial" w:eastAsia="Arial" w:hAnsi="Arial"/>
                <w:sz w:val="18"/>
                <w:szCs w:val="18"/>
                <w:color w:val="0000EE"/>
                <w:w w:val="91"/>
              </w:rPr>
            </w:pPr>
            <w:hyperlink r:id="rId144">
              <w:r>
                <w:rPr>
                  <w:rFonts w:ascii="Arial" w:cs="Arial" w:eastAsia="Arial" w:hAnsi="Arial"/>
                  <w:sz w:val="18"/>
                  <w:szCs w:val="18"/>
                  <w:color w:val="0000EE"/>
                  <w:w w:val="91"/>
                </w:rPr>
                <w:t>Amended and Restated Limited Liability Company Agreement of SSA Terminals, LLC by and between</w:t>
              </w:r>
            </w:hyperlink>
          </w:p>
        </w:tc>
        <w:tc>
          <w:tcPr>
            <w:tcW w:w="360" w:type="dxa"/>
            <w:vAlign w:val="bottom"/>
            <w:gridSpan w:val="1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1"/>
          </w:tcPr>
          <w:p>
            <w:pPr>
              <w:spacing w:after="0" w:line="196" w:lineRule="exact"/>
              <w:rPr>
                <w:rFonts w:ascii="Arial" w:cs="Arial" w:eastAsia="Arial" w:hAnsi="Arial"/>
                <w:sz w:val="18"/>
                <w:szCs w:val="18"/>
                <w:color w:val="0000EE"/>
                <w:w w:val="94"/>
              </w:rPr>
            </w:pPr>
            <w:hyperlink r:id="rId144">
              <w:r>
                <w:rPr>
                  <w:rFonts w:ascii="Arial" w:cs="Arial" w:eastAsia="Arial" w:hAnsi="Arial"/>
                  <w:sz w:val="18"/>
                  <w:szCs w:val="18"/>
                  <w:color w:val="0000EE"/>
                  <w:w w:val="94"/>
                </w:rPr>
                <w:t>SSA Ventures, Inc. and Matson Ventures, Inc., dated as of April 24, 2002 (certain portions of this exhibit</w:t>
              </w:r>
            </w:hyperlink>
          </w:p>
        </w:tc>
      </w:tr>
      <w:tr>
        <w:trPr>
          <w:trHeight w:val="20"/>
        </w:trPr>
        <w:tc>
          <w:tcPr>
            <w:tcW w:w="1060" w:type="dxa"/>
            <w:vAlign w:val="bottom"/>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9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1"/>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have been omitted pursuant to a confidential treatment request submitted to the Commission) (incorporated</w:t>
              </w:r>
            </w:hyperlink>
          </w:p>
        </w:tc>
      </w:tr>
      <w:tr>
        <w:trPr>
          <w:trHeight w:val="237"/>
        </w:trPr>
        <w:tc>
          <w:tcPr>
            <w:tcW w:w="1060" w:type="dxa"/>
            <w:vAlign w:val="bottom"/>
          </w:tcPr>
          <w:p>
            <w:pPr>
              <w:spacing w:after="0"/>
              <w:rPr>
                <w:sz w:val="20"/>
                <w:szCs w:val="20"/>
                <w:color w:val="auto"/>
              </w:rPr>
            </w:pPr>
          </w:p>
        </w:tc>
        <w:tc>
          <w:tcPr>
            <w:tcW w:w="7720" w:type="dxa"/>
            <w:vAlign w:val="bottom"/>
            <w:tcBorders>
              <w:top w:val="single" w:sz="8" w:color="0000EE"/>
            </w:tcBorders>
            <w:gridSpan w:val="25"/>
          </w:tcPr>
          <w:p>
            <w:pPr>
              <w:spacing w:after="0"/>
              <w:rPr>
                <w:rFonts w:ascii="Arial" w:cs="Arial" w:eastAsia="Arial" w:hAnsi="Arial"/>
                <w:sz w:val="18"/>
                <w:szCs w:val="18"/>
                <w:u w:val="single" w:color="auto"/>
                <w:color w:val="0000EE"/>
              </w:rPr>
            </w:pPr>
            <w:hyperlink r:id="rId144">
              <w:r>
                <w:rPr>
                  <w:rFonts w:ascii="Arial" w:cs="Arial" w:eastAsia="Arial" w:hAnsi="Arial"/>
                  <w:sz w:val="18"/>
                  <w:szCs w:val="18"/>
                  <w:u w:val="single" w:color="auto"/>
                  <w:color w:val="0000EE"/>
                </w:rPr>
                <w:t>by reference to Exhibit 10.1 of Matson’s Form 10-Q for the quarter ended June 30, 2012).</w:t>
              </w:r>
            </w:hyperlink>
          </w:p>
        </w:tc>
        <w:tc>
          <w:tcPr>
            <w:tcW w:w="120" w:type="dxa"/>
            <w:vAlign w:val="bottom"/>
            <w:gridSpan w:val="6"/>
          </w:tcPr>
          <w:p>
            <w:pPr>
              <w:spacing w:after="0"/>
              <w:rPr>
                <w:sz w:val="20"/>
                <w:szCs w:val="20"/>
                <w:color w:val="auto"/>
              </w:rPr>
            </w:pPr>
          </w:p>
        </w:tc>
      </w:tr>
      <w:tr>
        <w:trPr>
          <w:trHeight w:val="391"/>
        </w:trPr>
        <w:tc>
          <w:tcPr>
            <w:tcW w:w="1060" w:type="dxa"/>
            <w:vAlign w:val="bottom"/>
          </w:tcPr>
          <w:p>
            <w:pPr>
              <w:spacing w:after="0"/>
              <w:rPr>
                <w:sz w:val="20"/>
                <w:szCs w:val="20"/>
                <w:color w:val="auto"/>
              </w:rPr>
            </w:pPr>
            <w:r>
              <w:rPr>
                <w:rFonts w:ascii="Arial" w:cs="Arial" w:eastAsia="Arial" w:hAnsi="Arial"/>
                <w:sz w:val="18"/>
                <w:szCs w:val="18"/>
                <w:color w:val="auto"/>
              </w:rPr>
              <w:t>10.10</w:t>
            </w:r>
          </w:p>
        </w:tc>
        <w:tc>
          <w:tcPr>
            <w:tcW w:w="7840" w:type="dxa"/>
            <w:vAlign w:val="bottom"/>
            <w:gridSpan w:val="31"/>
          </w:tcPr>
          <w:p>
            <w:pPr>
              <w:spacing w:after="0"/>
              <w:rPr>
                <w:rFonts w:ascii="Arial" w:cs="Arial" w:eastAsia="Arial" w:hAnsi="Arial"/>
                <w:sz w:val="18"/>
                <w:szCs w:val="18"/>
                <w:color w:val="0000EE"/>
                <w:w w:val="98"/>
              </w:rPr>
            </w:pPr>
            <w:hyperlink r:id="rId145">
              <w:r>
                <w:rPr>
                  <w:rFonts w:ascii="Arial" w:cs="Arial" w:eastAsia="Arial" w:hAnsi="Arial"/>
                  <w:sz w:val="18"/>
                  <w:szCs w:val="18"/>
                  <w:color w:val="0000EE"/>
                  <w:w w:val="98"/>
                </w:rPr>
                <w:t>Parent Company Agreement, dated as of April 24, 2002, by and among SSA Pacific Terminals, Inc.,</w:t>
              </w:r>
            </w:hyperlink>
          </w:p>
        </w:tc>
      </w:tr>
      <w:tr>
        <w:trPr>
          <w:trHeight w:val="196"/>
        </w:trPr>
        <w:tc>
          <w:tcPr>
            <w:tcW w:w="1060" w:type="dxa"/>
            <w:vAlign w:val="bottom"/>
          </w:tcPr>
          <w:p>
            <w:pPr>
              <w:spacing w:after="0"/>
              <w:rPr>
                <w:sz w:val="17"/>
                <w:szCs w:val="17"/>
                <w:color w:val="auto"/>
              </w:rPr>
            </w:pPr>
          </w:p>
        </w:tc>
        <w:tc>
          <w:tcPr>
            <w:tcW w:w="7220" w:type="dxa"/>
            <w:vAlign w:val="bottom"/>
            <w:tcBorders>
              <w:top w:val="single" w:sz="8" w:color="0000EE"/>
            </w:tcBorders>
            <w:gridSpan w:val="10"/>
          </w:tcPr>
          <w:p>
            <w:pPr>
              <w:spacing w:after="0" w:line="196" w:lineRule="exact"/>
              <w:rPr>
                <w:rFonts w:ascii="Arial" w:cs="Arial" w:eastAsia="Arial" w:hAnsi="Arial"/>
                <w:sz w:val="18"/>
                <w:szCs w:val="18"/>
                <w:color w:val="0000EE"/>
                <w:w w:val="93"/>
              </w:rPr>
            </w:pPr>
            <w:hyperlink r:id="rId145">
              <w:r>
                <w:rPr>
                  <w:rFonts w:ascii="Arial" w:cs="Arial" w:eastAsia="Arial" w:hAnsi="Arial"/>
                  <w:sz w:val="18"/>
                  <w:szCs w:val="18"/>
                  <w:color w:val="0000EE"/>
                  <w:w w:val="93"/>
                </w:rPr>
                <w:t>formerly known as Stevedoring Services of America, Inc., SSA Ventures, Inc., Matson Navigation</w:t>
              </w:r>
            </w:hyperlink>
          </w:p>
        </w:tc>
        <w:tc>
          <w:tcPr>
            <w:tcW w:w="620" w:type="dxa"/>
            <w:vAlign w:val="bottom"/>
            <w:gridSpan w:val="21"/>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9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1"/>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Company, Inc. and Matson Ventures, Inc. (incorporated by reference to Exhibit 10.2 of Matson’s Form 10-Q</w:t>
              </w:r>
            </w:hyperlink>
          </w:p>
        </w:tc>
      </w:tr>
      <w:tr>
        <w:trPr>
          <w:trHeight w:val="196"/>
        </w:trPr>
        <w:tc>
          <w:tcPr>
            <w:tcW w:w="1060" w:type="dxa"/>
            <w:vAlign w:val="bottom"/>
          </w:tcPr>
          <w:p>
            <w:pPr>
              <w:spacing w:after="0"/>
              <w:rPr>
                <w:sz w:val="17"/>
                <w:szCs w:val="17"/>
                <w:color w:val="auto"/>
              </w:rPr>
            </w:pPr>
          </w:p>
        </w:tc>
        <w:tc>
          <w:tcPr>
            <w:tcW w:w="78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for the quarter ended June 30, 2012).</w:t>
              </w:r>
            </w:hyperlink>
          </w:p>
        </w:tc>
        <w:tc>
          <w:tcPr>
            <w:tcW w:w="40" w:type="dxa"/>
            <w:vAlign w:val="bottom"/>
            <w:gridSpan w:val="2"/>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10.11</w:t>
            </w:r>
          </w:p>
        </w:tc>
        <w:tc>
          <w:tcPr>
            <w:tcW w:w="7840" w:type="dxa"/>
            <w:vAlign w:val="bottom"/>
            <w:gridSpan w:val="31"/>
          </w:tcPr>
          <w:p>
            <w:pPr>
              <w:spacing w:after="0"/>
              <w:rPr>
                <w:rFonts w:ascii="Arial" w:cs="Arial" w:eastAsia="Arial" w:hAnsi="Arial"/>
                <w:sz w:val="18"/>
                <w:szCs w:val="18"/>
                <w:color w:val="0000EE"/>
                <w:w w:val="95"/>
              </w:rPr>
            </w:pPr>
            <w:hyperlink r:id="rId146">
              <w:r>
                <w:rPr>
                  <w:rFonts w:ascii="Arial" w:cs="Arial" w:eastAsia="Arial" w:hAnsi="Arial"/>
                  <w:sz w:val="18"/>
                  <w:szCs w:val="18"/>
                  <w:color w:val="0000EE"/>
                  <w:w w:val="95"/>
                </w:rPr>
                <w:t>Security Agreement between Matson Navigation Company, Inc. and the United States of America, with</w:t>
              </w:r>
            </w:hyperlink>
          </w:p>
        </w:tc>
      </w:tr>
      <w:tr>
        <w:trPr>
          <w:trHeight w:val="20"/>
        </w:trPr>
        <w:tc>
          <w:tcPr>
            <w:tcW w:w="1060" w:type="dxa"/>
            <w:vAlign w:val="bottom"/>
          </w:tcPr>
          <w:p>
            <w:pPr>
              <w:spacing w:after="0" w:line="20" w:lineRule="exact"/>
              <w:rPr>
                <w:sz w:val="1"/>
                <w:szCs w:val="1"/>
                <w:color w:val="auto"/>
              </w:rPr>
            </w:pPr>
          </w:p>
        </w:tc>
        <w:tc>
          <w:tcPr>
            <w:tcW w:w="3160" w:type="dxa"/>
            <w:vAlign w:val="bottom"/>
            <w:tcBorders>
              <w:right w:val="single" w:sz="8" w:color="0000EE"/>
            </w:tcBorders>
            <w:gridSpan w:val="5"/>
            <w:shd w:val="clear" w:color="auto" w:fill="0000EE"/>
          </w:tcPr>
          <w:p>
            <w:pPr>
              <w:spacing w:after="0" w:line="20" w:lineRule="exact"/>
              <w:rPr>
                <w:sz w:val="1"/>
                <w:szCs w:val="1"/>
                <w:color w:val="auto"/>
              </w:rPr>
            </w:pPr>
          </w:p>
        </w:tc>
        <w:tc>
          <w:tcPr>
            <w:tcW w:w="3960" w:type="dxa"/>
            <w:vAlign w:val="bottom"/>
            <w:gridSpan w:val="4"/>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1"/>
          </w:tcPr>
          <w:p>
            <w:pPr>
              <w:spacing w:after="0" w:line="196" w:lineRule="exact"/>
              <w:rPr>
                <w:rFonts w:ascii="Arial" w:cs="Arial" w:eastAsia="Arial" w:hAnsi="Arial"/>
                <w:sz w:val="18"/>
                <w:szCs w:val="18"/>
                <w:color w:val="0000EE"/>
                <w:w w:val="94"/>
              </w:rPr>
            </w:pPr>
            <w:hyperlink r:id="rId146">
              <w:r>
                <w:rPr>
                  <w:rFonts w:ascii="Arial" w:cs="Arial" w:eastAsia="Arial" w:hAnsi="Arial"/>
                  <w:sz w:val="18"/>
                  <w:szCs w:val="18"/>
                  <w:color w:val="0000EE"/>
                  <w:w w:val="94"/>
                </w:rPr>
                <w:t xml:space="preserve">respect to </w:t>
              </w:r>
              <w:r>
                <w:rPr>
                  <w:rFonts w:ascii="Arial" w:cs="Arial" w:eastAsia="Arial" w:hAnsi="Arial"/>
                  <w:sz w:val="18"/>
                  <w:szCs w:val="18"/>
                  <w:u w:val="single" w:color="auto"/>
                  <w:color w:val="0000EE"/>
                  <w:w w:val="94"/>
                </w:rPr>
                <w:t>$</w:t>
              </w:r>
              <w:r>
                <w:rPr>
                  <w:rFonts w:ascii="Arial" w:cs="Arial" w:eastAsia="Arial" w:hAnsi="Arial"/>
                  <w:sz w:val="18"/>
                  <w:szCs w:val="18"/>
                  <w:color w:val="0000EE"/>
                  <w:w w:val="94"/>
                </w:rPr>
                <w:t>55 million of Title XI ship financing bonds, dated July 29, 2004 (incorporated by reference to</w:t>
              </w:r>
            </w:hyperlink>
          </w:p>
        </w:tc>
      </w:tr>
      <w:tr>
        <w:trPr>
          <w:trHeight w:val="20"/>
        </w:trPr>
        <w:tc>
          <w:tcPr>
            <w:tcW w:w="1060" w:type="dxa"/>
            <w:vAlign w:val="bottom"/>
          </w:tcPr>
          <w:p>
            <w:pPr>
              <w:spacing w:after="0" w:line="20" w:lineRule="exact"/>
              <w:rPr>
                <w:sz w:val="1"/>
                <w:szCs w:val="1"/>
                <w:color w:val="auto"/>
              </w:rPr>
            </w:pPr>
          </w:p>
        </w:tc>
        <w:tc>
          <w:tcPr>
            <w:tcW w:w="3160" w:type="dxa"/>
            <w:vAlign w:val="bottom"/>
            <w:tcBorders>
              <w:right w:val="single" w:sz="8" w:color="0000EE"/>
            </w:tcBorders>
            <w:gridSpan w:val="5"/>
            <w:shd w:val="clear" w:color="auto" w:fill="0000EE"/>
          </w:tcPr>
          <w:p>
            <w:pPr>
              <w:spacing w:after="0" w:line="20" w:lineRule="exact"/>
              <w:rPr>
                <w:sz w:val="1"/>
                <w:szCs w:val="1"/>
                <w:color w:val="auto"/>
              </w:rPr>
            </w:pPr>
          </w:p>
        </w:tc>
        <w:tc>
          <w:tcPr>
            <w:tcW w:w="3960" w:type="dxa"/>
            <w:vAlign w:val="bottom"/>
            <w:gridSpan w:val="4"/>
            <w:shd w:val="clear" w:color="auto" w:fill="0000EE"/>
          </w:tcPr>
          <w:p>
            <w:pPr>
              <w:spacing w:after="0" w:line="20" w:lineRule="exact"/>
              <w:rPr>
                <w:sz w:val="1"/>
                <w:szCs w:val="1"/>
                <w:color w:val="auto"/>
              </w:rPr>
            </w:pPr>
          </w:p>
        </w:tc>
        <w:tc>
          <w:tcPr>
            <w:tcW w:w="440" w:type="dxa"/>
            <w:vAlign w:val="bottom"/>
            <w:gridSpan w:val="10"/>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p>
        </w:tc>
        <w:tc>
          <w:tcPr>
            <w:tcW w:w="7840" w:type="dxa"/>
            <w:vAlign w:val="bottom"/>
            <w:gridSpan w:val="31"/>
          </w:tcPr>
          <w:p>
            <w:pPr>
              <w:spacing w:after="0"/>
              <w:rPr>
                <w:rFonts w:ascii="Arial" w:cs="Arial" w:eastAsia="Arial" w:hAnsi="Arial"/>
                <w:sz w:val="18"/>
                <w:szCs w:val="18"/>
                <w:u w:val="single" w:color="auto"/>
                <w:color w:val="0000EE"/>
                <w:w w:val="94"/>
              </w:rPr>
            </w:pPr>
            <w:hyperlink r:id="rId146">
              <w:r>
                <w:rPr>
                  <w:rFonts w:ascii="Arial" w:cs="Arial" w:eastAsia="Arial" w:hAnsi="Arial"/>
                  <w:sz w:val="18"/>
                  <w:szCs w:val="18"/>
                  <w:u w:val="single" w:color="auto"/>
                  <w:color w:val="0000EE"/>
                  <w:w w:val="94"/>
                </w:rPr>
                <w:t>Exhibit 10.a.(xxvi) of Alexander &amp; Baldwin, Inc.’s Form 10-Q for the quarter ended September 30, 2004).</w:t>
              </w:r>
            </w:hyperlink>
          </w:p>
        </w:tc>
      </w:tr>
      <w:tr>
        <w:trPr>
          <w:trHeight w:val="391"/>
        </w:trPr>
        <w:tc>
          <w:tcPr>
            <w:tcW w:w="1060" w:type="dxa"/>
            <w:vAlign w:val="bottom"/>
          </w:tcPr>
          <w:p>
            <w:pPr>
              <w:spacing w:after="0"/>
              <w:rPr>
                <w:sz w:val="20"/>
                <w:szCs w:val="20"/>
                <w:color w:val="auto"/>
              </w:rPr>
            </w:pPr>
            <w:r>
              <w:rPr>
                <w:rFonts w:ascii="Arial" w:cs="Arial" w:eastAsia="Arial" w:hAnsi="Arial"/>
                <w:sz w:val="18"/>
                <w:szCs w:val="18"/>
                <w:color w:val="auto"/>
              </w:rPr>
              <w:t>10.12</w:t>
            </w:r>
          </w:p>
        </w:tc>
        <w:tc>
          <w:tcPr>
            <w:tcW w:w="7840" w:type="dxa"/>
            <w:vAlign w:val="bottom"/>
            <w:tcBorders>
              <w:bottom w:val="single" w:sz="8" w:color="0000EE"/>
            </w:tcBorders>
            <w:gridSpan w:val="31"/>
          </w:tcPr>
          <w:p>
            <w:pPr>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Amendment No. 1 dated September 21, 2007, to Security Agreement between Matson Navigation Company,</w:t>
              </w:r>
            </w:hyperlink>
          </w:p>
        </w:tc>
      </w:tr>
      <w:tr>
        <w:trPr>
          <w:trHeight w:val="196"/>
        </w:trPr>
        <w:tc>
          <w:tcPr>
            <w:tcW w:w="1060" w:type="dxa"/>
            <w:vAlign w:val="bottom"/>
          </w:tcPr>
          <w:p>
            <w:pPr>
              <w:spacing w:after="0"/>
              <w:rPr>
                <w:sz w:val="17"/>
                <w:szCs w:val="17"/>
                <w:color w:val="auto"/>
              </w:rPr>
            </w:pPr>
          </w:p>
        </w:tc>
        <w:tc>
          <w:tcPr>
            <w:tcW w:w="760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47">
              <w:r>
                <w:rPr>
                  <w:rFonts w:ascii="Arial" w:cs="Arial" w:eastAsia="Arial" w:hAnsi="Arial"/>
                  <w:sz w:val="18"/>
                  <w:szCs w:val="18"/>
                  <w:color w:val="0000EE"/>
                  <w:w w:val="92"/>
                </w:rPr>
                <w:t xml:space="preserve">Inc. and the United States of America, with respect to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55 million of Title XI ship financing bonds, dated</w:t>
              </w:r>
            </w:hyperlink>
          </w:p>
        </w:tc>
        <w:tc>
          <w:tcPr>
            <w:tcW w:w="240" w:type="dxa"/>
            <w:vAlign w:val="bottom"/>
            <w:gridSpan w:val="11"/>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6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47">
              <w:r>
                <w:rPr>
                  <w:rFonts w:ascii="Arial" w:cs="Arial" w:eastAsia="Arial" w:hAnsi="Arial"/>
                  <w:sz w:val="18"/>
                  <w:szCs w:val="18"/>
                  <w:color w:val="0000EE"/>
                  <w:w w:val="92"/>
                </w:rPr>
                <w:t>July 29, 2004 (incorporated by reference to Exhibit 10.a.(xxx) of Alexander &amp; Baldwin, Inc.’s Form 10-Q</w:t>
              </w:r>
            </w:hyperlink>
          </w:p>
        </w:tc>
        <w:tc>
          <w:tcPr>
            <w:tcW w:w="200" w:type="dxa"/>
            <w:vAlign w:val="bottom"/>
            <w:gridSpan w:val="9"/>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1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47">
              <w:r>
                <w:rPr>
                  <w:rFonts w:ascii="Arial" w:cs="Arial" w:eastAsia="Arial" w:hAnsi="Arial"/>
                  <w:sz w:val="18"/>
                  <w:szCs w:val="18"/>
                  <w:color w:val="0000EE"/>
                  <w:w w:val="89"/>
                </w:rPr>
                <w:t>for the quarter ended September 30, 2007).</w:t>
              </w:r>
            </w:hyperlink>
          </w:p>
        </w:tc>
        <w:tc>
          <w:tcPr>
            <w:tcW w:w="4680" w:type="dxa"/>
            <w:vAlign w:val="bottom"/>
            <w:gridSpan w:val="26"/>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10.13*</w:t>
            </w:r>
          </w:p>
        </w:tc>
        <w:tc>
          <w:tcPr>
            <w:tcW w:w="7120" w:type="dxa"/>
            <w:vAlign w:val="bottom"/>
            <w:tcBorders>
              <w:bottom w:val="single" w:sz="8" w:color="0000EE"/>
            </w:tcBorders>
            <w:gridSpan w:val="9"/>
          </w:tcPr>
          <w:p>
            <w:pPr>
              <w:spacing w:after="0"/>
              <w:rPr>
                <w:rFonts w:ascii="Arial" w:cs="Arial" w:eastAsia="Arial" w:hAnsi="Arial"/>
                <w:sz w:val="18"/>
                <w:szCs w:val="18"/>
                <w:color w:val="0000EE"/>
                <w:w w:val="89"/>
              </w:rPr>
            </w:pPr>
            <w:hyperlink r:id="rId148">
              <w:r>
                <w:rPr>
                  <w:rFonts w:ascii="Arial" w:cs="Arial" w:eastAsia="Arial" w:hAnsi="Arial"/>
                  <w:sz w:val="18"/>
                  <w:szCs w:val="18"/>
                  <w:color w:val="0000EE"/>
                  <w:w w:val="89"/>
                </w:rPr>
                <w:t>Matson, Inc. 2007 Incentive Compensation Plan, amended and restated, effective January 29, 2015</w:t>
              </w:r>
            </w:hyperlink>
          </w:p>
        </w:tc>
        <w:tc>
          <w:tcPr>
            <w:tcW w:w="720" w:type="dxa"/>
            <w:vAlign w:val="bottom"/>
            <w:gridSpan w:val="22"/>
          </w:tcPr>
          <w:p>
            <w:pPr>
              <w:spacing w:after="0"/>
              <w:rPr>
                <w:sz w:val="24"/>
                <w:szCs w:val="24"/>
                <w:color w:val="auto"/>
              </w:rPr>
            </w:pPr>
          </w:p>
        </w:tc>
      </w:tr>
      <w:tr>
        <w:trPr>
          <w:trHeight w:val="236"/>
        </w:trPr>
        <w:tc>
          <w:tcPr>
            <w:tcW w:w="1060" w:type="dxa"/>
            <w:vAlign w:val="bottom"/>
          </w:tcPr>
          <w:p>
            <w:pPr>
              <w:spacing w:after="0"/>
              <w:rPr>
                <w:sz w:val="20"/>
                <w:szCs w:val="20"/>
                <w:color w:val="auto"/>
              </w:rPr>
            </w:pPr>
          </w:p>
        </w:tc>
        <w:tc>
          <w:tcPr>
            <w:tcW w:w="7840" w:type="dxa"/>
            <w:vAlign w:val="bottom"/>
            <w:gridSpan w:val="31"/>
          </w:tcPr>
          <w:p>
            <w:pPr>
              <w:spacing w:after="0"/>
              <w:rPr>
                <w:rFonts w:ascii="Arial" w:cs="Arial" w:eastAsia="Arial" w:hAnsi="Arial"/>
                <w:sz w:val="18"/>
                <w:szCs w:val="18"/>
                <w:u w:val="single" w:color="auto"/>
                <w:color w:val="0000EE"/>
                <w:w w:val="91"/>
              </w:rPr>
            </w:pPr>
            <w:hyperlink r:id="rId148">
              <w:r>
                <w:rPr>
                  <w:rFonts w:ascii="Arial" w:cs="Arial" w:eastAsia="Arial" w:hAnsi="Arial"/>
                  <w:sz w:val="18"/>
                  <w:szCs w:val="18"/>
                  <w:u w:val="single" w:color="auto"/>
                  <w:color w:val="0000EE"/>
                  <w:w w:val="91"/>
                </w:rPr>
                <w:t>(incorporated by reference to Exhibit 10.13 of Matson’s Form 10-K for the year ended December 31, 2014).</w:t>
              </w:r>
            </w:hyperlink>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10.14*</w:t>
            </w:r>
          </w:p>
        </w:tc>
        <w:tc>
          <w:tcPr>
            <w:tcW w:w="7380" w:type="dxa"/>
            <w:vAlign w:val="bottom"/>
            <w:tcBorders>
              <w:bottom w:val="single" w:sz="8" w:color="0000EE"/>
            </w:tcBorders>
            <w:gridSpan w:val="15"/>
          </w:tcPr>
          <w:p>
            <w:pPr>
              <w:spacing w:after="0"/>
              <w:rPr>
                <w:rFonts w:ascii="Arial" w:cs="Arial" w:eastAsia="Arial" w:hAnsi="Arial"/>
                <w:sz w:val="18"/>
                <w:szCs w:val="18"/>
                <w:color w:val="0000EE"/>
                <w:w w:val="91"/>
              </w:rPr>
            </w:pPr>
            <w:hyperlink r:id="rId150">
              <w:r>
                <w:rPr>
                  <w:rFonts w:ascii="Arial" w:cs="Arial" w:eastAsia="Arial" w:hAnsi="Arial"/>
                  <w:sz w:val="18"/>
                  <w:szCs w:val="18"/>
                  <w:color w:val="0000EE"/>
                  <w:w w:val="91"/>
                </w:rPr>
                <w:t>Form of Amended and Restated Restricted Stock Unit Award Agreement for Non-Employee Directors</w:t>
              </w:r>
            </w:hyperlink>
          </w:p>
        </w:tc>
        <w:tc>
          <w:tcPr>
            <w:tcW w:w="440" w:type="dxa"/>
            <w:vAlign w:val="bottom"/>
            <w:gridSpan w:val="1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7"/>
          </w:tcPr>
          <w:p>
            <w:pPr>
              <w:spacing w:after="0" w:line="196" w:lineRule="exact"/>
              <w:rPr>
                <w:rFonts w:ascii="Arial" w:cs="Arial" w:eastAsia="Arial" w:hAnsi="Arial"/>
                <w:sz w:val="18"/>
                <w:szCs w:val="18"/>
                <w:color w:val="0000EE"/>
                <w:w w:val="94"/>
              </w:rPr>
            </w:pPr>
            <w:hyperlink r:id="rId150">
              <w:r>
                <w:rPr>
                  <w:rFonts w:ascii="Arial" w:cs="Arial" w:eastAsia="Arial" w:hAnsi="Arial"/>
                  <w:sz w:val="18"/>
                  <w:szCs w:val="18"/>
                  <w:color w:val="0000EE"/>
                  <w:w w:val="94"/>
                </w:rPr>
                <w:t>(Deferral Election) (incorporated by reference to Exhibit 10.21 of Matson’s Form 10-K for the year ended</w:t>
              </w:r>
            </w:hyperlink>
          </w:p>
        </w:tc>
      </w:tr>
      <w:tr>
        <w:trPr>
          <w:trHeight w:val="196"/>
        </w:trPr>
        <w:tc>
          <w:tcPr>
            <w:tcW w:w="1060" w:type="dxa"/>
            <w:vAlign w:val="bottom"/>
          </w:tcPr>
          <w:p>
            <w:pPr>
              <w:spacing w:after="0"/>
              <w:rPr>
                <w:sz w:val="17"/>
                <w:szCs w:val="17"/>
                <w:color w:val="auto"/>
              </w:rPr>
            </w:pPr>
          </w:p>
        </w:tc>
        <w:tc>
          <w:tcPr>
            <w:tcW w:w="76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December 31, 2013).</w:t>
              </w:r>
            </w:hyperlink>
          </w:p>
        </w:tc>
        <w:tc>
          <w:tcPr>
            <w:tcW w:w="200" w:type="dxa"/>
            <w:vAlign w:val="bottom"/>
            <w:gridSpan w:val="8"/>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10.15*</w:t>
            </w:r>
          </w:p>
        </w:tc>
        <w:tc>
          <w:tcPr>
            <w:tcW w:w="7660" w:type="dxa"/>
            <w:vAlign w:val="bottom"/>
            <w:tcBorders>
              <w:bottom w:val="single" w:sz="8" w:color="0000EE"/>
            </w:tcBorders>
            <w:gridSpan w:val="21"/>
          </w:tcPr>
          <w:p>
            <w:pPr>
              <w:spacing w:after="0"/>
              <w:rPr>
                <w:rFonts w:ascii="Arial" w:cs="Arial" w:eastAsia="Arial" w:hAnsi="Arial"/>
                <w:sz w:val="18"/>
                <w:szCs w:val="18"/>
                <w:color w:val="0000EE"/>
                <w:w w:val="92"/>
              </w:rPr>
            </w:pPr>
            <w:hyperlink r:id="rId151">
              <w:r>
                <w:rPr>
                  <w:rFonts w:ascii="Arial" w:cs="Arial" w:eastAsia="Arial" w:hAnsi="Arial"/>
                  <w:sz w:val="18"/>
                  <w:szCs w:val="18"/>
                  <w:color w:val="0000EE"/>
                  <w:w w:val="92"/>
                </w:rPr>
                <w:t>Form of Anti-Dilution Adjustment Amendment to Restricted Stock Unit Award Agreements (incorporated</w:t>
              </w:r>
            </w:hyperlink>
          </w:p>
        </w:tc>
        <w:tc>
          <w:tcPr>
            <w:tcW w:w="160" w:type="dxa"/>
            <w:vAlign w:val="bottom"/>
            <w:gridSpan w:val="6"/>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55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by reference to Exhibit 99.10 of Matson’s Form S-8 dated October 26, 2012).</w:t>
              </w:r>
            </w:hyperlink>
          </w:p>
        </w:tc>
        <w:tc>
          <w:tcPr>
            <w:tcW w:w="2240" w:type="dxa"/>
            <w:vAlign w:val="bottom"/>
            <w:gridSpan w:val="18"/>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10.16*</w:t>
            </w:r>
          </w:p>
        </w:tc>
        <w:tc>
          <w:tcPr>
            <w:tcW w:w="7780" w:type="dxa"/>
            <w:vAlign w:val="bottom"/>
            <w:tcBorders>
              <w:bottom w:val="single" w:sz="8" w:color="0000EE"/>
            </w:tcBorders>
            <w:gridSpan w:val="26"/>
          </w:tcPr>
          <w:p>
            <w:pPr>
              <w:spacing w:after="0"/>
              <w:rPr>
                <w:rFonts w:ascii="Arial" w:cs="Arial" w:eastAsia="Arial" w:hAnsi="Arial"/>
                <w:sz w:val="18"/>
                <w:szCs w:val="18"/>
                <w:color w:val="0000EE"/>
                <w:w w:val="91"/>
              </w:rPr>
            </w:pPr>
            <w:hyperlink r:id="rId152">
              <w:r>
                <w:rPr>
                  <w:rFonts w:ascii="Arial" w:cs="Arial" w:eastAsia="Arial" w:hAnsi="Arial"/>
                  <w:sz w:val="18"/>
                  <w:szCs w:val="18"/>
                  <w:color w:val="0000EE"/>
                  <w:w w:val="91"/>
                </w:rPr>
                <w:t>Matson, Inc. Deferred Compensation Plan for Outside Directors (incorporated by reference to Exhibit 10.34</w:t>
              </w:r>
            </w:hyperlink>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46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of Matson’s Form 10-K for the year ended December 31, 2012).</w:t>
              </w:r>
            </w:hyperlink>
          </w:p>
        </w:tc>
        <w:tc>
          <w:tcPr>
            <w:tcW w:w="3200" w:type="dxa"/>
            <w:vAlign w:val="bottom"/>
            <w:gridSpan w:val="20"/>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10.17</w:t>
            </w:r>
          </w:p>
        </w:tc>
        <w:tc>
          <w:tcPr>
            <w:tcW w:w="7820" w:type="dxa"/>
            <w:vAlign w:val="bottom"/>
            <w:gridSpan w:val="27"/>
          </w:tcPr>
          <w:p>
            <w:pPr>
              <w:spacing w:after="0"/>
              <w:rPr>
                <w:rFonts w:ascii="Arial" w:cs="Arial" w:eastAsia="Arial" w:hAnsi="Arial"/>
                <w:sz w:val="18"/>
                <w:szCs w:val="18"/>
                <w:color w:val="0000EE"/>
                <w:w w:val="94"/>
              </w:rPr>
            </w:pPr>
            <w:hyperlink r:id="rId153">
              <w:r>
                <w:rPr>
                  <w:rFonts w:ascii="Arial" w:cs="Arial" w:eastAsia="Arial" w:hAnsi="Arial"/>
                  <w:sz w:val="18"/>
                  <w:szCs w:val="18"/>
                  <w:color w:val="0000EE"/>
                  <w:w w:val="94"/>
                </w:rPr>
                <w:t>Consolidated Agreement, Contract No. MA-14454 dated as of April 27, 2020 among Matson Navigation</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6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Company, Inc., the United States of America, represented by the Maritime Administrator of the Maritime</w:t>
              </w:r>
            </w:hyperlink>
          </w:p>
        </w:tc>
        <w:tc>
          <w:tcPr>
            <w:tcW w:w="220" w:type="dxa"/>
            <w:vAlign w:val="bottom"/>
            <w:gridSpan w:val="9"/>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6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Administration and, with respect to certain provisions, Matson, Inc. (incorporated by reference to Exhibit</w:t>
              </w:r>
            </w:hyperlink>
          </w:p>
        </w:tc>
        <w:tc>
          <w:tcPr>
            <w:tcW w:w="220" w:type="dxa"/>
            <w:vAlign w:val="bottom"/>
            <w:gridSpan w:val="9"/>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6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w:t>
              </w:r>
              <w:r>
                <w:rPr>
                  <w:rFonts w:ascii="Arial" w:cs="Arial" w:eastAsia="Arial" w:hAnsi="Arial"/>
                  <w:sz w:val="18"/>
                  <w:szCs w:val="18"/>
                  <w:color w:val="0000EE"/>
                  <w:w w:val="92"/>
                </w:rPr>
                <w:t xml:space="preserve"> of Matson’s Form 8-K dated April 30, 2020).</w:t>
              </w:r>
            </w:hyperlink>
          </w:p>
        </w:tc>
        <w:tc>
          <w:tcPr>
            <w:tcW w:w="4200" w:type="dxa"/>
            <w:vAlign w:val="bottom"/>
            <w:gridSpan w:val="21"/>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10.18</w:t>
            </w:r>
          </w:p>
        </w:tc>
        <w:tc>
          <w:tcPr>
            <w:tcW w:w="7740" w:type="dxa"/>
            <w:vAlign w:val="bottom"/>
            <w:tcBorders>
              <w:bottom w:val="single" w:sz="8" w:color="0000EE"/>
            </w:tcBorders>
            <w:gridSpan w:val="25"/>
          </w:tcPr>
          <w:p>
            <w:pPr>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Note Purchase Agreement dated as of April 27, 2020 among Matson Navigation Company, Inc., the United</w:t>
              </w:r>
            </w:hyperlink>
          </w:p>
        </w:tc>
        <w:tc>
          <w:tcPr>
            <w:tcW w:w="8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7"/>
          </w:tcPr>
          <w:p>
            <w:pPr>
              <w:spacing w:after="0" w:line="196" w:lineRule="exact"/>
              <w:rPr>
                <w:rFonts w:ascii="Arial" w:cs="Arial" w:eastAsia="Arial" w:hAnsi="Arial"/>
                <w:sz w:val="18"/>
                <w:szCs w:val="18"/>
                <w:color w:val="0000EE"/>
                <w:w w:val="98"/>
              </w:rPr>
            </w:pPr>
            <w:hyperlink r:id="rId154">
              <w:r>
                <w:rPr>
                  <w:rFonts w:ascii="Arial" w:cs="Arial" w:eastAsia="Arial" w:hAnsi="Arial"/>
                  <w:sz w:val="18"/>
                  <w:szCs w:val="18"/>
                  <w:color w:val="0000EE"/>
                  <w:w w:val="98"/>
                </w:rPr>
                <w:t>States of America, represented by the Maritime Administrator of the Maritime Administration and the</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7"/>
          </w:tcPr>
          <w:p>
            <w:pPr>
              <w:spacing w:after="0" w:line="196" w:lineRule="exact"/>
              <w:rPr>
                <w:rFonts w:ascii="Arial" w:cs="Arial" w:eastAsia="Arial" w:hAnsi="Arial"/>
                <w:sz w:val="18"/>
                <w:szCs w:val="18"/>
                <w:color w:val="0000EE"/>
                <w:w w:val="94"/>
              </w:rPr>
            </w:pPr>
            <w:hyperlink r:id="rId154">
              <w:r>
                <w:rPr>
                  <w:rFonts w:ascii="Arial" w:cs="Arial" w:eastAsia="Arial" w:hAnsi="Arial"/>
                  <w:sz w:val="18"/>
                  <w:szCs w:val="18"/>
                  <w:color w:val="0000EE"/>
                  <w:w w:val="94"/>
                </w:rPr>
                <w:t>Federal Financing Bank (incorporated by reference to Exhibit 10.2 of Matson’s Form 8-K dated April 30,</w:t>
              </w:r>
            </w:hyperlink>
          </w:p>
        </w:tc>
      </w:tr>
      <w:tr>
        <w:trPr>
          <w:trHeight w:val="196"/>
        </w:trPr>
        <w:tc>
          <w:tcPr>
            <w:tcW w:w="10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54">
              <w:r>
                <w:rPr>
                  <w:rFonts w:ascii="Arial" w:cs="Arial" w:eastAsia="Arial" w:hAnsi="Arial"/>
                  <w:sz w:val="18"/>
                  <w:szCs w:val="18"/>
                  <w:color w:val="0000EE"/>
                  <w:w w:val="86"/>
                </w:rPr>
                <w:t>2020).</w:t>
              </w:r>
            </w:hyperlink>
          </w:p>
        </w:tc>
        <w:tc>
          <w:tcPr>
            <w:tcW w:w="6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10.19</w:t>
            </w:r>
          </w:p>
        </w:tc>
        <w:tc>
          <w:tcPr>
            <w:tcW w:w="7820" w:type="dxa"/>
            <w:vAlign w:val="bottom"/>
            <w:tcBorders>
              <w:bottom w:val="single" w:sz="8" w:color="0000EE"/>
            </w:tcBorders>
            <w:gridSpan w:val="27"/>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Affiliate Guaranty dated as of April 27, 2020 executed by Matson, Inc. (incorporated by reference to Exhibit</w:t>
              </w:r>
            </w:hyperlink>
          </w:p>
        </w:tc>
      </w:tr>
      <w:tr>
        <w:trPr>
          <w:trHeight w:val="196"/>
        </w:trPr>
        <w:tc>
          <w:tcPr>
            <w:tcW w:w="1060" w:type="dxa"/>
            <w:vAlign w:val="bottom"/>
          </w:tcPr>
          <w:p>
            <w:pPr>
              <w:spacing w:after="0"/>
              <w:rPr>
                <w:sz w:val="17"/>
                <w:szCs w:val="17"/>
                <w:color w:val="auto"/>
              </w:rPr>
            </w:pPr>
          </w:p>
        </w:tc>
        <w:tc>
          <w:tcPr>
            <w:tcW w:w="36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3</w:t>
              </w:r>
              <w:r>
                <w:rPr>
                  <w:rFonts w:ascii="Arial" w:cs="Arial" w:eastAsia="Arial" w:hAnsi="Arial"/>
                  <w:sz w:val="18"/>
                  <w:szCs w:val="18"/>
                  <w:color w:val="0000EE"/>
                  <w:w w:val="92"/>
                </w:rPr>
                <w:t xml:space="preserve"> of Matson’s Form 8-K dated April 30, 2020).</w:t>
              </w:r>
            </w:hyperlink>
          </w:p>
        </w:tc>
        <w:tc>
          <w:tcPr>
            <w:tcW w:w="4200" w:type="dxa"/>
            <w:vAlign w:val="bottom"/>
            <w:gridSpan w:val="21"/>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10.20</w:t>
            </w:r>
          </w:p>
        </w:tc>
        <w:tc>
          <w:tcPr>
            <w:tcW w:w="7580" w:type="dxa"/>
            <w:vAlign w:val="bottom"/>
            <w:tcBorders>
              <w:bottom w:val="single" w:sz="8" w:color="0000EE"/>
            </w:tcBorders>
            <w:gridSpan w:val="17"/>
          </w:tcPr>
          <w:p>
            <w:pPr>
              <w:spacing w:after="0"/>
              <w:rPr>
                <w:rFonts w:ascii="Arial" w:cs="Arial" w:eastAsia="Arial" w:hAnsi="Arial"/>
                <w:sz w:val="18"/>
                <w:szCs w:val="18"/>
                <w:color w:val="0000EE"/>
                <w:w w:val="90"/>
              </w:rPr>
            </w:pPr>
            <w:hyperlink r:id="rId156">
              <w:r>
                <w:rPr>
                  <w:rFonts w:ascii="Arial" w:cs="Arial" w:eastAsia="Arial" w:hAnsi="Arial"/>
                  <w:sz w:val="18"/>
                  <w:szCs w:val="18"/>
                  <w:color w:val="0000EE"/>
                  <w:w w:val="90"/>
                </w:rPr>
                <w:t>Amendment No. 1 dated June 22, 2020, to Consolidated Agreement, Contract No. MA-14454 dated as of</w:t>
              </w:r>
            </w:hyperlink>
          </w:p>
        </w:tc>
        <w:tc>
          <w:tcPr>
            <w:tcW w:w="240" w:type="dxa"/>
            <w:vAlign w:val="bottom"/>
            <w:gridSpan w:val="10"/>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72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April 27, 2020 among Matson Navigation Company, Inc., the United States of America, represented by the</w:t>
              </w:r>
            </w:hyperlink>
          </w:p>
        </w:tc>
        <w:tc>
          <w:tcPr>
            <w:tcW w:w="10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r:id="rId156">
              <w:r>
                <w:rPr>
                  <w:rFonts w:ascii="Arial" w:cs="Arial" w:eastAsia="Arial" w:hAnsi="Arial"/>
                  <w:sz w:val="18"/>
                  <w:szCs w:val="18"/>
                  <w:color w:val="0000EE"/>
                  <w:w w:val="93"/>
                </w:rPr>
                <w:t>Maritime Administrator of the Maritime Administration and, with respect to certain provisions, Matson, Inc.</w:t>
              </w:r>
            </w:hyperlink>
          </w:p>
        </w:tc>
      </w:tr>
      <w:tr>
        <w:trPr>
          <w:trHeight w:val="196"/>
        </w:trPr>
        <w:tc>
          <w:tcPr>
            <w:tcW w:w="1060" w:type="dxa"/>
            <w:vAlign w:val="bottom"/>
          </w:tcPr>
          <w:p>
            <w:pPr>
              <w:spacing w:after="0"/>
              <w:rPr>
                <w:sz w:val="17"/>
                <w:szCs w:val="17"/>
                <w:color w:val="auto"/>
              </w:rPr>
            </w:pPr>
          </w:p>
        </w:tc>
        <w:tc>
          <w:tcPr>
            <w:tcW w:w="62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(incorporated by reference to Exhibit 10.1 of Matson’s Form 8-K dated June 25, 2020).</w:t>
              </w:r>
            </w:hyperlink>
          </w:p>
        </w:tc>
        <w:tc>
          <w:tcPr>
            <w:tcW w:w="1540" w:type="dxa"/>
            <w:vAlign w:val="bottom"/>
            <w:gridSpan w:val="16"/>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10.21</w:t>
            </w:r>
          </w:p>
        </w:tc>
        <w:tc>
          <w:tcPr>
            <w:tcW w:w="7680" w:type="dxa"/>
            <w:vAlign w:val="bottom"/>
            <w:tcBorders>
              <w:bottom w:val="single" w:sz="8" w:color="0000EE"/>
            </w:tcBorders>
            <w:gridSpan w:val="22"/>
          </w:tcPr>
          <w:p>
            <w:pPr>
              <w:spacing w:after="0"/>
              <w:rPr>
                <w:rFonts w:ascii="Arial" w:cs="Arial" w:eastAsia="Arial" w:hAnsi="Arial"/>
                <w:sz w:val="18"/>
                <w:szCs w:val="18"/>
                <w:color w:val="0000EE"/>
                <w:w w:val="89"/>
              </w:rPr>
            </w:pPr>
            <w:hyperlink r:id="rId157">
              <w:r>
                <w:rPr>
                  <w:rFonts w:ascii="Arial" w:cs="Arial" w:eastAsia="Arial" w:hAnsi="Arial"/>
                  <w:sz w:val="18"/>
                  <w:szCs w:val="18"/>
                  <w:color w:val="0000EE"/>
                  <w:w w:val="89"/>
                </w:rPr>
                <w:t>Note Purchase Agreement dated as of June 22, 2020 among Matson Navigation Company, Inc., the United</w:t>
              </w:r>
            </w:hyperlink>
          </w:p>
        </w:tc>
        <w:tc>
          <w:tcPr>
            <w:tcW w:w="14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7"/>
          </w:tcPr>
          <w:p>
            <w:pPr>
              <w:spacing w:after="0" w:line="196" w:lineRule="exact"/>
              <w:rPr>
                <w:rFonts w:ascii="Arial" w:cs="Arial" w:eastAsia="Arial" w:hAnsi="Arial"/>
                <w:sz w:val="18"/>
                <w:szCs w:val="18"/>
                <w:color w:val="0000EE"/>
                <w:w w:val="98"/>
              </w:rPr>
            </w:pPr>
            <w:hyperlink r:id="rId157">
              <w:r>
                <w:rPr>
                  <w:rFonts w:ascii="Arial" w:cs="Arial" w:eastAsia="Arial" w:hAnsi="Arial"/>
                  <w:sz w:val="18"/>
                  <w:szCs w:val="18"/>
                  <w:color w:val="0000EE"/>
                  <w:w w:val="98"/>
                </w:rPr>
                <w:t>States of America, represented by the Maritime Administrator of the Maritime Administration and the</w:t>
              </w:r>
            </w:hyperlink>
          </w:p>
        </w:tc>
      </w:tr>
      <w:tr>
        <w:trPr>
          <w:trHeight w:val="20"/>
        </w:trPr>
        <w:tc>
          <w:tcPr>
            <w:tcW w:w="106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7"/>
          </w:tcPr>
          <w:p>
            <w:pPr>
              <w:spacing w:after="0" w:line="196" w:lineRule="exact"/>
              <w:rPr>
                <w:rFonts w:ascii="Arial" w:cs="Arial" w:eastAsia="Arial" w:hAnsi="Arial"/>
                <w:sz w:val="18"/>
                <w:szCs w:val="18"/>
                <w:color w:val="0000EE"/>
                <w:w w:val="94"/>
              </w:rPr>
            </w:pPr>
            <w:hyperlink r:id="rId157">
              <w:r>
                <w:rPr>
                  <w:rFonts w:ascii="Arial" w:cs="Arial" w:eastAsia="Arial" w:hAnsi="Arial"/>
                  <w:sz w:val="18"/>
                  <w:szCs w:val="18"/>
                  <w:color w:val="0000EE"/>
                  <w:w w:val="94"/>
                </w:rPr>
                <w:t>Federal Financing Bank (incorporated by reference to Exhibit 10.2 of Matson’s Form 8-K dated June 25,</w:t>
              </w:r>
            </w:hyperlink>
          </w:p>
        </w:tc>
      </w:tr>
      <w:tr>
        <w:trPr>
          <w:trHeight w:val="196"/>
        </w:trPr>
        <w:tc>
          <w:tcPr>
            <w:tcW w:w="10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57">
              <w:r>
                <w:rPr>
                  <w:rFonts w:ascii="Arial" w:cs="Arial" w:eastAsia="Arial" w:hAnsi="Arial"/>
                  <w:sz w:val="18"/>
                  <w:szCs w:val="18"/>
                  <w:color w:val="0000EE"/>
                  <w:w w:val="86"/>
                </w:rPr>
                <w:t>2020).</w:t>
              </w:r>
            </w:hyperlink>
          </w:p>
        </w:tc>
        <w:tc>
          <w:tcPr>
            <w:tcW w:w="6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10.22</w:t>
            </w:r>
          </w:p>
        </w:tc>
        <w:tc>
          <w:tcPr>
            <w:tcW w:w="7720" w:type="dxa"/>
            <w:vAlign w:val="bottom"/>
            <w:tcBorders>
              <w:bottom w:val="single" w:sz="8" w:color="0000EE"/>
            </w:tcBorders>
            <w:gridSpan w:val="24"/>
          </w:tcPr>
          <w:p>
            <w:pPr>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Amendment dated June 22, 2020 to Affiliate Guaranty dated as of April 27, 2020 executed by Matson, Inc.</w:t>
              </w:r>
            </w:hyperlink>
          </w:p>
        </w:tc>
        <w:tc>
          <w:tcPr>
            <w:tcW w:w="10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3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and consented to by MARAD (incorporated by reference to Exhibit 10.3 of Matson’s Form 8-K dated</w:t>
              </w:r>
            </w:hyperlink>
          </w:p>
        </w:tc>
        <w:tc>
          <w:tcPr>
            <w:tcW w:w="480" w:type="dxa"/>
            <w:vAlign w:val="bottom"/>
            <w:gridSpan w:val="1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58">
              <w:r>
                <w:rPr>
                  <w:rFonts w:ascii="Arial" w:cs="Arial" w:eastAsia="Arial" w:hAnsi="Arial"/>
                  <w:sz w:val="18"/>
                  <w:szCs w:val="18"/>
                  <w:color w:val="0000EE"/>
                  <w:w w:val="87"/>
                </w:rPr>
                <w:t>June 25, 2020).</w:t>
              </w:r>
            </w:hyperlink>
          </w:p>
        </w:tc>
        <w:tc>
          <w:tcPr>
            <w:tcW w:w="6700" w:type="dxa"/>
            <w:vAlign w:val="bottom"/>
            <w:gridSpan w:val="25"/>
          </w:tcPr>
          <w:p>
            <w:pPr>
              <w:spacing w:after="0"/>
              <w:rPr>
                <w:sz w:val="17"/>
                <w:szCs w:val="17"/>
                <w:color w:val="auto"/>
              </w:rPr>
            </w:pPr>
          </w:p>
        </w:tc>
      </w:tr>
      <w:tr>
        <w:trPr>
          <w:trHeight w:val="345"/>
        </w:trPr>
        <w:tc>
          <w:tcPr>
            <w:tcW w:w="1060" w:type="dxa"/>
            <w:vAlign w:val="bottom"/>
          </w:tcPr>
          <w:p>
            <w:pPr>
              <w:spacing w:after="0"/>
              <w:rPr>
                <w:sz w:val="20"/>
                <w:szCs w:val="20"/>
                <w:color w:val="auto"/>
              </w:rPr>
            </w:pPr>
            <w:r>
              <w:rPr>
                <w:rFonts w:ascii="Arial" w:cs="Arial" w:eastAsia="Arial" w:hAnsi="Arial"/>
                <w:sz w:val="18"/>
                <w:szCs w:val="18"/>
                <w:color w:val="auto"/>
              </w:rPr>
              <w:t>10.23*</w:t>
            </w:r>
          </w:p>
        </w:tc>
        <w:tc>
          <w:tcPr>
            <w:tcW w:w="7260" w:type="dxa"/>
            <w:vAlign w:val="bottom"/>
            <w:tcBorders>
              <w:bottom w:val="single" w:sz="8" w:color="0000EE"/>
            </w:tcBorders>
            <w:gridSpan w:val="13"/>
          </w:tcPr>
          <w:p>
            <w:pPr>
              <w:spacing w:after="0"/>
              <w:rPr>
                <w:rFonts w:ascii="Arial" w:cs="Arial" w:eastAsia="Arial" w:hAnsi="Arial"/>
                <w:sz w:val="18"/>
                <w:szCs w:val="18"/>
                <w:color w:val="0000EE"/>
                <w:w w:val="89"/>
              </w:rPr>
            </w:pPr>
            <w:hyperlink r:id="rId159">
              <w:r>
                <w:rPr>
                  <w:rFonts w:ascii="Arial" w:cs="Arial" w:eastAsia="Arial" w:hAnsi="Arial"/>
                  <w:sz w:val="18"/>
                  <w:szCs w:val="18"/>
                  <w:color w:val="0000EE"/>
                  <w:w w:val="89"/>
                </w:rPr>
                <w:t>Matson, Inc. Excess Benefits Plan, amended and restated effective August 27, 2014 (incorporated by</w:t>
              </w:r>
            </w:hyperlink>
          </w:p>
        </w:tc>
        <w:tc>
          <w:tcPr>
            <w:tcW w:w="560" w:type="dxa"/>
            <w:vAlign w:val="bottom"/>
            <w:gridSpan w:val="14"/>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7"/>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reference to Exhibit 10.1 of Matson’s Form 8-K dated August 28, 2014).</w:t>
              </w:r>
            </w:hyperlink>
          </w:p>
        </w:tc>
      </w:tr>
      <w:tr>
        <w:trPr>
          <w:trHeight w:val="20"/>
        </w:trPr>
        <w:tc>
          <w:tcPr>
            <w:tcW w:w="1060" w:type="dxa"/>
            <w:vAlign w:val="bottom"/>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10.24*</w:t>
            </w:r>
          </w:p>
        </w:tc>
        <w:tc>
          <w:tcPr>
            <w:tcW w:w="7820" w:type="dxa"/>
            <w:vAlign w:val="bottom"/>
            <w:gridSpan w:val="27"/>
          </w:tcPr>
          <w:p>
            <w:pPr>
              <w:spacing w:after="0"/>
              <w:rPr>
                <w:rFonts w:ascii="Arial" w:cs="Arial" w:eastAsia="Arial" w:hAnsi="Arial"/>
                <w:sz w:val="18"/>
                <w:szCs w:val="18"/>
                <w:color w:val="0000EE"/>
                <w:w w:val="99"/>
              </w:rPr>
            </w:pPr>
            <w:hyperlink r:id="rId160">
              <w:r>
                <w:rPr>
                  <w:rFonts w:ascii="Arial" w:cs="Arial" w:eastAsia="Arial" w:hAnsi="Arial"/>
                  <w:sz w:val="18"/>
                  <w:szCs w:val="18"/>
                  <w:color w:val="0000EE"/>
                  <w:w w:val="99"/>
                </w:rPr>
                <w:t>Form of Letter Agreement entered into with certain executive officers (incorporated by reference to</w:t>
              </w:r>
            </w:hyperlink>
          </w:p>
        </w:tc>
      </w:tr>
      <w:tr>
        <w:trPr>
          <w:trHeight w:val="196"/>
        </w:trPr>
        <w:tc>
          <w:tcPr>
            <w:tcW w:w="1060" w:type="dxa"/>
            <w:vAlign w:val="bottom"/>
          </w:tcPr>
          <w:p>
            <w:pPr>
              <w:spacing w:after="0"/>
              <w:rPr>
                <w:sz w:val="17"/>
                <w:szCs w:val="17"/>
                <w:color w:val="auto"/>
              </w:rPr>
            </w:pPr>
          </w:p>
        </w:tc>
        <w:tc>
          <w:tcPr>
            <w:tcW w:w="71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Exhibit 10.45 of Matson’s Form 10-K for the year ended December 31, 2012).</w:t>
              </w:r>
            </w:hyperlink>
          </w:p>
        </w:tc>
        <w:tc>
          <w:tcPr>
            <w:tcW w:w="660" w:type="dxa"/>
            <w:vAlign w:val="bottom"/>
            <w:gridSpan w:val="15"/>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80" w:type="dxa"/>
            <w:vAlign w:val="bottom"/>
            <w:gridSpan w:val="5"/>
            <w:shd w:val="clear" w:color="auto" w:fill="0000EE"/>
          </w:tcPr>
          <w:p>
            <w:pPr>
              <w:spacing w:after="0" w:line="20" w:lineRule="exact"/>
              <w:rPr>
                <w:sz w:val="1"/>
                <w:szCs w:val="1"/>
                <w:color w:val="auto"/>
              </w:rPr>
            </w:pPr>
          </w:p>
        </w:tc>
        <w:tc>
          <w:tcPr>
            <w:tcW w:w="20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10.25*</w:t>
            </w:r>
          </w:p>
        </w:tc>
        <w:tc>
          <w:tcPr>
            <w:tcW w:w="7820" w:type="dxa"/>
            <w:vAlign w:val="bottom"/>
            <w:gridSpan w:val="27"/>
          </w:tcPr>
          <w:p>
            <w:pPr>
              <w:spacing w:after="0"/>
              <w:rPr>
                <w:rFonts w:ascii="Arial" w:cs="Arial" w:eastAsia="Arial" w:hAnsi="Arial"/>
                <w:sz w:val="18"/>
                <w:szCs w:val="18"/>
                <w:color w:val="0000EE"/>
                <w:w w:val="93"/>
              </w:rPr>
            </w:pPr>
            <w:hyperlink r:id="rId161">
              <w:r>
                <w:rPr>
                  <w:rFonts w:ascii="Arial" w:cs="Arial" w:eastAsia="Arial" w:hAnsi="Arial"/>
                  <w:sz w:val="18"/>
                  <w:szCs w:val="18"/>
                  <w:color w:val="0000EE"/>
                  <w:w w:val="93"/>
                </w:rPr>
                <w:t>Schedule identifying executive officers who have entered into Form of Letter Agreement (incorporated by</w:t>
              </w:r>
            </w:hyperlink>
          </w:p>
        </w:tc>
      </w:tr>
      <w:tr>
        <w:trPr>
          <w:trHeight w:val="237"/>
        </w:trPr>
        <w:tc>
          <w:tcPr>
            <w:tcW w:w="1060" w:type="dxa"/>
            <w:vAlign w:val="bottom"/>
          </w:tcPr>
          <w:p>
            <w:pPr>
              <w:spacing w:after="0"/>
              <w:rPr>
                <w:sz w:val="20"/>
                <w:szCs w:val="20"/>
                <w:color w:val="auto"/>
              </w:rPr>
            </w:pPr>
          </w:p>
        </w:tc>
        <w:tc>
          <w:tcPr>
            <w:tcW w:w="7640" w:type="dxa"/>
            <w:vAlign w:val="bottom"/>
            <w:tcBorders>
              <w:top w:val="single" w:sz="8" w:color="0000EE"/>
            </w:tcBorders>
            <w:gridSpan w:val="20"/>
          </w:tcPr>
          <w:p>
            <w:pPr>
              <w:spacing w:after="0"/>
              <w:rPr>
                <w:rFonts w:ascii="Arial" w:cs="Arial" w:eastAsia="Arial" w:hAnsi="Arial"/>
                <w:sz w:val="18"/>
                <w:szCs w:val="18"/>
                <w:u w:val="single" w:color="auto"/>
                <w:color w:val="0000EE"/>
              </w:rPr>
            </w:pPr>
            <w:hyperlink r:id="rId161">
              <w:r>
                <w:rPr>
                  <w:rFonts w:ascii="Arial" w:cs="Arial" w:eastAsia="Arial" w:hAnsi="Arial"/>
                  <w:sz w:val="18"/>
                  <w:szCs w:val="18"/>
                  <w:u w:val="single" w:color="auto"/>
                  <w:color w:val="0000EE"/>
                </w:rPr>
                <w:t>reference to Exhibit 10.42 of Matson’s Form 10-K for the year ended December 31, 2014).</w:t>
              </w:r>
            </w:hyperlink>
          </w:p>
        </w:tc>
        <w:tc>
          <w:tcPr>
            <w:tcW w:w="180" w:type="dxa"/>
            <w:vAlign w:val="bottom"/>
            <w:gridSpan w:val="7"/>
          </w:tcPr>
          <w:p>
            <w:pPr>
              <w:spacing w:after="0"/>
              <w:rPr>
                <w:sz w:val="20"/>
                <w:szCs w:val="20"/>
                <w:color w:val="auto"/>
              </w:rPr>
            </w:pPr>
          </w:p>
        </w:tc>
      </w:tr>
      <w:tr>
        <w:trPr>
          <w:trHeight w:val="391"/>
        </w:trPr>
        <w:tc>
          <w:tcPr>
            <w:tcW w:w="1060" w:type="dxa"/>
            <w:vAlign w:val="bottom"/>
          </w:tcPr>
          <w:p>
            <w:pPr>
              <w:spacing w:after="0"/>
              <w:rPr>
                <w:sz w:val="20"/>
                <w:szCs w:val="20"/>
                <w:color w:val="auto"/>
              </w:rPr>
            </w:pPr>
            <w:r>
              <w:rPr>
                <w:rFonts w:ascii="Arial" w:cs="Arial" w:eastAsia="Arial" w:hAnsi="Arial"/>
                <w:sz w:val="18"/>
                <w:szCs w:val="18"/>
                <w:color w:val="auto"/>
              </w:rPr>
              <w:t>10.26*</w:t>
            </w:r>
          </w:p>
        </w:tc>
        <w:tc>
          <w:tcPr>
            <w:tcW w:w="7700" w:type="dxa"/>
            <w:vAlign w:val="bottom"/>
            <w:tcBorders>
              <w:bottom w:val="single" w:sz="8" w:color="0000EE"/>
            </w:tcBorders>
            <w:gridSpan w:val="23"/>
          </w:tcPr>
          <w:p>
            <w:pPr>
              <w:spacing w:after="0"/>
              <w:rPr>
                <w:rFonts w:ascii="Arial" w:cs="Arial" w:eastAsia="Arial" w:hAnsi="Arial"/>
                <w:sz w:val="18"/>
                <w:szCs w:val="18"/>
                <w:color w:val="0000EE"/>
                <w:w w:val="92"/>
              </w:rPr>
            </w:pPr>
            <w:hyperlink r:id="rId162">
              <w:r>
                <w:rPr>
                  <w:rFonts w:ascii="Arial" w:cs="Arial" w:eastAsia="Arial" w:hAnsi="Arial"/>
                  <w:sz w:val="18"/>
                  <w:szCs w:val="18"/>
                  <w:color w:val="0000EE"/>
                  <w:w w:val="92"/>
                </w:rPr>
                <w:t>Form of Letter Agreement entered into with executive officer (incorporated by reference to Exhibit 10.1 of</w:t>
              </w:r>
            </w:hyperlink>
          </w:p>
        </w:tc>
        <w:tc>
          <w:tcPr>
            <w:tcW w:w="120" w:type="dxa"/>
            <w:vAlign w:val="bottom"/>
            <w:gridSpan w:val="4"/>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7"/>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Matson’s Form 8-K dated October 24, 2014).</w:t>
              </w:r>
            </w:hyperlink>
          </w:p>
        </w:tc>
      </w:tr>
      <w:tr>
        <w:trPr>
          <w:trHeight w:val="453"/>
        </w:trPr>
        <w:tc>
          <w:tcPr>
            <w:tcW w:w="1060" w:type="dxa"/>
            <w:vAlign w:val="bottom"/>
          </w:tcPr>
          <w:p>
            <w:pPr>
              <w:spacing w:after="0"/>
              <w:rPr>
                <w:sz w:val="20"/>
                <w:szCs w:val="20"/>
                <w:color w:val="auto"/>
              </w:rPr>
            </w:pPr>
            <w:r>
              <w:rPr>
                <w:rFonts w:ascii="Arial" w:cs="Arial" w:eastAsia="Arial" w:hAnsi="Arial"/>
                <w:sz w:val="18"/>
                <w:szCs w:val="18"/>
                <w:color w:val="auto"/>
              </w:rPr>
              <w:t>10.27*,**</w:t>
            </w:r>
          </w:p>
        </w:tc>
        <w:tc>
          <w:tcPr>
            <w:tcW w:w="3260" w:type="dxa"/>
            <w:vAlign w:val="bottom"/>
            <w:tcBorders>
              <w:top w:val="single" w:sz="8" w:color="0000EE"/>
            </w:tcBorders>
            <w:gridSpan w:val="5"/>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Letter Agreement Counter Party.</w:t>
              </w:r>
            </w:hyperlink>
          </w:p>
        </w:tc>
        <w:tc>
          <w:tcPr>
            <w:tcW w:w="4560" w:type="dxa"/>
            <w:vAlign w:val="bottom"/>
            <w:gridSpan w:val="22"/>
          </w:tcPr>
          <w:p>
            <w:pPr>
              <w:spacing w:after="0"/>
              <w:rPr>
                <w:sz w:val="24"/>
                <w:szCs w:val="24"/>
                <w:color w:val="auto"/>
              </w:rPr>
            </w:pP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10.28*,**</w:t>
            </w:r>
          </w:p>
        </w:tc>
        <w:tc>
          <w:tcPr>
            <w:tcW w:w="7820" w:type="dxa"/>
            <w:vAlign w:val="bottom"/>
            <w:gridSpan w:val="27"/>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Amended and Restated Matson, Inc. Executive Severance Plan.</w:t>
              </w:r>
            </w:hyperlink>
          </w:p>
        </w:tc>
      </w:tr>
      <w:tr>
        <w:trPr>
          <w:trHeight w:val="391"/>
        </w:trPr>
        <w:tc>
          <w:tcPr>
            <w:tcW w:w="1060" w:type="dxa"/>
            <w:vAlign w:val="bottom"/>
          </w:tcPr>
          <w:p>
            <w:pPr>
              <w:spacing w:after="0"/>
              <w:rPr>
                <w:sz w:val="20"/>
                <w:szCs w:val="20"/>
                <w:color w:val="auto"/>
              </w:rPr>
            </w:pPr>
            <w:r>
              <w:rPr>
                <w:rFonts w:ascii="Arial" w:cs="Arial" w:eastAsia="Arial" w:hAnsi="Arial"/>
                <w:sz w:val="18"/>
                <w:szCs w:val="18"/>
                <w:color w:val="auto"/>
              </w:rPr>
              <w:t>10.29*</w:t>
            </w:r>
          </w:p>
        </w:tc>
        <w:tc>
          <w:tcPr>
            <w:tcW w:w="7820" w:type="dxa"/>
            <w:vAlign w:val="bottom"/>
            <w:tcBorders>
              <w:bottom w:val="single" w:sz="8" w:color="0000EE"/>
            </w:tcBorders>
            <w:gridSpan w:val="27"/>
          </w:tcPr>
          <w:p>
            <w:pPr>
              <w:spacing w:after="0"/>
              <w:rPr>
                <w:rFonts w:ascii="Arial" w:cs="Arial" w:eastAsia="Arial" w:hAnsi="Arial"/>
                <w:sz w:val="18"/>
                <w:szCs w:val="18"/>
                <w:color w:val="0000EE"/>
                <w:w w:val="91"/>
              </w:rPr>
            </w:pPr>
            <w:hyperlink r:id="rId163">
              <w:r>
                <w:rPr>
                  <w:rFonts w:ascii="Arial" w:cs="Arial" w:eastAsia="Arial" w:hAnsi="Arial"/>
                  <w:sz w:val="18"/>
                  <w:szCs w:val="18"/>
                  <w:color w:val="0000EE"/>
                  <w:w w:val="91"/>
                </w:rPr>
                <w:t>Matson, Inc. Deferred Compensation Plan (incorporated by reference to Exhibit 10.51 of Matson’s Form 10-</w:t>
              </w:r>
            </w:hyperlink>
          </w:p>
        </w:tc>
      </w:tr>
      <w:tr>
        <w:trPr>
          <w:trHeight w:val="196"/>
        </w:trPr>
        <w:tc>
          <w:tcPr>
            <w:tcW w:w="1060" w:type="dxa"/>
            <w:vAlign w:val="bottom"/>
          </w:tcPr>
          <w:p>
            <w:pPr>
              <w:spacing w:after="0"/>
              <w:rPr>
                <w:sz w:val="17"/>
                <w:szCs w:val="17"/>
                <w:color w:val="auto"/>
              </w:rPr>
            </w:pPr>
          </w:p>
        </w:tc>
        <w:tc>
          <w:tcPr>
            <w:tcW w:w="7820" w:type="dxa"/>
            <w:vAlign w:val="bottom"/>
            <w:gridSpan w:val="27"/>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K for the year ended December 31, 2012).</w:t>
              </w:r>
            </w:hyperlink>
          </w:p>
        </w:tc>
      </w:tr>
      <w:tr>
        <w:trPr>
          <w:trHeight w:val="20"/>
        </w:trPr>
        <w:tc>
          <w:tcPr>
            <w:tcW w:w="1060" w:type="dxa"/>
            <w:vAlign w:val="bottom"/>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4780" w:type="dxa"/>
            <w:vAlign w:val="bottom"/>
            <w:gridSpan w:val="23"/>
          </w:tcPr>
          <w:p>
            <w:pPr>
              <w:spacing w:after="0" w:line="20" w:lineRule="exact"/>
              <w:rPr>
                <w:sz w:val="1"/>
                <w:szCs w:val="1"/>
                <w:color w:val="auto"/>
              </w:rPr>
            </w:pPr>
          </w:p>
        </w:tc>
      </w:tr>
      <w:tr>
        <w:trPr>
          <w:trHeight w:val="453"/>
        </w:trPr>
        <w:tc>
          <w:tcPr>
            <w:tcW w:w="1060" w:type="dxa"/>
            <w:vAlign w:val="bottom"/>
          </w:tcPr>
          <w:p>
            <w:pPr>
              <w:spacing w:after="0"/>
              <w:rPr>
                <w:sz w:val="20"/>
                <w:szCs w:val="20"/>
                <w:color w:val="auto"/>
              </w:rPr>
            </w:pPr>
            <w:r>
              <w:rPr>
                <w:rFonts w:ascii="Arial" w:cs="Arial" w:eastAsia="Arial" w:hAnsi="Arial"/>
                <w:sz w:val="18"/>
                <w:szCs w:val="18"/>
                <w:color w:val="auto"/>
              </w:rPr>
              <w:t>10.30*,**</w:t>
            </w:r>
          </w:p>
        </w:tc>
        <w:tc>
          <w:tcPr>
            <w:tcW w:w="7820" w:type="dxa"/>
            <w:vAlign w:val="bottom"/>
            <w:gridSpan w:val="27"/>
          </w:tcPr>
          <w:p>
            <w:pPr>
              <w:spacing w:after="0"/>
              <w:rPr>
                <w:rFonts w:ascii="Arial" w:cs="Arial" w:eastAsia="Arial" w:hAnsi="Arial"/>
                <w:sz w:val="18"/>
                <w:szCs w:val="18"/>
                <w:color w:val="0000EE"/>
              </w:rPr>
            </w:pPr>
            <w:hyperlink w:anchor="page95">
              <w:r>
                <w:rPr>
                  <w:rFonts w:ascii="Arial" w:cs="Arial" w:eastAsia="Arial" w:hAnsi="Arial"/>
                  <w:sz w:val="18"/>
                  <w:szCs w:val="18"/>
                  <w:u w:val="single" w:color="auto"/>
                  <w:color w:val="0000EE"/>
                </w:rPr>
                <w:t>Amendment No. 1 to the Matson, Inc. Deferred Compensation Plan</w:t>
              </w:r>
              <w:r>
                <w:rPr>
                  <w:rFonts w:ascii="Arial" w:cs="Arial" w:eastAsia="Arial" w:hAnsi="Arial"/>
                  <w:sz w:val="18"/>
                  <w:szCs w:val="18"/>
                  <w:color w:val="0000EE"/>
                </w:rPr>
                <w:t>.</w:t>
              </w:r>
            </w:hyperlink>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10.31</w:t>
            </w:r>
          </w:p>
        </w:tc>
        <w:tc>
          <w:tcPr>
            <w:tcW w:w="7740" w:type="dxa"/>
            <w:vAlign w:val="bottom"/>
            <w:tcBorders>
              <w:bottom w:val="single" w:sz="8" w:color="0000EE"/>
            </w:tcBorders>
            <w:gridSpan w:val="21"/>
          </w:tcPr>
          <w:p>
            <w:pPr>
              <w:spacing w:after="0"/>
              <w:rPr>
                <w:rFonts w:ascii="Arial" w:cs="Arial" w:eastAsia="Arial" w:hAnsi="Arial"/>
                <w:sz w:val="18"/>
                <w:szCs w:val="18"/>
                <w:color w:val="0000EE"/>
                <w:w w:val="91"/>
              </w:rPr>
            </w:pPr>
            <w:hyperlink r:id="rId165">
              <w:r>
                <w:rPr>
                  <w:rFonts w:ascii="Arial" w:cs="Arial" w:eastAsia="Arial" w:hAnsi="Arial"/>
                  <w:sz w:val="18"/>
                  <w:szCs w:val="18"/>
                  <w:color w:val="0000EE"/>
                  <w:w w:val="91"/>
                </w:rPr>
                <w:t>Shipbuilding Contract, by and between Aker Philadelphia Shipyard, Inc. and Matson Navigation Company,</w:t>
              </w:r>
            </w:hyperlink>
          </w:p>
        </w:tc>
        <w:tc>
          <w:tcPr>
            <w:tcW w:w="8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1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Inc., dated as of November 6, 2013 (certain portions of this exhibit have been omitted pursuant to a</w:t>
              </w:r>
            </w:hyperlink>
          </w:p>
        </w:tc>
        <w:tc>
          <w:tcPr>
            <w:tcW w:w="640" w:type="dxa"/>
            <w:vAlign w:val="bottom"/>
            <w:gridSpan w:val="11"/>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3"/>
          </w:tcPr>
          <w:p>
            <w:pPr>
              <w:spacing w:after="0" w:line="196"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confidential treatment request submitted to the Commission) (incorporated by reference to Exhibit 10.56 of</w:t>
              </w:r>
            </w:hyperlink>
          </w:p>
        </w:tc>
      </w:tr>
      <w:tr>
        <w:trPr>
          <w:trHeight w:val="196"/>
        </w:trPr>
        <w:tc>
          <w:tcPr>
            <w:tcW w:w="1060" w:type="dxa"/>
            <w:vAlign w:val="bottom"/>
          </w:tcPr>
          <w:p>
            <w:pPr>
              <w:spacing w:after="0"/>
              <w:rPr>
                <w:sz w:val="17"/>
                <w:szCs w:val="17"/>
                <w:color w:val="auto"/>
              </w:rPr>
            </w:pPr>
          </w:p>
        </w:tc>
        <w:tc>
          <w:tcPr>
            <w:tcW w:w="4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Matson’s Form 10-K for the year ended December 31, 2013).</w:t>
              </w:r>
            </w:hyperlink>
          </w:p>
        </w:tc>
        <w:tc>
          <w:tcPr>
            <w:tcW w:w="3280" w:type="dxa"/>
            <w:vAlign w:val="bottom"/>
            <w:tcBorders>
              <w:top w:val="single" w:sz="8" w:color="0000EE"/>
            </w:tcBorders>
            <w:gridSpan w:val="14"/>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10.32</w:t>
            </w:r>
          </w:p>
        </w:tc>
        <w:tc>
          <w:tcPr>
            <w:tcW w:w="7740" w:type="dxa"/>
            <w:vAlign w:val="bottom"/>
            <w:tcBorders>
              <w:bottom w:val="single" w:sz="8" w:color="0000EE"/>
            </w:tcBorders>
            <w:gridSpan w:val="21"/>
          </w:tcPr>
          <w:p>
            <w:pP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Shipbuilding Contract, by and between Aker Philadelphia Shipyard, Inc. and Matson Navigation Company,</w:t>
              </w:r>
            </w:hyperlink>
          </w:p>
        </w:tc>
        <w:tc>
          <w:tcPr>
            <w:tcW w:w="8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1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Inc., dated as of November 6, 2013 (certain portions of this exhibit have been omitted pursuant to a</w:t>
              </w:r>
            </w:hyperlink>
          </w:p>
        </w:tc>
        <w:tc>
          <w:tcPr>
            <w:tcW w:w="640" w:type="dxa"/>
            <w:vAlign w:val="bottom"/>
            <w:gridSpan w:val="11"/>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3"/>
          </w:tcPr>
          <w:p>
            <w:pPr>
              <w:spacing w:after="0" w:line="196" w:lineRule="exact"/>
              <w:rPr>
                <w:rFonts w:ascii="Arial" w:cs="Arial" w:eastAsia="Arial" w:hAnsi="Arial"/>
                <w:sz w:val="18"/>
                <w:szCs w:val="18"/>
                <w:color w:val="0000EE"/>
                <w:w w:val="92"/>
              </w:rPr>
            </w:pPr>
            <w:hyperlink r:id="rId166">
              <w:r>
                <w:rPr>
                  <w:rFonts w:ascii="Arial" w:cs="Arial" w:eastAsia="Arial" w:hAnsi="Arial"/>
                  <w:sz w:val="18"/>
                  <w:szCs w:val="18"/>
                  <w:color w:val="0000EE"/>
                  <w:w w:val="92"/>
                </w:rPr>
                <w:t>confidential treatment request submitted to the Commission) (incorporated by reference to Exhibit 10.57 of</w:t>
              </w:r>
            </w:hyperlink>
          </w:p>
        </w:tc>
      </w:tr>
      <w:tr>
        <w:trPr>
          <w:trHeight w:val="196"/>
        </w:trPr>
        <w:tc>
          <w:tcPr>
            <w:tcW w:w="1060" w:type="dxa"/>
            <w:vAlign w:val="bottom"/>
          </w:tcPr>
          <w:p>
            <w:pPr>
              <w:spacing w:after="0"/>
              <w:rPr>
                <w:sz w:val="17"/>
                <w:szCs w:val="17"/>
                <w:color w:val="auto"/>
              </w:rPr>
            </w:pPr>
          </w:p>
        </w:tc>
        <w:tc>
          <w:tcPr>
            <w:tcW w:w="77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Matson’s Form 10-K for the year ended December 31, 2013).</w:t>
              </w:r>
            </w:hyperlink>
          </w:p>
        </w:tc>
        <w:tc>
          <w:tcPr>
            <w:tcW w:w="100" w:type="dxa"/>
            <w:vAlign w:val="bottom"/>
            <w:gridSpan w:val="3"/>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10.33</w:t>
            </w:r>
          </w:p>
        </w:tc>
        <w:tc>
          <w:tcPr>
            <w:tcW w:w="7620" w:type="dxa"/>
            <w:vAlign w:val="bottom"/>
            <w:tcBorders>
              <w:bottom w:val="single" w:sz="8" w:color="0000EE"/>
            </w:tcBorders>
            <w:gridSpan w:val="18"/>
          </w:tcPr>
          <w:p>
            <w:pPr>
              <w:spacing w:after="0"/>
              <w:rPr>
                <w:rFonts w:ascii="Arial" w:cs="Arial" w:eastAsia="Arial" w:hAnsi="Arial"/>
                <w:sz w:val="18"/>
                <w:szCs w:val="18"/>
                <w:color w:val="0000EE"/>
                <w:w w:val="92"/>
              </w:rPr>
            </w:pPr>
            <w:hyperlink r:id="rId167">
              <w:r>
                <w:rPr>
                  <w:rFonts w:ascii="Arial" w:cs="Arial" w:eastAsia="Arial" w:hAnsi="Arial"/>
                  <w:sz w:val="18"/>
                  <w:szCs w:val="18"/>
                  <w:color w:val="0000EE"/>
                  <w:w w:val="92"/>
                </w:rPr>
                <w:t>Guaranty Agreement by Aker Philadelphia Shipyard ASA, in favor of Matson Navigation Company, Inc.,</w:t>
              </w:r>
            </w:hyperlink>
          </w:p>
        </w:tc>
        <w:tc>
          <w:tcPr>
            <w:tcW w:w="20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3"/>
          </w:tcPr>
          <w:p>
            <w:pPr>
              <w:spacing w:after="0" w:line="196" w:lineRule="exact"/>
              <w:rPr>
                <w:rFonts w:ascii="Arial" w:cs="Arial" w:eastAsia="Arial" w:hAnsi="Arial"/>
                <w:sz w:val="18"/>
                <w:szCs w:val="18"/>
                <w:color w:val="0000EE"/>
                <w:w w:val="93"/>
              </w:rPr>
            </w:pPr>
            <w:hyperlink r:id="rId167">
              <w:r>
                <w:rPr>
                  <w:rFonts w:ascii="Arial" w:cs="Arial" w:eastAsia="Arial" w:hAnsi="Arial"/>
                  <w:sz w:val="18"/>
                  <w:szCs w:val="18"/>
                  <w:color w:val="0000EE"/>
                  <w:w w:val="93"/>
                </w:rPr>
                <w:t>dated as of November 6, 2013 (incorporated by reference to Exhibit 10.58 of Matson’s Form 10-K for the</w:t>
              </w:r>
            </w:hyperlink>
          </w:p>
        </w:tc>
      </w:tr>
      <w:tr>
        <w:trPr>
          <w:trHeight w:val="196"/>
        </w:trPr>
        <w:tc>
          <w:tcPr>
            <w:tcW w:w="106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167">
              <w:r>
                <w:rPr>
                  <w:rFonts w:ascii="Arial" w:cs="Arial" w:eastAsia="Arial" w:hAnsi="Arial"/>
                  <w:sz w:val="18"/>
                  <w:szCs w:val="18"/>
                  <w:color w:val="0000EE"/>
                  <w:w w:val="88"/>
                </w:rPr>
                <w:t>year ended December 31, 2013).</w:t>
              </w:r>
            </w:hyperlink>
          </w:p>
        </w:tc>
        <w:tc>
          <w:tcPr>
            <w:tcW w:w="5240" w:type="dxa"/>
            <w:vAlign w:val="bottom"/>
            <w:tcBorders>
              <w:top w:val="single" w:sz="8" w:color="0000EE"/>
            </w:tcBorders>
            <w:gridSpan w:val="14"/>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10.34</w:t>
            </w:r>
          </w:p>
        </w:tc>
        <w:tc>
          <w:tcPr>
            <w:tcW w:w="7820" w:type="dxa"/>
            <w:vAlign w:val="bottom"/>
            <w:gridSpan w:val="23"/>
          </w:tcPr>
          <w:p>
            <w:pPr>
              <w:spacing w:after="0"/>
              <w:rPr>
                <w:rFonts w:ascii="Arial" w:cs="Arial" w:eastAsia="Arial" w:hAnsi="Arial"/>
                <w:sz w:val="18"/>
                <w:szCs w:val="18"/>
                <w:color w:val="0000EE"/>
                <w:w w:val="91"/>
              </w:rPr>
            </w:pPr>
            <w:hyperlink r:id="rId168">
              <w:r>
                <w:rPr>
                  <w:rFonts w:ascii="Arial" w:cs="Arial" w:eastAsia="Arial" w:hAnsi="Arial"/>
                  <w:sz w:val="18"/>
                  <w:szCs w:val="18"/>
                  <w:color w:val="0000EE"/>
                  <w:w w:val="91"/>
                </w:rPr>
                <w:t>Contract for Construction of Two Vessels, dated as of August 25, 2016, by and between Matson Navigation</w:t>
              </w:r>
            </w:hyperlink>
          </w:p>
        </w:tc>
      </w:tr>
      <w:tr>
        <w:trPr>
          <w:trHeight w:val="196"/>
        </w:trPr>
        <w:tc>
          <w:tcPr>
            <w:tcW w:w="1060" w:type="dxa"/>
            <w:vAlign w:val="bottom"/>
          </w:tcPr>
          <w:p>
            <w:pPr>
              <w:spacing w:after="0"/>
              <w:rPr>
                <w:sz w:val="17"/>
                <w:szCs w:val="17"/>
                <w:color w:val="auto"/>
              </w:rPr>
            </w:pPr>
          </w:p>
        </w:tc>
        <w:tc>
          <w:tcPr>
            <w:tcW w:w="75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Company, Inc. and National Steel and Shipbuilding Company (certain portions of this exhibit have been</w:t>
              </w:r>
            </w:hyperlink>
          </w:p>
        </w:tc>
        <w:tc>
          <w:tcPr>
            <w:tcW w:w="240" w:type="dxa"/>
            <w:vAlign w:val="bottom"/>
            <w:tcBorders>
              <w:top w:val="single" w:sz="8" w:color="0000EE"/>
            </w:tcBorders>
            <w:gridSpan w:val="5"/>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1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68">
              <w:r>
                <w:rPr>
                  <w:rFonts w:ascii="Arial" w:cs="Arial" w:eastAsia="Arial" w:hAnsi="Arial"/>
                  <w:sz w:val="18"/>
                  <w:szCs w:val="18"/>
                  <w:color w:val="0000EE"/>
                  <w:w w:val="90"/>
                </w:rPr>
                <w:t>omitted pursuant to a confidential treatment request submitted to the Commission) (incorporated by</w:t>
              </w:r>
            </w:hyperlink>
          </w:p>
        </w:tc>
        <w:tc>
          <w:tcPr>
            <w:tcW w:w="640" w:type="dxa"/>
            <w:vAlign w:val="bottom"/>
            <w:gridSpan w:val="11"/>
          </w:tcPr>
          <w:p>
            <w:pPr>
              <w:spacing w:after="0"/>
              <w:rPr>
                <w:sz w:val="17"/>
                <w:szCs w:val="17"/>
                <w:color w:val="auto"/>
              </w:rPr>
            </w:pPr>
          </w:p>
        </w:tc>
      </w:tr>
      <w:tr>
        <w:trPr>
          <w:trHeight w:val="237"/>
        </w:trPr>
        <w:tc>
          <w:tcPr>
            <w:tcW w:w="1060" w:type="dxa"/>
            <w:vAlign w:val="bottom"/>
          </w:tcPr>
          <w:p>
            <w:pPr>
              <w:spacing w:after="0"/>
              <w:rPr>
                <w:sz w:val="20"/>
                <w:szCs w:val="20"/>
                <w:color w:val="auto"/>
              </w:rPr>
            </w:pPr>
          </w:p>
        </w:tc>
        <w:tc>
          <w:tcPr>
            <w:tcW w:w="7820" w:type="dxa"/>
            <w:vAlign w:val="bottom"/>
            <w:gridSpan w:val="23"/>
          </w:tcPr>
          <w:p>
            <w:pPr>
              <w:spacing w:after="0"/>
              <w:rPr>
                <w:rFonts w:ascii="Arial" w:cs="Arial" w:eastAsia="Arial" w:hAnsi="Arial"/>
                <w:sz w:val="18"/>
                <w:szCs w:val="18"/>
                <w:u w:val="single" w:color="auto"/>
                <w:color w:val="0000EE"/>
              </w:rPr>
            </w:pPr>
            <w:hyperlink r:id="rId168">
              <w:r>
                <w:rPr>
                  <w:rFonts w:ascii="Arial" w:cs="Arial" w:eastAsia="Arial" w:hAnsi="Arial"/>
                  <w:sz w:val="18"/>
                  <w:szCs w:val="18"/>
                  <w:u w:val="single" w:color="auto"/>
                  <w:color w:val="0000EE"/>
                </w:rPr>
                <w:t>reference to Exhibit 10.1 of Matson’s Form 10-Q for the quarter ended September 30, 2016).</w:t>
              </w:r>
            </w:hyperlink>
          </w:p>
        </w:tc>
      </w:tr>
      <w:tr>
        <w:trPr>
          <w:trHeight w:val="391"/>
        </w:trPr>
        <w:tc>
          <w:tcPr>
            <w:tcW w:w="1060" w:type="dxa"/>
            <w:vAlign w:val="bottom"/>
          </w:tcPr>
          <w:p>
            <w:pPr>
              <w:spacing w:after="0"/>
              <w:rPr>
                <w:sz w:val="20"/>
                <w:szCs w:val="20"/>
                <w:color w:val="auto"/>
              </w:rPr>
            </w:pPr>
            <w:r>
              <w:rPr>
                <w:rFonts w:ascii="Arial" w:cs="Arial" w:eastAsia="Arial" w:hAnsi="Arial"/>
                <w:sz w:val="18"/>
                <w:szCs w:val="18"/>
                <w:color w:val="auto"/>
              </w:rPr>
              <w:t>10.35</w:t>
            </w:r>
          </w:p>
        </w:tc>
        <w:tc>
          <w:tcPr>
            <w:tcW w:w="7820" w:type="dxa"/>
            <w:vAlign w:val="bottom"/>
            <w:gridSpan w:val="23"/>
          </w:tcPr>
          <w:p>
            <w:pP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Purchaser’s Corporate Guaranty Agreement, by Matson, Inc., dated as of August 25, 2016 (incorporated by</w:t>
              </w:r>
            </w:hyperlink>
          </w:p>
        </w:tc>
      </w:tr>
      <w:tr>
        <w:trPr>
          <w:trHeight w:val="237"/>
        </w:trPr>
        <w:tc>
          <w:tcPr>
            <w:tcW w:w="1060" w:type="dxa"/>
            <w:vAlign w:val="bottom"/>
          </w:tcPr>
          <w:p>
            <w:pPr>
              <w:spacing w:after="0"/>
              <w:rPr>
                <w:sz w:val="20"/>
                <w:szCs w:val="20"/>
                <w:color w:val="auto"/>
              </w:rPr>
            </w:pPr>
          </w:p>
        </w:tc>
        <w:tc>
          <w:tcPr>
            <w:tcW w:w="7720" w:type="dxa"/>
            <w:vAlign w:val="bottom"/>
            <w:tcBorders>
              <w:top w:val="single" w:sz="8" w:color="0000EE"/>
            </w:tcBorders>
            <w:gridSpan w:val="20"/>
          </w:tcPr>
          <w:p>
            <w:pPr>
              <w:spacing w:after="0"/>
              <w:rPr>
                <w:rFonts w:ascii="Arial" w:cs="Arial" w:eastAsia="Arial" w:hAnsi="Arial"/>
                <w:sz w:val="18"/>
                <w:szCs w:val="18"/>
                <w:u w:val="single" w:color="auto"/>
                <w:color w:val="0000EE"/>
              </w:rPr>
            </w:pPr>
            <w:hyperlink r:id="rId169">
              <w:r>
                <w:rPr>
                  <w:rFonts w:ascii="Arial" w:cs="Arial" w:eastAsia="Arial" w:hAnsi="Arial"/>
                  <w:sz w:val="18"/>
                  <w:szCs w:val="18"/>
                  <w:u w:val="single" w:color="auto"/>
                  <w:color w:val="0000EE"/>
                </w:rPr>
                <w:t>reference to Exhibit 10.2 of Matson’s Form 10-Q for the quarter ended September 30, 2016).</w:t>
              </w:r>
            </w:hyperlink>
          </w:p>
        </w:tc>
        <w:tc>
          <w:tcPr>
            <w:tcW w:w="100" w:type="dxa"/>
            <w:vAlign w:val="bottom"/>
            <w:gridSpan w:val="3"/>
          </w:tcPr>
          <w:p>
            <w:pPr>
              <w:spacing w:after="0"/>
              <w:rPr>
                <w:sz w:val="20"/>
                <w:szCs w:val="20"/>
                <w:color w:val="auto"/>
              </w:rPr>
            </w:pPr>
          </w:p>
        </w:tc>
      </w:tr>
      <w:tr>
        <w:trPr>
          <w:trHeight w:val="392"/>
        </w:trPr>
        <w:tc>
          <w:tcPr>
            <w:tcW w:w="1060" w:type="dxa"/>
            <w:vAlign w:val="bottom"/>
          </w:tcPr>
          <w:p>
            <w:pPr>
              <w:spacing w:after="0"/>
              <w:rPr>
                <w:sz w:val="20"/>
                <w:szCs w:val="20"/>
                <w:color w:val="auto"/>
              </w:rPr>
            </w:pPr>
            <w:r>
              <w:rPr>
                <w:rFonts w:ascii="Arial" w:cs="Arial" w:eastAsia="Arial" w:hAnsi="Arial"/>
                <w:sz w:val="18"/>
                <w:szCs w:val="18"/>
                <w:color w:val="auto"/>
              </w:rPr>
              <w:t>10.36</w:t>
            </w:r>
          </w:p>
        </w:tc>
        <w:tc>
          <w:tcPr>
            <w:tcW w:w="7500" w:type="dxa"/>
            <w:vAlign w:val="bottom"/>
            <w:tcBorders>
              <w:bottom w:val="single" w:sz="8" w:color="0000EE"/>
            </w:tcBorders>
            <w:gridSpan w:val="16"/>
          </w:tcPr>
          <w:p>
            <w:pPr>
              <w:spacing w:after="0"/>
              <w:rPr>
                <w:rFonts w:ascii="Arial" w:cs="Arial" w:eastAsia="Arial" w:hAnsi="Arial"/>
                <w:sz w:val="18"/>
                <w:szCs w:val="18"/>
                <w:color w:val="0000EE"/>
                <w:w w:val="90"/>
              </w:rPr>
            </w:pPr>
            <w:hyperlink r:id="rId170">
              <w:r>
                <w:rPr>
                  <w:rFonts w:ascii="Arial" w:cs="Arial" w:eastAsia="Arial" w:hAnsi="Arial"/>
                  <w:sz w:val="18"/>
                  <w:szCs w:val="18"/>
                  <w:color w:val="0000EE"/>
                  <w:w w:val="90"/>
                </w:rPr>
                <w:t>Contractor’s Corporate Guaranty Agreement, by General Dynamics Corporation, dated as of August 25,</w:t>
              </w:r>
            </w:hyperlink>
          </w:p>
        </w:tc>
        <w:tc>
          <w:tcPr>
            <w:tcW w:w="320" w:type="dxa"/>
            <w:vAlign w:val="bottom"/>
            <w:gridSpan w:val="7"/>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70">
              <w:r>
                <w:rPr>
                  <w:rFonts w:ascii="Arial" w:cs="Arial" w:eastAsia="Arial" w:hAnsi="Arial"/>
                  <w:sz w:val="18"/>
                  <w:szCs w:val="18"/>
                  <w:color w:val="0000EE"/>
                  <w:w w:val="90"/>
                </w:rPr>
                <w:t>2016 (incorporated by reference to Exhibit 10.3 of Matson’s Form 10-Q for the quarter ended September 30,</w:t>
              </w:r>
            </w:hyperlink>
          </w:p>
        </w:tc>
      </w:tr>
      <w:tr>
        <w:trPr>
          <w:trHeight w:val="196"/>
        </w:trPr>
        <w:tc>
          <w:tcPr>
            <w:tcW w:w="106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70">
              <w:r>
                <w:rPr>
                  <w:rFonts w:ascii="Arial" w:cs="Arial" w:eastAsia="Arial" w:hAnsi="Arial"/>
                  <w:sz w:val="18"/>
                  <w:szCs w:val="18"/>
                  <w:color w:val="0000EE"/>
                  <w:w w:val="86"/>
                </w:rPr>
                <w:t>2016).</w:t>
              </w:r>
            </w:hyperlink>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10.37</w:t>
            </w:r>
          </w:p>
        </w:tc>
        <w:tc>
          <w:tcPr>
            <w:tcW w:w="7080" w:type="dxa"/>
            <w:vAlign w:val="bottom"/>
            <w:tcBorders>
              <w:bottom w:val="single" w:sz="8" w:color="0000EE"/>
            </w:tcBorders>
            <w:gridSpan w:val="9"/>
          </w:tcPr>
          <w:p>
            <w:pPr>
              <w:spacing w:after="0"/>
              <w:rPr>
                <w:rFonts w:ascii="Arial" w:cs="Arial" w:eastAsia="Arial" w:hAnsi="Arial"/>
                <w:sz w:val="18"/>
                <w:szCs w:val="18"/>
                <w:color w:val="0000EE"/>
                <w:w w:val="91"/>
              </w:rPr>
            </w:pPr>
            <w:hyperlink r:id="rId171">
              <w:r>
                <w:rPr>
                  <w:rFonts w:ascii="Arial" w:cs="Arial" w:eastAsia="Arial" w:hAnsi="Arial"/>
                  <w:sz w:val="18"/>
                  <w:szCs w:val="18"/>
                  <w:color w:val="0000EE"/>
                  <w:w w:val="91"/>
                </w:rPr>
                <w:t>Form of Capital Construction Fund Agreement with Matson Navigation Company, as amended by</w:t>
              </w:r>
            </w:hyperlink>
          </w:p>
        </w:tc>
        <w:tc>
          <w:tcPr>
            <w:tcW w:w="740" w:type="dxa"/>
            <w:vAlign w:val="bottom"/>
            <w:gridSpan w:val="14"/>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7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Addendums No. 2, No. 5, No. 18, No. 20 and No. 31, thereto (incorporated by reference to Exhibit 10.60 of</w:t>
              </w:r>
            </w:hyperlink>
          </w:p>
        </w:tc>
        <w:tc>
          <w:tcPr>
            <w:tcW w:w="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4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Matson’s Form 10-K for the year ended December 31, 2013).</w:t>
              </w:r>
            </w:hyperlink>
          </w:p>
        </w:tc>
        <w:tc>
          <w:tcPr>
            <w:tcW w:w="3380" w:type="dxa"/>
            <w:vAlign w:val="bottom"/>
            <w:gridSpan w:val="17"/>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10.38</w:t>
            </w:r>
          </w:p>
        </w:tc>
        <w:tc>
          <w:tcPr>
            <w:tcW w:w="7820" w:type="dxa"/>
            <w:vAlign w:val="bottom"/>
            <w:gridSpan w:val="23"/>
          </w:tcPr>
          <w:p>
            <w:pPr>
              <w:spacing w:after="0"/>
              <w:rPr>
                <w:rFonts w:ascii="Arial" w:cs="Arial" w:eastAsia="Arial" w:hAnsi="Arial"/>
                <w:sz w:val="18"/>
                <w:szCs w:val="18"/>
                <w:color w:val="0000EE"/>
                <w:w w:val="91"/>
              </w:rPr>
            </w:pPr>
            <w:hyperlink r:id="rId172">
              <w:r>
                <w:rPr>
                  <w:rFonts w:ascii="Arial" w:cs="Arial" w:eastAsia="Arial" w:hAnsi="Arial"/>
                  <w:sz w:val="18"/>
                  <w:szCs w:val="18"/>
                  <w:color w:val="0000EE"/>
                  <w:w w:val="91"/>
                </w:rPr>
                <w:t>Form of Voting Agreement, dated as of November 11, 2014, among Matson Navigation Company, Inc. and</w:t>
              </w:r>
            </w:hyperlink>
          </w:p>
        </w:tc>
      </w:tr>
      <w:tr>
        <w:trPr>
          <w:trHeight w:val="196"/>
        </w:trPr>
        <w:tc>
          <w:tcPr>
            <w:tcW w:w="1060" w:type="dxa"/>
            <w:vAlign w:val="bottom"/>
          </w:tcPr>
          <w:p>
            <w:pPr>
              <w:spacing w:after="0"/>
              <w:rPr>
                <w:sz w:val="17"/>
                <w:szCs w:val="17"/>
                <w:color w:val="auto"/>
              </w:rPr>
            </w:pPr>
          </w:p>
        </w:tc>
        <w:tc>
          <w:tcPr>
            <w:tcW w:w="74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172">
              <w:r>
                <w:rPr>
                  <w:rFonts w:ascii="Arial" w:cs="Arial" w:eastAsia="Arial" w:hAnsi="Arial"/>
                  <w:sz w:val="18"/>
                  <w:szCs w:val="18"/>
                  <w:color w:val="0000EE"/>
                  <w:w w:val="92"/>
                </w:rPr>
                <w:t>certain holders of voting securities of Horizon Lines, Inc. (incorporated by reference to Exhibit 10.1 of</w:t>
              </w:r>
            </w:hyperlink>
          </w:p>
        </w:tc>
        <w:tc>
          <w:tcPr>
            <w:tcW w:w="300" w:type="dxa"/>
            <w:vAlign w:val="bottom"/>
            <w:tcBorders>
              <w:top w:val="single" w:sz="8" w:color="0000EE"/>
            </w:tcBorders>
            <w:gridSpan w:val="5"/>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4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Matson’s Form 8-K dated November 11, 2014).</w:t>
              </w:r>
            </w:hyperlink>
          </w:p>
        </w:tc>
        <w:tc>
          <w:tcPr>
            <w:tcW w:w="4380" w:type="dxa"/>
            <w:vAlign w:val="bottom"/>
            <w:gridSpan w:val="19"/>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10.39*</w:t>
            </w:r>
          </w:p>
        </w:tc>
        <w:tc>
          <w:tcPr>
            <w:tcW w:w="7160" w:type="dxa"/>
            <w:vAlign w:val="bottom"/>
            <w:tcBorders>
              <w:bottom w:val="single" w:sz="8" w:color="0000EE"/>
            </w:tcBorders>
            <w:gridSpan w:val="11"/>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Matson, Inc. 2016 Incentive Compensation Plan, amended as of October 25, 2017 (incorporated by</w:t>
              </w:r>
            </w:hyperlink>
          </w:p>
        </w:tc>
        <w:tc>
          <w:tcPr>
            <w:tcW w:w="660" w:type="dxa"/>
            <w:vAlign w:val="bottom"/>
            <w:gridSpan w:val="12"/>
          </w:tcPr>
          <w:p>
            <w:pPr>
              <w:spacing w:after="0"/>
              <w:rPr>
                <w:sz w:val="24"/>
                <w:szCs w:val="24"/>
                <w:color w:val="auto"/>
              </w:rPr>
            </w:pPr>
          </w:p>
        </w:tc>
      </w:tr>
      <w:tr>
        <w:trPr>
          <w:trHeight w:val="237"/>
        </w:trPr>
        <w:tc>
          <w:tcPr>
            <w:tcW w:w="1060" w:type="dxa"/>
            <w:vAlign w:val="bottom"/>
          </w:tcPr>
          <w:p>
            <w:pPr>
              <w:spacing w:after="0"/>
              <w:rPr>
                <w:sz w:val="20"/>
                <w:szCs w:val="20"/>
                <w:color w:val="auto"/>
              </w:rPr>
            </w:pPr>
          </w:p>
        </w:tc>
        <w:tc>
          <w:tcPr>
            <w:tcW w:w="7820" w:type="dxa"/>
            <w:vAlign w:val="bottom"/>
            <w:gridSpan w:val="23"/>
          </w:tcPr>
          <w:p>
            <w:pPr>
              <w:spacing w:after="0"/>
              <w:rPr>
                <w:rFonts w:ascii="Arial" w:cs="Arial" w:eastAsia="Arial" w:hAnsi="Arial"/>
                <w:sz w:val="18"/>
                <w:szCs w:val="18"/>
                <w:u w:val="single" w:color="auto"/>
                <w:color w:val="0000EE"/>
              </w:rPr>
            </w:pPr>
            <w:hyperlink r:id="rId173">
              <w:r>
                <w:rPr>
                  <w:rFonts w:ascii="Arial" w:cs="Arial" w:eastAsia="Arial" w:hAnsi="Arial"/>
                  <w:sz w:val="18"/>
                  <w:szCs w:val="18"/>
                  <w:u w:val="single" w:color="auto"/>
                  <w:color w:val="0000EE"/>
                </w:rPr>
                <w:t>reference to Exhibit 10.56 of Matson’s Form 10-K for the year ended December 31, 2017).</w:t>
              </w:r>
            </w:hyperlink>
          </w:p>
        </w:tc>
      </w:tr>
      <w:tr>
        <w:trPr>
          <w:trHeight w:val="391"/>
        </w:trPr>
        <w:tc>
          <w:tcPr>
            <w:tcW w:w="1060" w:type="dxa"/>
            <w:vAlign w:val="bottom"/>
          </w:tcPr>
          <w:p>
            <w:pPr>
              <w:spacing w:after="0"/>
              <w:rPr>
                <w:sz w:val="20"/>
                <w:szCs w:val="20"/>
                <w:color w:val="auto"/>
              </w:rPr>
            </w:pPr>
            <w:r>
              <w:rPr>
                <w:rFonts w:ascii="Arial" w:cs="Arial" w:eastAsia="Arial" w:hAnsi="Arial"/>
                <w:sz w:val="18"/>
                <w:szCs w:val="18"/>
                <w:color w:val="auto"/>
              </w:rPr>
              <w:t>10.40*</w:t>
            </w:r>
          </w:p>
        </w:tc>
        <w:tc>
          <w:tcPr>
            <w:tcW w:w="7820" w:type="dxa"/>
            <w:vAlign w:val="bottom"/>
            <w:gridSpan w:val="23"/>
          </w:tcPr>
          <w:p>
            <w:pPr>
              <w:spacing w:after="0"/>
              <w:rPr>
                <w:rFonts w:ascii="Arial" w:cs="Arial" w:eastAsia="Arial" w:hAnsi="Arial"/>
                <w:sz w:val="18"/>
                <w:szCs w:val="18"/>
                <w:color w:val="0000EE"/>
                <w:w w:val="97"/>
              </w:rPr>
            </w:pPr>
            <w:hyperlink r:id="rId174">
              <w:r>
                <w:rPr>
                  <w:rFonts w:ascii="Arial" w:cs="Arial" w:eastAsia="Arial" w:hAnsi="Arial"/>
                  <w:sz w:val="18"/>
                  <w:szCs w:val="18"/>
                  <w:color w:val="0000EE"/>
                  <w:w w:val="97"/>
                </w:rPr>
                <w:t>Amended and Restated Matson, Inc. Cash Incentive Plan, effective January 1, 2016 (incorporated by</w:t>
              </w:r>
            </w:hyperlink>
          </w:p>
        </w:tc>
      </w:tr>
      <w:tr>
        <w:trPr>
          <w:trHeight w:val="237"/>
        </w:trPr>
        <w:tc>
          <w:tcPr>
            <w:tcW w:w="1060" w:type="dxa"/>
            <w:vAlign w:val="bottom"/>
          </w:tcPr>
          <w:p>
            <w:pPr>
              <w:spacing w:after="0"/>
              <w:rPr>
                <w:sz w:val="20"/>
                <w:szCs w:val="20"/>
                <w:color w:val="auto"/>
              </w:rPr>
            </w:pPr>
          </w:p>
        </w:tc>
        <w:tc>
          <w:tcPr>
            <w:tcW w:w="7240" w:type="dxa"/>
            <w:vAlign w:val="bottom"/>
            <w:tcBorders>
              <w:top w:val="single" w:sz="8" w:color="0000EE"/>
            </w:tcBorders>
            <w:gridSpan w:val="13"/>
          </w:tcPr>
          <w:p>
            <w:pPr>
              <w:spacing w:after="0"/>
              <w:rPr>
                <w:rFonts w:ascii="Arial" w:cs="Arial" w:eastAsia="Arial" w:hAnsi="Arial"/>
                <w:sz w:val="18"/>
                <w:szCs w:val="18"/>
                <w:u w:val="single" w:color="auto"/>
                <w:color w:val="0000EE"/>
              </w:rPr>
            </w:pPr>
            <w:hyperlink r:id="rId174">
              <w:r>
                <w:rPr>
                  <w:rFonts w:ascii="Arial" w:cs="Arial" w:eastAsia="Arial" w:hAnsi="Arial"/>
                  <w:sz w:val="18"/>
                  <w:szCs w:val="18"/>
                  <w:u w:val="single" w:color="auto"/>
                  <w:color w:val="0000EE"/>
                </w:rPr>
                <w:t>reference to Exhibit 10.63 of Matson’s Form 10-K for the year ended December 31, 2016).</w:t>
              </w:r>
            </w:hyperlink>
          </w:p>
        </w:tc>
        <w:tc>
          <w:tcPr>
            <w:tcW w:w="580" w:type="dxa"/>
            <w:vAlign w:val="bottom"/>
            <w:gridSpan w:val="10"/>
          </w:tcPr>
          <w:p>
            <w:pPr>
              <w:spacing w:after="0"/>
              <w:rPr>
                <w:sz w:val="20"/>
                <w:szCs w:val="20"/>
                <w:color w:val="auto"/>
              </w:rPr>
            </w:pPr>
          </w:p>
        </w:tc>
      </w:tr>
      <w:tr>
        <w:trPr>
          <w:trHeight w:val="391"/>
        </w:trPr>
        <w:tc>
          <w:tcPr>
            <w:tcW w:w="1060" w:type="dxa"/>
            <w:vAlign w:val="bottom"/>
          </w:tcPr>
          <w:p>
            <w:pPr>
              <w:spacing w:after="0"/>
              <w:rPr>
                <w:sz w:val="20"/>
                <w:szCs w:val="20"/>
                <w:color w:val="auto"/>
              </w:rPr>
            </w:pPr>
            <w:r>
              <w:rPr>
                <w:rFonts w:ascii="Arial" w:cs="Arial" w:eastAsia="Arial" w:hAnsi="Arial"/>
                <w:sz w:val="18"/>
                <w:szCs w:val="18"/>
                <w:color w:val="auto"/>
              </w:rPr>
              <w:t>10.41*</w:t>
            </w:r>
          </w:p>
        </w:tc>
        <w:tc>
          <w:tcPr>
            <w:tcW w:w="7460" w:type="dxa"/>
            <w:vAlign w:val="bottom"/>
            <w:tcBorders>
              <w:bottom w:val="single" w:sz="8" w:color="0000EE"/>
            </w:tcBorders>
            <w:gridSpan w:val="15"/>
          </w:tcPr>
          <w:p>
            <w:pPr>
              <w:spacing w:after="0"/>
              <w:rPr>
                <w:rFonts w:ascii="Arial" w:cs="Arial" w:eastAsia="Arial" w:hAnsi="Arial"/>
                <w:sz w:val="18"/>
                <w:szCs w:val="18"/>
                <w:color w:val="0000EE"/>
                <w:w w:val="92"/>
              </w:rPr>
            </w:pPr>
            <w:hyperlink r:id="rId175">
              <w:r>
                <w:rPr>
                  <w:rFonts w:ascii="Arial" w:cs="Arial" w:eastAsia="Arial" w:hAnsi="Arial"/>
                  <w:sz w:val="18"/>
                  <w:szCs w:val="18"/>
                  <w:color w:val="0000EE"/>
                  <w:w w:val="92"/>
                </w:rPr>
                <w:t>Form of 2016 Plan Restricted Stock Unit Award Agreement for Non-Employee Directors (No Deferral)</w:t>
              </w:r>
            </w:hyperlink>
          </w:p>
        </w:tc>
        <w:tc>
          <w:tcPr>
            <w:tcW w:w="360" w:type="dxa"/>
            <w:vAlign w:val="bottom"/>
            <w:gridSpan w:val="8"/>
          </w:tcPr>
          <w:p>
            <w:pPr>
              <w:spacing w:after="0"/>
              <w:rPr>
                <w:sz w:val="24"/>
                <w:szCs w:val="24"/>
                <w:color w:val="auto"/>
              </w:rPr>
            </w:pPr>
          </w:p>
        </w:tc>
      </w:tr>
      <w:tr>
        <w:trPr>
          <w:trHeight w:val="237"/>
        </w:trPr>
        <w:tc>
          <w:tcPr>
            <w:tcW w:w="1060" w:type="dxa"/>
            <w:vAlign w:val="bottom"/>
          </w:tcPr>
          <w:p>
            <w:pPr>
              <w:spacing w:after="0"/>
              <w:rPr>
                <w:sz w:val="20"/>
                <w:szCs w:val="20"/>
                <w:color w:val="auto"/>
              </w:rPr>
            </w:pPr>
          </w:p>
        </w:tc>
        <w:tc>
          <w:tcPr>
            <w:tcW w:w="7820" w:type="dxa"/>
            <w:vAlign w:val="bottom"/>
            <w:gridSpan w:val="23"/>
          </w:tcPr>
          <w:p>
            <w:pPr>
              <w:spacing w:after="0"/>
              <w:rPr>
                <w:rFonts w:ascii="Arial" w:cs="Arial" w:eastAsia="Arial" w:hAnsi="Arial"/>
                <w:sz w:val="18"/>
                <w:szCs w:val="18"/>
                <w:u w:val="single" w:color="auto"/>
                <w:color w:val="0000EE"/>
                <w:w w:val="91"/>
              </w:rPr>
            </w:pPr>
            <w:hyperlink r:id="rId175">
              <w:r>
                <w:rPr>
                  <w:rFonts w:ascii="Arial" w:cs="Arial" w:eastAsia="Arial" w:hAnsi="Arial"/>
                  <w:sz w:val="18"/>
                  <w:szCs w:val="18"/>
                  <w:u w:val="single" w:color="auto"/>
                  <w:color w:val="0000EE"/>
                  <w:w w:val="91"/>
                </w:rPr>
                <w:t>(incorporated by reference to Exhibit 10.64 of Matson’s Form 10-K for the year ended December 31, 2016).</w:t>
              </w:r>
            </w:hyperlink>
          </w:p>
        </w:tc>
      </w:tr>
      <w:tr>
        <w:trPr>
          <w:trHeight w:val="391"/>
        </w:trPr>
        <w:tc>
          <w:tcPr>
            <w:tcW w:w="1060" w:type="dxa"/>
            <w:vAlign w:val="bottom"/>
          </w:tcPr>
          <w:p>
            <w:pPr>
              <w:spacing w:after="0"/>
              <w:rPr>
                <w:sz w:val="20"/>
                <w:szCs w:val="20"/>
                <w:color w:val="auto"/>
              </w:rPr>
            </w:pPr>
            <w:r>
              <w:rPr>
                <w:rFonts w:ascii="Arial" w:cs="Arial" w:eastAsia="Arial" w:hAnsi="Arial"/>
                <w:sz w:val="18"/>
                <w:szCs w:val="18"/>
                <w:color w:val="auto"/>
              </w:rPr>
              <w:t>10.42*</w:t>
            </w:r>
          </w:p>
        </w:tc>
        <w:tc>
          <w:tcPr>
            <w:tcW w:w="7140" w:type="dxa"/>
            <w:vAlign w:val="bottom"/>
            <w:tcBorders>
              <w:bottom w:val="single" w:sz="8" w:color="0000EE"/>
            </w:tcBorders>
            <w:gridSpan w:val="10"/>
          </w:tcPr>
          <w:p>
            <w:pPr>
              <w:spacing w:after="0"/>
              <w:rPr>
                <w:rFonts w:ascii="Arial" w:cs="Arial" w:eastAsia="Arial" w:hAnsi="Arial"/>
                <w:sz w:val="18"/>
                <w:szCs w:val="18"/>
                <w:color w:val="0000EE"/>
                <w:w w:val="92"/>
              </w:rPr>
            </w:pPr>
            <w:hyperlink r:id="rId176">
              <w:r>
                <w:rPr>
                  <w:rFonts w:ascii="Arial" w:cs="Arial" w:eastAsia="Arial" w:hAnsi="Arial"/>
                  <w:sz w:val="18"/>
                  <w:szCs w:val="18"/>
                  <w:color w:val="0000EE"/>
                  <w:w w:val="92"/>
                </w:rPr>
                <w:t>Form of 2016 Plan Restricted Stock Unit Award Agreement for Non-Employee Directors (Deferral</w:t>
              </w:r>
            </w:hyperlink>
          </w:p>
        </w:tc>
        <w:tc>
          <w:tcPr>
            <w:tcW w:w="680" w:type="dxa"/>
            <w:vAlign w:val="bottom"/>
            <w:gridSpan w:val="1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3"/>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Election) (incorporated by reference to Exhibit 10.65 of Matson’s Form 10-K for the year ended</w:t>
              </w:r>
            </w:hyperlink>
          </w:p>
        </w:tc>
      </w:tr>
      <w:tr>
        <w:trPr>
          <w:trHeight w:val="196"/>
        </w:trPr>
        <w:tc>
          <w:tcPr>
            <w:tcW w:w="1060" w:type="dxa"/>
            <w:vAlign w:val="bottom"/>
          </w:tcPr>
          <w:p>
            <w:pPr>
              <w:spacing w:after="0"/>
              <w:rPr>
                <w:sz w:val="17"/>
                <w:szCs w:val="17"/>
                <w:color w:val="auto"/>
              </w:rPr>
            </w:pPr>
          </w:p>
        </w:tc>
        <w:tc>
          <w:tcPr>
            <w:tcW w:w="69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December 31, 2016).</w:t>
              </w:r>
            </w:hyperlink>
          </w:p>
        </w:tc>
        <w:tc>
          <w:tcPr>
            <w:tcW w:w="900" w:type="dxa"/>
            <w:vAlign w:val="bottom"/>
            <w:gridSpan w:val="16"/>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880" w:type="dxa"/>
            <w:vAlign w:val="bottom"/>
            <w:gridSpan w:val="15"/>
          </w:tcPr>
          <w:p>
            <w:pPr>
              <w:spacing w:after="0" w:line="20" w:lineRule="exact"/>
              <w:rPr>
                <w:sz w:val="1"/>
                <w:szCs w:val="1"/>
                <w:color w:val="auto"/>
              </w:rPr>
            </w:pPr>
          </w:p>
        </w:tc>
      </w:tr>
      <w:tr>
        <w:trPr>
          <w:trHeight w:val="398"/>
        </w:trPr>
        <w:tc>
          <w:tcPr>
            <w:tcW w:w="1060" w:type="dxa"/>
            <w:vAlign w:val="bottom"/>
          </w:tcPr>
          <w:p>
            <w:pPr>
              <w:spacing w:after="0"/>
              <w:rPr>
                <w:sz w:val="20"/>
                <w:szCs w:val="20"/>
                <w:color w:val="auto"/>
              </w:rPr>
            </w:pPr>
            <w:r>
              <w:rPr>
                <w:rFonts w:ascii="Arial" w:cs="Arial" w:eastAsia="Arial" w:hAnsi="Arial"/>
                <w:sz w:val="18"/>
                <w:szCs w:val="18"/>
                <w:color w:val="auto"/>
              </w:rPr>
              <w:t>10.43*</w:t>
            </w:r>
          </w:p>
        </w:tc>
        <w:tc>
          <w:tcPr>
            <w:tcW w:w="7820" w:type="dxa"/>
            <w:vAlign w:val="bottom"/>
            <w:gridSpan w:val="23"/>
          </w:tcPr>
          <w:p>
            <w:pPr>
              <w:spacing w:after="0"/>
              <w:rPr>
                <w:rFonts w:ascii="Arial" w:cs="Arial" w:eastAsia="Arial" w:hAnsi="Arial"/>
                <w:sz w:val="18"/>
                <w:szCs w:val="18"/>
                <w:color w:val="0000EE"/>
              </w:rPr>
            </w:pPr>
            <w:hyperlink r:id="rId177">
              <w:r>
                <w:rPr>
                  <w:rFonts w:ascii="Arial" w:cs="Arial" w:eastAsia="Arial" w:hAnsi="Arial"/>
                  <w:sz w:val="18"/>
                  <w:szCs w:val="18"/>
                  <w:color w:val="0000EE"/>
                </w:rPr>
                <w:t>Form of 2016 Plan Time-Based Restricted Stock Unit Agreement for Non-Executive Employees</w:t>
              </w:r>
            </w:hyperlink>
          </w:p>
        </w:tc>
      </w:tr>
      <w:tr>
        <w:trPr>
          <w:trHeight w:val="20"/>
        </w:trPr>
        <w:tc>
          <w:tcPr>
            <w:tcW w:w="1060" w:type="dxa"/>
            <w:vAlign w:val="bottom"/>
          </w:tcPr>
          <w:p>
            <w:pPr>
              <w:spacing w:after="0" w:line="20" w:lineRule="exact"/>
              <w:rPr>
                <w:sz w:val="1"/>
                <w:szCs w:val="1"/>
                <w:color w:val="auto"/>
              </w:rPr>
            </w:pPr>
          </w:p>
        </w:tc>
        <w:tc>
          <w:tcPr>
            <w:tcW w:w="6940" w:type="dxa"/>
            <w:vAlign w:val="bottom"/>
            <w:gridSpan w:val="8"/>
            <w:shd w:val="clear" w:color="auto" w:fill="0000EE"/>
          </w:tcPr>
          <w:p>
            <w:pPr>
              <w:spacing w:after="0" w:line="20" w:lineRule="exact"/>
              <w:rPr>
                <w:sz w:val="1"/>
                <w:szCs w:val="1"/>
                <w:color w:val="auto"/>
              </w:rPr>
            </w:pPr>
          </w:p>
        </w:tc>
        <w:tc>
          <w:tcPr>
            <w:tcW w:w="880" w:type="dxa"/>
            <w:vAlign w:val="bottom"/>
            <w:gridSpan w:val="15"/>
          </w:tcPr>
          <w:p>
            <w:pPr>
              <w:spacing w:after="0" w:line="20" w:lineRule="exact"/>
              <w:rPr>
                <w:sz w:val="1"/>
                <w:szCs w:val="1"/>
                <w:color w:val="auto"/>
              </w:rPr>
            </w:pPr>
          </w:p>
        </w:tc>
      </w:tr>
      <w:tr>
        <w:trPr>
          <w:trHeight w:val="236"/>
        </w:trPr>
        <w:tc>
          <w:tcPr>
            <w:tcW w:w="1060" w:type="dxa"/>
            <w:vAlign w:val="bottom"/>
          </w:tcPr>
          <w:p>
            <w:pPr>
              <w:spacing w:after="0"/>
              <w:rPr>
                <w:sz w:val="20"/>
                <w:szCs w:val="20"/>
                <w:color w:val="auto"/>
              </w:rPr>
            </w:pPr>
          </w:p>
        </w:tc>
        <w:tc>
          <w:tcPr>
            <w:tcW w:w="7820" w:type="dxa"/>
            <w:vAlign w:val="bottom"/>
            <w:gridSpan w:val="23"/>
          </w:tcPr>
          <w:p>
            <w:pPr>
              <w:spacing w:after="0"/>
              <w:rPr>
                <w:rFonts w:ascii="Arial" w:cs="Arial" w:eastAsia="Arial" w:hAnsi="Arial"/>
                <w:sz w:val="18"/>
                <w:szCs w:val="18"/>
                <w:u w:val="single" w:color="auto"/>
                <w:color w:val="0000EE"/>
                <w:w w:val="91"/>
              </w:rPr>
            </w:pPr>
            <w:hyperlink r:id="rId177">
              <w:r>
                <w:rPr>
                  <w:rFonts w:ascii="Arial" w:cs="Arial" w:eastAsia="Arial" w:hAnsi="Arial"/>
                  <w:sz w:val="18"/>
                  <w:szCs w:val="18"/>
                  <w:u w:val="single" w:color="auto"/>
                  <w:color w:val="0000EE"/>
                  <w:w w:val="91"/>
                </w:rPr>
                <w:t>(incorporated by reference to Exhibit 10.60 of Matson’s Form 10-K for the year ended December 31, 2017).</w:t>
              </w:r>
            </w:hyperlink>
          </w:p>
        </w:tc>
      </w:tr>
      <w:tr>
        <w:trPr>
          <w:trHeight w:val="391"/>
        </w:trPr>
        <w:tc>
          <w:tcPr>
            <w:tcW w:w="1060" w:type="dxa"/>
            <w:vAlign w:val="bottom"/>
          </w:tcPr>
          <w:p>
            <w:pPr>
              <w:spacing w:after="0"/>
              <w:rPr>
                <w:sz w:val="20"/>
                <w:szCs w:val="20"/>
                <w:color w:val="auto"/>
              </w:rPr>
            </w:pPr>
            <w:r>
              <w:rPr>
                <w:rFonts w:ascii="Arial" w:cs="Arial" w:eastAsia="Arial" w:hAnsi="Arial"/>
                <w:sz w:val="18"/>
                <w:szCs w:val="18"/>
                <w:color w:val="auto"/>
              </w:rPr>
              <w:t>10.44*</w:t>
            </w:r>
          </w:p>
        </w:tc>
        <w:tc>
          <w:tcPr>
            <w:tcW w:w="7820" w:type="dxa"/>
            <w:vAlign w:val="bottom"/>
            <w:tcBorders>
              <w:bottom w:val="single" w:sz="8" w:color="0000EE"/>
            </w:tcBorders>
            <w:gridSpan w:val="23"/>
          </w:tcPr>
          <w:p>
            <w:pPr>
              <w:spacing w:after="0"/>
              <w:rPr>
                <w:rFonts w:ascii="Arial" w:cs="Arial" w:eastAsia="Arial" w:hAnsi="Arial"/>
                <w:sz w:val="18"/>
                <w:szCs w:val="18"/>
                <w:color w:val="0000EE"/>
                <w:w w:val="91"/>
              </w:rPr>
            </w:pPr>
            <w:hyperlink r:id="rId178">
              <w:r>
                <w:rPr>
                  <w:rFonts w:ascii="Arial" w:cs="Arial" w:eastAsia="Arial" w:hAnsi="Arial"/>
                  <w:sz w:val="18"/>
                  <w:szCs w:val="18"/>
                  <w:color w:val="0000EE"/>
                  <w:w w:val="91"/>
                </w:rPr>
                <w:t>Form of 2016 Plan Time-Based Restricted Stock Unit Agreement for Executive Employees (incorporated by</w:t>
              </w:r>
            </w:hyperlink>
          </w:p>
        </w:tc>
      </w:tr>
      <w:tr>
        <w:trPr>
          <w:trHeight w:val="236"/>
        </w:trPr>
        <w:tc>
          <w:tcPr>
            <w:tcW w:w="1060" w:type="dxa"/>
            <w:vAlign w:val="bottom"/>
          </w:tcPr>
          <w:p>
            <w:pPr>
              <w:spacing w:after="0"/>
              <w:rPr>
                <w:sz w:val="20"/>
                <w:szCs w:val="20"/>
                <w:color w:val="auto"/>
              </w:rPr>
            </w:pPr>
          </w:p>
        </w:tc>
        <w:tc>
          <w:tcPr>
            <w:tcW w:w="7820" w:type="dxa"/>
            <w:vAlign w:val="bottom"/>
            <w:gridSpan w:val="23"/>
          </w:tcPr>
          <w:p>
            <w:pPr>
              <w:spacing w:after="0"/>
              <w:rPr>
                <w:rFonts w:ascii="Arial" w:cs="Arial" w:eastAsia="Arial" w:hAnsi="Arial"/>
                <w:sz w:val="18"/>
                <w:szCs w:val="18"/>
                <w:u w:val="single" w:color="auto"/>
                <w:color w:val="0000EE"/>
              </w:rPr>
            </w:pPr>
            <w:hyperlink r:id="rId178">
              <w:r>
                <w:rPr>
                  <w:rFonts w:ascii="Arial" w:cs="Arial" w:eastAsia="Arial" w:hAnsi="Arial"/>
                  <w:sz w:val="18"/>
                  <w:szCs w:val="18"/>
                  <w:u w:val="single" w:color="auto"/>
                  <w:color w:val="0000EE"/>
                </w:rPr>
                <w:t>reference to Exhibit 10.61 of Matson’s Form 10-K for the year ended December 31, 2017).</w:t>
              </w:r>
            </w:hyperlink>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10.45*</w:t>
            </w:r>
          </w:p>
        </w:tc>
        <w:tc>
          <w:tcPr>
            <w:tcW w:w="7620" w:type="dxa"/>
            <w:vAlign w:val="bottom"/>
            <w:tcBorders>
              <w:bottom w:val="single" w:sz="8" w:color="0000EE"/>
            </w:tcBorders>
            <w:gridSpan w:val="6"/>
          </w:tcPr>
          <w:p>
            <w:pPr>
              <w:spacing w:after="0"/>
              <w:rPr>
                <w:rFonts w:ascii="Arial" w:cs="Arial" w:eastAsia="Arial" w:hAnsi="Arial"/>
                <w:sz w:val="18"/>
                <w:szCs w:val="18"/>
                <w:color w:val="0000EE"/>
                <w:w w:val="90"/>
              </w:rPr>
            </w:pPr>
            <w:hyperlink r:id="rId180">
              <w:r>
                <w:rPr>
                  <w:rFonts w:ascii="Arial" w:cs="Arial" w:eastAsia="Arial" w:hAnsi="Arial"/>
                  <w:sz w:val="18"/>
                  <w:szCs w:val="18"/>
                  <w:color w:val="0000EE"/>
                  <w:w w:val="90"/>
                </w:rPr>
                <w:t>Form of 2016 Plan Performance Share Award Agreement for Non-Executive Employees (incorporated by</w:t>
              </w:r>
            </w:hyperlink>
          </w:p>
        </w:tc>
        <w:tc>
          <w:tcPr>
            <w:tcW w:w="120" w:type="dxa"/>
            <w:vAlign w:val="bottom"/>
            <w:gridSpan w:val="3"/>
          </w:tcPr>
          <w:p>
            <w:pPr>
              <w:spacing w:after="0"/>
              <w:rPr>
                <w:sz w:val="17"/>
                <w:szCs w:val="17"/>
                <w:color w:val="auto"/>
              </w:rPr>
            </w:pPr>
          </w:p>
        </w:tc>
      </w:tr>
      <w:tr>
        <w:trPr>
          <w:trHeight w:val="237"/>
        </w:trPr>
        <w:tc>
          <w:tcPr>
            <w:tcW w:w="1060" w:type="dxa"/>
            <w:vAlign w:val="bottom"/>
          </w:tcPr>
          <w:p>
            <w:pPr>
              <w:spacing w:after="0"/>
              <w:rPr>
                <w:sz w:val="20"/>
                <w:szCs w:val="20"/>
                <w:color w:val="auto"/>
              </w:rPr>
            </w:pPr>
          </w:p>
        </w:tc>
        <w:tc>
          <w:tcPr>
            <w:tcW w:w="7740" w:type="dxa"/>
            <w:vAlign w:val="bottom"/>
            <w:gridSpan w:val="9"/>
          </w:tcPr>
          <w:p>
            <w:pPr>
              <w:spacing w:after="0"/>
              <w:rPr>
                <w:rFonts w:ascii="Arial" w:cs="Arial" w:eastAsia="Arial" w:hAnsi="Arial"/>
                <w:sz w:val="18"/>
                <w:szCs w:val="18"/>
                <w:u w:val="single" w:color="auto"/>
                <w:color w:val="0000EE"/>
              </w:rPr>
            </w:pPr>
            <w:hyperlink r:id="rId180">
              <w:r>
                <w:rPr>
                  <w:rFonts w:ascii="Arial" w:cs="Arial" w:eastAsia="Arial" w:hAnsi="Arial"/>
                  <w:sz w:val="18"/>
                  <w:szCs w:val="18"/>
                  <w:u w:val="single" w:color="auto"/>
                  <w:color w:val="0000EE"/>
                </w:rPr>
                <w:t>reference to Exhibit 10.62 of Matson’s Form 10-K for the year ended December 31, 2017).</w:t>
              </w:r>
            </w:hyperlink>
          </w:p>
        </w:tc>
      </w:tr>
      <w:tr>
        <w:trPr>
          <w:trHeight w:val="391"/>
        </w:trPr>
        <w:tc>
          <w:tcPr>
            <w:tcW w:w="1060" w:type="dxa"/>
            <w:vAlign w:val="bottom"/>
          </w:tcPr>
          <w:p>
            <w:pPr>
              <w:spacing w:after="0"/>
              <w:rPr>
                <w:sz w:val="20"/>
                <w:szCs w:val="20"/>
                <w:color w:val="auto"/>
              </w:rPr>
            </w:pPr>
            <w:r>
              <w:rPr>
                <w:rFonts w:ascii="Arial" w:cs="Arial" w:eastAsia="Arial" w:hAnsi="Arial"/>
                <w:sz w:val="18"/>
                <w:szCs w:val="18"/>
                <w:color w:val="auto"/>
              </w:rPr>
              <w:t>10.46*</w:t>
            </w:r>
          </w:p>
        </w:tc>
        <w:tc>
          <w:tcPr>
            <w:tcW w:w="7740" w:type="dxa"/>
            <w:vAlign w:val="bottom"/>
            <w:gridSpan w:val="9"/>
          </w:tcPr>
          <w:p>
            <w:pPr>
              <w:spacing w:after="0"/>
              <w:rPr>
                <w:rFonts w:ascii="Arial" w:cs="Arial" w:eastAsia="Arial" w:hAnsi="Arial"/>
                <w:sz w:val="18"/>
                <w:szCs w:val="18"/>
                <w:color w:val="0000EE"/>
                <w:w w:val="96"/>
              </w:rPr>
            </w:pPr>
            <w:hyperlink r:id="rId181">
              <w:r>
                <w:rPr>
                  <w:rFonts w:ascii="Arial" w:cs="Arial" w:eastAsia="Arial" w:hAnsi="Arial"/>
                  <w:sz w:val="18"/>
                  <w:szCs w:val="18"/>
                  <w:color w:val="0000EE"/>
                  <w:w w:val="96"/>
                </w:rPr>
                <w:t>Form of 2016 Plan Performance Share Award Agreement for Executive Employees (incorporated by</w:t>
              </w:r>
            </w:hyperlink>
          </w:p>
        </w:tc>
      </w:tr>
      <w:tr>
        <w:trPr>
          <w:trHeight w:val="237"/>
        </w:trPr>
        <w:tc>
          <w:tcPr>
            <w:tcW w:w="1060" w:type="dxa"/>
            <w:vAlign w:val="bottom"/>
          </w:tcPr>
          <w:p>
            <w:pPr>
              <w:spacing w:after="0"/>
              <w:rPr>
                <w:sz w:val="20"/>
                <w:szCs w:val="20"/>
                <w:color w:val="auto"/>
              </w:rPr>
            </w:pPr>
          </w:p>
        </w:tc>
        <w:tc>
          <w:tcPr>
            <w:tcW w:w="7240" w:type="dxa"/>
            <w:vAlign w:val="bottom"/>
            <w:tcBorders>
              <w:top w:val="single" w:sz="8" w:color="0000EE"/>
            </w:tcBorders>
            <w:gridSpan w:val="5"/>
          </w:tcPr>
          <w:p>
            <w:pPr>
              <w:spacing w:after="0"/>
              <w:rPr>
                <w:rFonts w:ascii="Arial" w:cs="Arial" w:eastAsia="Arial" w:hAnsi="Arial"/>
                <w:sz w:val="18"/>
                <w:szCs w:val="18"/>
                <w:u w:val="single" w:color="auto"/>
                <w:color w:val="0000EE"/>
              </w:rPr>
            </w:pPr>
            <w:hyperlink r:id="rId181">
              <w:r>
                <w:rPr>
                  <w:rFonts w:ascii="Arial" w:cs="Arial" w:eastAsia="Arial" w:hAnsi="Arial"/>
                  <w:sz w:val="18"/>
                  <w:szCs w:val="18"/>
                  <w:u w:val="single" w:color="auto"/>
                  <w:color w:val="0000EE"/>
                </w:rPr>
                <w:t>reference to Exhibit 10.63 of Matson’s Form 10-K for the year ended December 31, 2017).</w:t>
              </w:r>
            </w:hyperlink>
          </w:p>
        </w:tc>
        <w:tc>
          <w:tcPr>
            <w:tcW w:w="500" w:type="dxa"/>
            <w:vAlign w:val="bottom"/>
            <w:gridSpan w:val="4"/>
          </w:tcPr>
          <w:p>
            <w:pPr>
              <w:spacing w:after="0"/>
              <w:rPr>
                <w:sz w:val="20"/>
                <w:szCs w:val="20"/>
                <w:color w:val="auto"/>
              </w:rPr>
            </w:pP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10.47*,**</w:t>
            </w:r>
          </w:p>
        </w:tc>
        <w:tc>
          <w:tcPr>
            <w:tcW w:w="7740" w:type="dxa"/>
            <w:vAlign w:val="bottom"/>
            <w:gridSpan w:val="9"/>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Form of 2016 Plan Performance Share Award Agreement for Executive Employees (ROIC).</w:t>
              </w:r>
            </w:hyperlink>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10.48*,**</w:t>
            </w:r>
          </w:p>
        </w:tc>
        <w:tc>
          <w:tcPr>
            <w:tcW w:w="7740" w:type="dxa"/>
            <w:vAlign w:val="bottom"/>
            <w:gridSpan w:val="9"/>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Form of 2016 Plan Performance Share Award Agreement for Executive Employees (TSR).</w:t>
              </w:r>
            </w:hyperlink>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10.49*,**</w:t>
            </w:r>
          </w:p>
        </w:tc>
        <w:tc>
          <w:tcPr>
            <w:tcW w:w="7740" w:type="dxa"/>
            <w:vAlign w:val="bottom"/>
            <w:gridSpan w:val="9"/>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Form of 2016 Plan Performance Share Award Agreement for Non-Executive Employees.</w:t>
              </w:r>
            </w:hyperlink>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10.50*,**</w:t>
            </w:r>
          </w:p>
        </w:tc>
        <w:tc>
          <w:tcPr>
            <w:tcW w:w="7740" w:type="dxa"/>
            <w:vAlign w:val="bottom"/>
            <w:gridSpan w:val="9"/>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Form of 2016 Plan Time-Based Restricted Stock Unit Agreement for Executive Employees.</w:t>
              </w:r>
            </w:hyperlink>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10.51*,**</w:t>
            </w:r>
          </w:p>
        </w:tc>
        <w:tc>
          <w:tcPr>
            <w:tcW w:w="7740" w:type="dxa"/>
            <w:vAlign w:val="bottom"/>
            <w:gridSpan w:val="9"/>
          </w:tcPr>
          <w:p>
            <w:pPr>
              <w:spacing w:after="0"/>
              <w:rPr>
                <w:rFonts w:ascii="Arial" w:cs="Arial" w:eastAsia="Arial" w:hAnsi="Arial"/>
                <w:sz w:val="18"/>
                <w:szCs w:val="18"/>
                <w:u w:val="single" w:color="auto"/>
                <w:color w:val="0000EE"/>
              </w:rPr>
            </w:pPr>
            <w:hyperlink w:anchor="page180">
              <w:r>
                <w:rPr>
                  <w:rFonts w:ascii="Arial" w:cs="Arial" w:eastAsia="Arial" w:hAnsi="Arial"/>
                  <w:sz w:val="18"/>
                  <w:szCs w:val="18"/>
                  <w:u w:val="single" w:color="auto"/>
                  <w:color w:val="0000EE"/>
                </w:rPr>
                <w:t>Form of 2016 Plan Time-Based Restricted Stock Unit Agreement for Non-Executive Employees.</w:t>
              </w:r>
            </w:hyperlink>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10.52*,**</w:t>
            </w:r>
          </w:p>
        </w:tc>
        <w:tc>
          <w:tcPr>
            <w:tcW w:w="7740" w:type="dxa"/>
            <w:vAlign w:val="bottom"/>
            <w:gridSpan w:val="9"/>
          </w:tcPr>
          <w:p>
            <w:pPr>
              <w:spacing w:after="0"/>
              <w:rPr>
                <w:rFonts w:ascii="Arial" w:cs="Arial" w:eastAsia="Arial" w:hAnsi="Arial"/>
                <w:sz w:val="18"/>
                <w:szCs w:val="18"/>
                <w:u w:val="single" w:color="auto"/>
                <w:color w:val="0000EE"/>
                <w:w w:val="95"/>
              </w:rPr>
            </w:pPr>
            <w:hyperlink w:anchor="page197">
              <w:r>
                <w:rPr>
                  <w:rFonts w:ascii="Arial" w:cs="Arial" w:eastAsia="Arial" w:hAnsi="Arial"/>
                  <w:sz w:val="18"/>
                  <w:szCs w:val="18"/>
                  <w:u w:val="single" w:color="auto"/>
                  <w:color w:val="0000EE"/>
                  <w:w w:val="95"/>
                </w:rPr>
                <w:t>Form of 2016 Plan Restricted Stock Unit Award Agreement for Non-Employee Directors (No Deferral).</w:t>
              </w:r>
            </w:hyperlink>
          </w:p>
        </w:tc>
      </w:tr>
      <w:tr>
        <w:trPr>
          <w:trHeight w:val="391"/>
        </w:trPr>
        <w:tc>
          <w:tcPr>
            <w:tcW w:w="1060" w:type="dxa"/>
            <w:vAlign w:val="bottom"/>
          </w:tcPr>
          <w:p>
            <w:pPr>
              <w:spacing w:after="0"/>
              <w:rPr>
                <w:sz w:val="20"/>
                <w:szCs w:val="20"/>
                <w:color w:val="auto"/>
              </w:rPr>
            </w:pPr>
            <w:r>
              <w:rPr>
                <w:rFonts w:ascii="Arial" w:cs="Arial" w:eastAsia="Arial" w:hAnsi="Arial"/>
                <w:sz w:val="18"/>
                <w:szCs w:val="18"/>
                <w:color w:val="auto"/>
              </w:rPr>
              <w:t>10.53*,**</w:t>
            </w:r>
          </w:p>
        </w:tc>
        <w:tc>
          <w:tcPr>
            <w:tcW w:w="71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203">
              <w:r>
                <w:rPr>
                  <w:rFonts w:ascii="Arial" w:cs="Arial" w:eastAsia="Arial" w:hAnsi="Arial"/>
                  <w:sz w:val="18"/>
                  <w:szCs w:val="18"/>
                  <w:color w:val="0000EE"/>
                  <w:w w:val="92"/>
                </w:rPr>
                <w:t>Form of 2016 Plan Restricted Stock Unit Award Agreement for Non-Employee Directors (Deferral</w:t>
              </w:r>
            </w:hyperlink>
          </w:p>
        </w:tc>
        <w:tc>
          <w:tcPr>
            <w:tcW w:w="60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740" w:type="dxa"/>
            <w:vAlign w:val="bottom"/>
            <w:gridSpan w:val="9"/>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Election).</w:t>
              </w:r>
            </w:hyperlink>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1060" w:type="dxa"/>
            <w:vAlign w:val="bottom"/>
          </w:tcPr>
          <w:p>
            <w:pPr>
              <w:spacing w:after="0"/>
              <w:rPr>
                <w:sz w:val="20"/>
                <w:szCs w:val="20"/>
                <w:color w:val="auto"/>
              </w:rPr>
            </w:pPr>
            <w:r>
              <w:rPr>
                <w:rFonts w:ascii="Arial" w:cs="Arial" w:eastAsia="Arial" w:hAnsi="Arial"/>
                <w:sz w:val="18"/>
                <w:szCs w:val="18"/>
                <w:color w:val="auto"/>
              </w:rPr>
              <w:t>21**</w:t>
            </w:r>
          </w:p>
        </w:tc>
        <w:tc>
          <w:tcPr>
            <w:tcW w:w="7740" w:type="dxa"/>
            <w:vAlign w:val="bottom"/>
            <w:gridSpan w:val="9"/>
          </w:tcPr>
          <w:p>
            <w:pPr>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Matson, Inc. Subsidiaries as of December 31, 2020.</w:t>
              </w:r>
            </w:hyperlink>
          </w:p>
        </w:tc>
      </w:tr>
      <w:tr>
        <w:trPr>
          <w:trHeight w:val="419"/>
        </w:trPr>
        <w:tc>
          <w:tcPr>
            <w:tcW w:w="1060" w:type="dxa"/>
            <w:vAlign w:val="bottom"/>
          </w:tcPr>
          <w:p>
            <w:pPr>
              <w:spacing w:after="0"/>
              <w:rPr>
                <w:sz w:val="20"/>
                <w:szCs w:val="20"/>
                <w:color w:val="auto"/>
              </w:rPr>
            </w:pPr>
            <w:r>
              <w:rPr>
                <w:rFonts w:ascii="Arial" w:cs="Arial" w:eastAsia="Arial" w:hAnsi="Arial"/>
                <w:sz w:val="18"/>
                <w:szCs w:val="18"/>
                <w:color w:val="auto"/>
              </w:rPr>
              <w:t>23**</w:t>
            </w:r>
          </w:p>
        </w:tc>
        <w:tc>
          <w:tcPr>
            <w:tcW w:w="7740" w:type="dxa"/>
            <w:vAlign w:val="bottom"/>
            <w:gridSpan w:val="9"/>
          </w:tcPr>
          <w:p>
            <w:pPr>
              <w:spacing w:after="0"/>
              <w:rPr>
                <w:rFonts w:ascii="Arial" w:cs="Arial" w:eastAsia="Arial" w:hAnsi="Arial"/>
                <w:sz w:val="18"/>
                <w:szCs w:val="18"/>
                <w:u w:val="single" w:color="auto"/>
                <w:color w:val="0000EE"/>
              </w:rPr>
            </w:pPr>
            <w:hyperlink w:anchor="page210">
              <w:r>
                <w:rPr>
                  <w:rFonts w:ascii="Arial" w:cs="Arial" w:eastAsia="Arial" w:hAnsi="Arial"/>
                  <w:sz w:val="18"/>
                  <w:szCs w:val="18"/>
                  <w:u w:val="single" w:color="auto"/>
                  <w:color w:val="0000EE"/>
                </w:rPr>
                <w:t>Consent of Deloitte &amp; Touche, LLP dated February 26, 2021.</w:t>
              </w:r>
            </w:hyperlink>
          </w:p>
        </w:tc>
      </w:tr>
      <w:tr>
        <w:trPr>
          <w:trHeight w:val="378"/>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7740" w:type="dxa"/>
            <w:vAlign w:val="bottom"/>
            <w:gridSpan w:val="9"/>
          </w:tcPr>
          <w:p>
            <w:pPr>
              <w:spacing w:after="0"/>
              <w:rPr>
                <w:rFonts w:ascii="Arial" w:cs="Arial" w:eastAsia="Arial" w:hAnsi="Arial"/>
                <w:sz w:val="18"/>
                <w:szCs w:val="18"/>
                <w:color w:val="0000EE"/>
                <w:w w:val="92"/>
              </w:rPr>
            </w:pPr>
            <w:hyperlink w:anchor="page211">
              <w:r>
                <w:rPr>
                  <w:rFonts w:ascii="Arial" w:cs="Arial" w:eastAsia="Arial" w:hAnsi="Arial"/>
                  <w:sz w:val="18"/>
                  <w:szCs w:val="18"/>
                  <w:color w:val="0000EE"/>
                  <w:w w:val="92"/>
                </w:rPr>
                <w:t>Certification of Chief Executive Officer, as Adopted Pursuant to Section 302 of the Sarbanes-Oxley Act of</w:t>
              </w:r>
            </w:hyperlink>
          </w:p>
        </w:tc>
      </w:tr>
      <w:tr>
        <w:trPr>
          <w:trHeight w:val="196"/>
        </w:trPr>
        <w:tc>
          <w:tcPr>
            <w:tcW w:w="10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211">
              <w:r>
                <w:rPr>
                  <w:rFonts w:ascii="Arial" w:cs="Arial" w:eastAsia="Arial" w:hAnsi="Arial"/>
                  <w:sz w:val="18"/>
                  <w:szCs w:val="18"/>
                  <w:color w:val="0000EE"/>
                  <w:w w:val="84"/>
                </w:rPr>
                <w:t>2002.</w:t>
              </w:r>
            </w:hyperlink>
          </w:p>
        </w:tc>
        <w:tc>
          <w:tcPr>
            <w:tcW w:w="300" w:type="dxa"/>
            <w:vAlign w:val="bottom"/>
            <w:tcBorders>
              <w:top w:val="single" w:sz="8" w:color="0000EE"/>
            </w:tcBorders>
          </w:tcPr>
          <w:p>
            <w:pPr>
              <w:spacing w:after="0"/>
              <w:rPr>
                <w:sz w:val="17"/>
                <w:szCs w:val="17"/>
                <w:color w:val="auto"/>
              </w:rPr>
            </w:pPr>
          </w:p>
        </w:tc>
        <w:tc>
          <w:tcPr>
            <w:tcW w:w="428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399"/>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7740" w:type="dxa"/>
            <w:vAlign w:val="bottom"/>
            <w:gridSpan w:val="9"/>
          </w:tcPr>
          <w:p>
            <w:pPr>
              <w:spacing w:after="0"/>
              <w:rPr>
                <w:rFonts w:ascii="Arial" w:cs="Arial" w:eastAsia="Arial" w:hAnsi="Arial"/>
                <w:sz w:val="18"/>
                <w:szCs w:val="18"/>
                <w:color w:val="0000EE"/>
                <w:w w:val="92"/>
              </w:rPr>
            </w:pPr>
            <w:hyperlink w:anchor="page212">
              <w:r>
                <w:rPr>
                  <w:rFonts w:ascii="Arial" w:cs="Arial" w:eastAsia="Arial" w:hAnsi="Arial"/>
                  <w:sz w:val="18"/>
                  <w:szCs w:val="18"/>
                  <w:color w:val="0000EE"/>
                  <w:w w:val="92"/>
                </w:rPr>
                <w:t>Certification of Chief Financial Officer, as Adopted Pursuant to Section 302 of the Sarbanes-Oxley Act of</w:t>
              </w:r>
            </w:hyperlink>
          </w:p>
        </w:tc>
      </w:tr>
      <w:tr>
        <w:trPr>
          <w:trHeight w:val="196"/>
        </w:trPr>
        <w:tc>
          <w:tcPr>
            <w:tcW w:w="10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212">
              <w:r>
                <w:rPr>
                  <w:rFonts w:ascii="Arial" w:cs="Arial" w:eastAsia="Arial" w:hAnsi="Arial"/>
                  <w:sz w:val="18"/>
                  <w:szCs w:val="18"/>
                  <w:color w:val="0000EE"/>
                  <w:w w:val="84"/>
                </w:rPr>
                <w:t>2002.</w:t>
              </w:r>
            </w:hyperlink>
          </w:p>
        </w:tc>
        <w:tc>
          <w:tcPr>
            <w:tcW w:w="300" w:type="dxa"/>
            <w:vAlign w:val="bottom"/>
            <w:tcBorders>
              <w:top w:val="single" w:sz="8" w:color="0000EE"/>
            </w:tcBorders>
          </w:tcPr>
          <w:p>
            <w:pPr>
              <w:spacing w:after="0"/>
              <w:rPr>
                <w:sz w:val="17"/>
                <w:szCs w:val="17"/>
                <w:color w:val="auto"/>
              </w:rPr>
            </w:pPr>
          </w:p>
        </w:tc>
        <w:tc>
          <w:tcPr>
            <w:tcW w:w="428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45"/>
        </w:trPr>
        <w:tc>
          <w:tcPr>
            <w:tcW w:w="1060" w:type="dxa"/>
            <w:vAlign w:val="bottom"/>
          </w:tcPr>
          <w:p>
            <w:pPr>
              <w:spacing w:after="0"/>
              <w:rPr>
                <w:sz w:val="20"/>
                <w:szCs w:val="20"/>
                <w:color w:val="auto"/>
              </w:rPr>
            </w:pPr>
            <w:r>
              <w:rPr>
                <w:rFonts w:ascii="Arial" w:cs="Arial" w:eastAsia="Arial" w:hAnsi="Arial"/>
                <w:sz w:val="18"/>
                <w:szCs w:val="18"/>
                <w:color w:val="auto"/>
              </w:rPr>
              <w:t>32***</w:t>
            </w:r>
          </w:p>
        </w:tc>
        <w:tc>
          <w:tcPr>
            <w:tcW w:w="774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213">
              <w:r>
                <w:rPr>
                  <w:rFonts w:ascii="Arial" w:cs="Arial" w:eastAsia="Arial" w:hAnsi="Arial"/>
                  <w:sz w:val="18"/>
                  <w:szCs w:val="18"/>
                  <w:color w:val="0000EE"/>
                  <w:w w:val="91"/>
                </w:rPr>
                <w:t>Certification of Chief Executive Officer and Chief Financial Officer Pursuant to 18 U.S.C. Section 1350, as</w:t>
              </w:r>
            </w:hyperlink>
          </w:p>
        </w:tc>
      </w:tr>
      <w:tr>
        <w:trPr>
          <w:trHeight w:val="196"/>
        </w:trPr>
        <w:tc>
          <w:tcPr>
            <w:tcW w:w="1060" w:type="dxa"/>
            <w:vAlign w:val="bottom"/>
          </w:tcPr>
          <w:p>
            <w:pPr>
              <w:spacing w:after="0"/>
              <w:rPr>
                <w:sz w:val="17"/>
                <w:szCs w:val="17"/>
                <w:color w:val="auto"/>
              </w:rPr>
            </w:pPr>
          </w:p>
        </w:tc>
        <w:tc>
          <w:tcPr>
            <w:tcW w:w="7740" w:type="dxa"/>
            <w:vAlign w:val="bottom"/>
            <w:gridSpan w:val="9"/>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Adopted Pursuant to Section 906 of the Sarbanes-Oxley Act of 2002.</w:t>
              </w:r>
            </w:hyperlink>
          </w:p>
        </w:tc>
      </w:tr>
      <w:tr>
        <w:trPr>
          <w:trHeight w:val="20"/>
        </w:trPr>
        <w:tc>
          <w:tcPr>
            <w:tcW w:w="1060" w:type="dxa"/>
            <w:vAlign w:val="bottom"/>
          </w:tcPr>
          <w:p>
            <w:pPr>
              <w:spacing w:after="0" w:line="20" w:lineRule="exact"/>
              <w:rPr>
                <w:sz w:val="1"/>
                <w:szCs w:val="1"/>
                <w:color w:val="auto"/>
              </w:rPr>
            </w:pPr>
          </w:p>
        </w:tc>
        <w:tc>
          <w:tcPr>
            <w:tcW w:w="4980" w:type="dxa"/>
            <w:vAlign w:val="bottom"/>
            <w:gridSpan w:val="3"/>
            <w:shd w:val="clear" w:color="auto" w:fill="0000EE"/>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r>
      <w:tr>
        <w:trPr>
          <w:trHeight w:val="384"/>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7740" w:type="dxa"/>
            <w:vAlign w:val="bottom"/>
            <w:gridSpan w:val="9"/>
          </w:tcPr>
          <w:p>
            <w:pPr>
              <w:ind w:left="240"/>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w:t>
            </w:r>
          </w:p>
        </w:tc>
      </w:tr>
      <w:tr>
        <w:trPr>
          <w:trHeight w:val="216"/>
        </w:trPr>
        <w:tc>
          <w:tcPr>
            <w:tcW w:w="1060" w:type="dxa"/>
            <w:vAlign w:val="bottom"/>
          </w:tcPr>
          <w:p>
            <w:pPr>
              <w:spacing w:after="0"/>
              <w:rPr>
                <w:sz w:val="18"/>
                <w:szCs w:val="18"/>
                <w:color w:val="auto"/>
              </w:rPr>
            </w:pPr>
          </w:p>
        </w:tc>
        <w:tc>
          <w:tcPr>
            <w:tcW w:w="7740" w:type="dxa"/>
            <w:vAlign w:val="bottom"/>
            <w:gridSpan w:val="9"/>
          </w:tcPr>
          <w:p>
            <w:pPr>
              <w:ind w:left="240"/>
              <w:spacing w:after="0"/>
              <w:rPr>
                <w:sz w:val="20"/>
                <w:szCs w:val="20"/>
                <w:color w:val="auto"/>
              </w:rPr>
            </w:pPr>
            <w:r>
              <w:rPr>
                <w:rFonts w:ascii="Arial" w:cs="Arial" w:eastAsia="Arial" w:hAnsi="Arial"/>
                <w:sz w:val="18"/>
                <w:szCs w:val="18"/>
                <w:color w:val="auto"/>
              </w:rPr>
              <w:t>because its XBRL tags are embedded within the Inline XBRL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7740" w:type="dxa"/>
            <w:vAlign w:val="bottom"/>
            <w:gridSpan w:val="9"/>
          </w:tcPr>
          <w:p>
            <w:pPr>
              <w:ind w:left="24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7740" w:type="dxa"/>
            <w:vAlign w:val="bottom"/>
            <w:gridSpan w:val="9"/>
          </w:tcPr>
          <w:p>
            <w:pPr>
              <w:ind w:left="24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7740" w:type="dxa"/>
            <w:vAlign w:val="bottom"/>
            <w:gridSpan w:val="9"/>
          </w:tcPr>
          <w:p>
            <w:pPr>
              <w:ind w:left="24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7740" w:type="dxa"/>
            <w:vAlign w:val="bottom"/>
            <w:gridSpan w:val="9"/>
          </w:tcPr>
          <w:p>
            <w:pPr>
              <w:ind w:left="2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7740" w:type="dxa"/>
            <w:vAlign w:val="bottom"/>
            <w:gridSpan w:val="9"/>
          </w:tcPr>
          <w:p>
            <w:pPr>
              <w:ind w:left="24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104**</w:t>
            </w:r>
          </w:p>
        </w:tc>
        <w:tc>
          <w:tcPr>
            <w:tcW w:w="7740" w:type="dxa"/>
            <w:vAlign w:val="bottom"/>
            <w:gridSpan w:val="9"/>
          </w:tcPr>
          <w:p>
            <w:pPr>
              <w:ind w:left="240"/>
              <w:spacing w:after="0"/>
              <w:rPr>
                <w:sz w:val="20"/>
                <w:szCs w:val="20"/>
                <w:color w:val="auto"/>
              </w:rPr>
            </w:pPr>
            <w:r>
              <w:rPr>
                <w:rFonts w:ascii="Arial" w:cs="Arial" w:eastAsia="Arial" w:hAnsi="Arial"/>
                <w:sz w:val="18"/>
                <w:szCs w:val="18"/>
                <w:color w:val="auto"/>
                <w:w w:val="90"/>
              </w:rPr>
              <w:t>Cover Page Interactive Data File – the cover page interactive data file does not appear in the Interactive</w:t>
            </w:r>
          </w:p>
        </w:tc>
      </w:tr>
      <w:tr>
        <w:trPr>
          <w:trHeight w:val="230"/>
        </w:trPr>
        <w:tc>
          <w:tcPr>
            <w:tcW w:w="1060" w:type="dxa"/>
            <w:vAlign w:val="bottom"/>
          </w:tcPr>
          <w:p>
            <w:pPr>
              <w:spacing w:after="0"/>
              <w:rPr>
                <w:sz w:val="20"/>
                <w:szCs w:val="20"/>
                <w:color w:val="auto"/>
              </w:rPr>
            </w:pPr>
          </w:p>
        </w:tc>
        <w:tc>
          <w:tcPr>
            <w:tcW w:w="7740" w:type="dxa"/>
            <w:vAlign w:val="bottom"/>
            <w:gridSpan w:val="9"/>
          </w:tcPr>
          <w:p>
            <w:pPr>
              <w:ind w:left="240"/>
              <w:spacing w:after="0"/>
              <w:rPr>
                <w:sz w:val="20"/>
                <w:szCs w:val="20"/>
                <w:color w:val="auto"/>
              </w:rPr>
            </w:pPr>
            <w:r>
              <w:rPr>
                <w:rFonts w:ascii="Arial" w:cs="Arial" w:eastAsia="Arial" w:hAnsi="Arial"/>
                <w:sz w:val="18"/>
                <w:szCs w:val="18"/>
                <w:color w:val="auto"/>
              </w:rPr>
              <w:t>Data File because its XBRL tags are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wp:posOffset>
            </wp:positionV>
            <wp:extent cx="14141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28" w:lineRule="exact"/>
        <w:rPr>
          <w:sz w:val="20"/>
          <w:szCs w:val="20"/>
          <w:color w:val="auto"/>
        </w:rPr>
      </w:pPr>
    </w:p>
    <w:p>
      <w:pPr>
        <w:ind w:left="680" w:hanging="630"/>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MATSON, INC.</w:t>
            </w:r>
          </w:p>
        </w:tc>
      </w:tr>
      <w:tr>
        <w:trPr>
          <w:trHeight w:val="224"/>
        </w:trPr>
        <w:tc>
          <w:tcPr>
            <w:tcW w:w="446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418"/>
        </w:trPr>
        <w:tc>
          <w:tcPr>
            <w:tcW w:w="4460" w:type="dxa"/>
            <w:vAlign w:val="bottom"/>
          </w:tcPr>
          <w:p>
            <w:pPr>
              <w:spacing w:after="0"/>
              <w:rPr>
                <w:sz w:val="20"/>
                <w:szCs w:val="20"/>
                <w:color w:val="auto"/>
              </w:rPr>
            </w:pPr>
            <w:r>
              <w:rPr>
                <w:rFonts w:ascii="Arial" w:cs="Arial" w:eastAsia="Arial" w:hAnsi="Arial"/>
                <w:sz w:val="18"/>
                <w:szCs w:val="18"/>
                <w:color w:val="auto"/>
              </w:rPr>
              <w:t>Date: February 26, 2021</w:t>
            </w: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Matthew J. Cox</w:t>
            </w:r>
          </w:p>
        </w:tc>
      </w:tr>
      <w:tr>
        <w:trPr>
          <w:trHeight w:val="195"/>
        </w:trPr>
        <w:tc>
          <w:tcPr>
            <w:tcW w:w="4460" w:type="dxa"/>
            <w:vAlign w:val="bottom"/>
          </w:tcPr>
          <w:p>
            <w:pPr>
              <w:spacing w:after="0"/>
              <w:rPr>
                <w:sz w:val="16"/>
                <w:szCs w:val="16"/>
                <w:color w:val="auto"/>
              </w:rPr>
            </w:pPr>
          </w:p>
        </w:tc>
        <w:tc>
          <w:tcPr>
            <w:tcW w:w="4440" w:type="dxa"/>
            <w:vAlign w:val="bottom"/>
          </w:tcPr>
          <w:p>
            <w:pPr>
              <w:jc w:val="center"/>
              <w:spacing w:after="0" w:line="195" w:lineRule="exact"/>
              <w:rPr>
                <w:sz w:val="20"/>
                <w:szCs w:val="20"/>
                <w:color w:val="auto"/>
              </w:rPr>
            </w:pPr>
            <w:r>
              <w:rPr>
                <w:rFonts w:ascii="Arial" w:cs="Arial" w:eastAsia="Arial" w:hAnsi="Arial"/>
                <w:sz w:val="18"/>
                <w:szCs w:val="18"/>
                <w:color w:val="auto"/>
                <w:w w:val="91"/>
              </w:rPr>
              <w:t>Matthew J. Cox</w:t>
            </w:r>
          </w:p>
        </w:tc>
      </w:tr>
      <w:tr>
        <w:trPr>
          <w:trHeight w:val="216"/>
        </w:trPr>
        <w:tc>
          <w:tcPr>
            <w:tcW w:w="446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0"/>
              </w:rPr>
              <w:t>Chairman and</w:t>
            </w:r>
          </w:p>
        </w:tc>
      </w:tr>
      <w:tr>
        <w:trPr>
          <w:trHeight w:val="230"/>
        </w:trPr>
        <w:tc>
          <w:tcPr>
            <w:tcW w:w="446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bl>
    <w:p>
      <w:pPr>
        <w:spacing w:after="0" w:line="202"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22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14"/>
                <w:szCs w:val="14"/>
                <w:color w:val="auto"/>
              </w:rPr>
            </w:pPr>
          </w:p>
        </w:tc>
        <w:tc>
          <w:tcPr>
            <w:tcW w:w="452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6"/>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Cox</w:t>
            </w:r>
          </w:p>
        </w:tc>
        <w:tc>
          <w:tcPr>
            <w:tcW w:w="4860" w:type="dxa"/>
            <w:vAlign w:val="bottom"/>
            <w:gridSpan w:val="3"/>
          </w:tcPr>
          <w:p>
            <w:pPr>
              <w:ind w:left="160"/>
              <w:spacing w:after="0"/>
              <w:rPr>
                <w:sz w:val="20"/>
                <w:szCs w:val="20"/>
                <w:color w:val="auto"/>
              </w:rPr>
            </w:pPr>
            <w:r>
              <w:rPr>
                <w:rFonts w:ascii="Arial" w:cs="Arial" w:eastAsia="Arial" w:hAnsi="Arial"/>
                <w:sz w:val="18"/>
                <w:szCs w:val="18"/>
                <w:color w:val="auto"/>
              </w:rPr>
              <w:t>Chairman and Chief Executive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26, 2021</w:t>
            </w:r>
          </w:p>
        </w:tc>
      </w:tr>
      <w:tr>
        <w:trPr>
          <w:trHeight w:val="224"/>
        </w:trPr>
        <w:tc>
          <w:tcPr>
            <w:tcW w:w="2220" w:type="dxa"/>
            <w:vAlign w:val="bottom"/>
          </w:tcPr>
          <w:p>
            <w:pPr>
              <w:spacing w:after="0"/>
              <w:rPr>
                <w:sz w:val="20"/>
                <w:szCs w:val="20"/>
                <w:color w:val="auto"/>
              </w:rPr>
            </w:pPr>
            <w:r>
              <w:rPr>
                <w:rFonts w:ascii="Arial" w:cs="Arial" w:eastAsia="Arial" w:hAnsi="Arial"/>
                <w:sz w:val="18"/>
                <w:szCs w:val="18"/>
                <w:color w:val="auto"/>
              </w:rPr>
              <w:t>Matthew J. Cox</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Meredith J. Ching</w:t>
            </w:r>
          </w:p>
        </w:tc>
        <w:tc>
          <w:tcPr>
            <w:tcW w:w="48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26, 2021</w:t>
            </w:r>
          </w:p>
        </w:tc>
      </w:tr>
      <w:tr>
        <w:trPr>
          <w:trHeight w:val="224"/>
        </w:trPr>
        <w:tc>
          <w:tcPr>
            <w:tcW w:w="2220" w:type="dxa"/>
            <w:vAlign w:val="bottom"/>
          </w:tcPr>
          <w:p>
            <w:pPr>
              <w:spacing w:after="0"/>
              <w:rPr>
                <w:sz w:val="20"/>
                <w:szCs w:val="20"/>
                <w:color w:val="auto"/>
              </w:rPr>
            </w:pPr>
            <w:r>
              <w:rPr>
                <w:rFonts w:ascii="Arial" w:cs="Arial" w:eastAsia="Arial" w:hAnsi="Arial"/>
                <w:sz w:val="18"/>
                <w:szCs w:val="18"/>
                <w:color w:val="auto"/>
              </w:rPr>
              <w:t>Meredith J. Ching</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B. Fargo</w:t>
            </w:r>
          </w:p>
        </w:tc>
        <w:tc>
          <w:tcPr>
            <w:tcW w:w="48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26, 2021</w:t>
            </w:r>
          </w:p>
        </w:tc>
      </w:tr>
      <w:tr>
        <w:trPr>
          <w:trHeight w:val="224"/>
        </w:trPr>
        <w:tc>
          <w:tcPr>
            <w:tcW w:w="2220" w:type="dxa"/>
            <w:vAlign w:val="bottom"/>
          </w:tcPr>
          <w:p>
            <w:pPr>
              <w:spacing w:after="0"/>
              <w:rPr>
                <w:sz w:val="20"/>
                <w:szCs w:val="20"/>
                <w:color w:val="auto"/>
              </w:rPr>
            </w:pPr>
            <w:r>
              <w:rPr>
                <w:rFonts w:ascii="Arial" w:cs="Arial" w:eastAsia="Arial" w:hAnsi="Arial"/>
                <w:sz w:val="18"/>
                <w:szCs w:val="18"/>
                <w:color w:val="auto"/>
              </w:rPr>
              <w:t>Thomas B. Fargo</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H. Fukunaga</w:t>
            </w:r>
          </w:p>
        </w:tc>
        <w:tc>
          <w:tcPr>
            <w:tcW w:w="48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26, 2021</w:t>
            </w:r>
          </w:p>
        </w:tc>
      </w:tr>
      <w:tr>
        <w:trPr>
          <w:trHeight w:val="224"/>
        </w:trPr>
        <w:tc>
          <w:tcPr>
            <w:tcW w:w="2220" w:type="dxa"/>
            <w:vAlign w:val="bottom"/>
          </w:tcPr>
          <w:p>
            <w:pPr>
              <w:spacing w:after="0"/>
              <w:rPr>
                <w:sz w:val="20"/>
                <w:szCs w:val="20"/>
                <w:color w:val="auto"/>
              </w:rPr>
            </w:pPr>
            <w:r>
              <w:rPr>
                <w:rFonts w:ascii="Arial" w:cs="Arial" w:eastAsia="Arial" w:hAnsi="Arial"/>
                <w:sz w:val="18"/>
                <w:szCs w:val="18"/>
                <w:color w:val="auto"/>
              </w:rPr>
              <w:t>Mark H. Fukunaga</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Stanley M. Kuriyama</w:t>
            </w:r>
          </w:p>
        </w:tc>
        <w:tc>
          <w:tcPr>
            <w:tcW w:w="48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26, 2021</w:t>
            </w:r>
          </w:p>
        </w:tc>
      </w:tr>
      <w:tr>
        <w:trPr>
          <w:trHeight w:val="224"/>
        </w:trPr>
        <w:tc>
          <w:tcPr>
            <w:tcW w:w="2220" w:type="dxa"/>
            <w:vAlign w:val="bottom"/>
          </w:tcPr>
          <w:p>
            <w:pPr>
              <w:spacing w:after="0"/>
              <w:rPr>
                <w:sz w:val="20"/>
                <w:szCs w:val="20"/>
                <w:color w:val="auto"/>
              </w:rPr>
            </w:pPr>
            <w:r>
              <w:rPr>
                <w:rFonts w:ascii="Arial" w:cs="Arial" w:eastAsia="Arial" w:hAnsi="Arial"/>
                <w:sz w:val="18"/>
                <w:szCs w:val="18"/>
                <w:color w:val="auto"/>
              </w:rPr>
              <w:t>Stanley M. Kuriyama</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Constance H. Lau</w:t>
            </w:r>
          </w:p>
        </w:tc>
        <w:tc>
          <w:tcPr>
            <w:tcW w:w="48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26, 2021</w:t>
            </w:r>
          </w:p>
        </w:tc>
      </w:tr>
      <w:tr>
        <w:trPr>
          <w:trHeight w:val="224"/>
        </w:trPr>
        <w:tc>
          <w:tcPr>
            <w:tcW w:w="2220" w:type="dxa"/>
            <w:vAlign w:val="bottom"/>
          </w:tcPr>
          <w:p>
            <w:pPr>
              <w:spacing w:after="0"/>
              <w:rPr>
                <w:sz w:val="20"/>
                <w:szCs w:val="20"/>
                <w:color w:val="auto"/>
              </w:rPr>
            </w:pPr>
            <w:r>
              <w:rPr>
                <w:rFonts w:ascii="Arial" w:cs="Arial" w:eastAsia="Arial" w:hAnsi="Arial"/>
                <w:sz w:val="18"/>
                <w:szCs w:val="18"/>
                <w:color w:val="auto"/>
              </w:rPr>
              <w:t>Constance H. Lau</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Jenai S. Wall</w:t>
            </w:r>
          </w:p>
        </w:tc>
        <w:tc>
          <w:tcPr>
            <w:tcW w:w="48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26, 2021</w:t>
            </w:r>
          </w:p>
        </w:tc>
      </w:tr>
      <w:tr>
        <w:trPr>
          <w:trHeight w:val="224"/>
        </w:trPr>
        <w:tc>
          <w:tcPr>
            <w:tcW w:w="2220" w:type="dxa"/>
            <w:vAlign w:val="bottom"/>
          </w:tcPr>
          <w:p>
            <w:pPr>
              <w:spacing w:after="0"/>
              <w:rPr>
                <w:sz w:val="20"/>
                <w:szCs w:val="20"/>
                <w:color w:val="auto"/>
              </w:rPr>
            </w:pPr>
            <w:r>
              <w:rPr>
                <w:rFonts w:ascii="Arial" w:cs="Arial" w:eastAsia="Arial" w:hAnsi="Arial"/>
                <w:sz w:val="18"/>
                <w:szCs w:val="18"/>
                <w:color w:val="auto"/>
              </w:rPr>
              <w:t>Jenai S. Wall</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M. Wine</w:t>
            </w:r>
          </w:p>
        </w:tc>
        <w:tc>
          <w:tcPr>
            <w:tcW w:w="486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 and Chief Financial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26, 2021</w:t>
            </w:r>
          </w:p>
        </w:tc>
      </w:tr>
      <w:tr>
        <w:trPr>
          <w:trHeight w:val="224"/>
        </w:trPr>
        <w:tc>
          <w:tcPr>
            <w:tcW w:w="2220" w:type="dxa"/>
            <w:vAlign w:val="bottom"/>
          </w:tcPr>
          <w:p>
            <w:pPr>
              <w:spacing w:after="0"/>
              <w:rPr>
                <w:sz w:val="20"/>
                <w:szCs w:val="20"/>
                <w:color w:val="auto"/>
              </w:rPr>
            </w:pPr>
            <w:r>
              <w:rPr>
                <w:rFonts w:ascii="Arial" w:cs="Arial" w:eastAsia="Arial" w:hAnsi="Arial"/>
                <w:sz w:val="18"/>
                <w:szCs w:val="18"/>
                <w:color w:val="auto"/>
              </w:rPr>
              <w:t>Joel M. Wine</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L. Stuck</w:t>
            </w:r>
          </w:p>
        </w:tc>
        <w:tc>
          <w:tcPr>
            <w:tcW w:w="4860" w:type="dxa"/>
            <w:vAlign w:val="bottom"/>
            <w:gridSpan w:val="3"/>
          </w:tcPr>
          <w:p>
            <w:pPr>
              <w:ind w:left="160"/>
              <w:spacing w:after="0"/>
              <w:rPr>
                <w:sz w:val="20"/>
                <w:szCs w:val="20"/>
                <w:color w:val="auto"/>
              </w:rPr>
            </w:pPr>
            <w:r>
              <w:rPr>
                <w:rFonts w:ascii="Arial" w:cs="Arial" w:eastAsia="Arial" w:hAnsi="Arial"/>
                <w:sz w:val="18"/>
                <w:szCs w:val="18"/>
                <w:color w:val="auto"/>
              </w:rPr>
              <w:t>Vice President and Controller (principal accounting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26, 2021</w:t>
            </w:r>
          </w:p>
        </w:tc>
      </w:tr>
      <w:tr>
        <w:trPr>
          <w:trHeight w:val="224"/>
        </w:trPr>
        <w:tc>
          <w:tcPr>
            <w:tcW w:w="2220" w:type="dxa"/>
            <w:vAlign w:val="bottom"/>
          </w:tcPr>
          <w:p>
            <w:pPr>
              <w:spacing w:after="0"/>
              <w:rPr>
                <w:sz w:val="20"/>
                <w:szCs w:val="20"/>
                <w:color w:val="auto"/>
              </w:rPr>
            </w:pPr>
            <w:r>
              <w:rPr>
                <w:rFonts w:ascii="Arial" w:cs="Arial" w:eastAsia="Arial" w:hAnsi="Arial"/>
                <w:sz w:val="18"/>
                <w:szCs w:val="18"/>
                <w:color w:val="auto"/>
              </w:rPr>
              <w:t>Kevin L. Stuck</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20" w:type="dxa"/>
            <w:vAlign w:val="bottom"/>
          </w:tcPr>
          <w:p>
            <w:pPr>
              <w:spacing w:after="0"/>
              <w:rPr>
                <w:sz w:val="24"/>
                <w:szCs w:val="24"/>
                <w:color w:val="auto"/>
              </w:rPr>
            </w:pPr>
          </w:p>
        </w:tc>
        <w:tc>
          <w:tcPr>
            <w:tcW w:w="470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jc w:val="right"/>
        <w:ind w:right="219"/>
        <w:spacing w:after="0"/>
        <w:rPr>
          <w:sz w:val="20"/>
          <w:szCs w:val="20"/>
          <w:color w:val="auto"/>
        </w:rPr>
      </w:pPr>
      <w:r>
        <w:rPr>
          <w:rFonts w:ascii="Arial" w:cs="Arial" w:eastAsia="Arial" w:hAnsi="Arial"/>
          <w:sz w:val="18"/>
          <w:szCs w:val="18"/>
          <w:b w:val="1"/>
          <w:bCs w:val="1"/>
          <w:color w:val="auto"/>
        </w:rPr>
        <w:t>Exhibit 10.27</w:t>
      </w:r>
    </w:p>
    <w:p>
      <w:pPr>
        <w:spacing w:after="0" w:line="200" w:lineRule="exact"/>
        <w:rPr>
          <w:sz w:val="20"/>
          <w:szCs w:val="20"/>
          <w:color w:val="auto"/>
        </w:rPr>
      </w:pPr>
    </w:p>
    <w:p>
      <w:pPr>
        <w:spacing w:after="0" w:line="32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ind w:left="360"/>
              <w:spacing w:after="0"/>
              <w:rPr>
                <w:sz w:val="20"/>
                <w:szCs w:val="20"/>
                <w:color w:val="auto"/>
              </w:rPr>
            </w:pPr>
            <w:r>
              <w:rPr>
                <w:rFonts w:ascii="Arial" w:cs="Arial" w:eastAsia="Arial" w:hAnsi="Arial"/>
                <w:sz w:val="18"/>
                <w:szCs w:val="18"/>
                <w:b w:val="1"/>
                <w:bCs w:val="1"/>
                <w:color w:val="auto"/>
                <w:w w:val="90"/>
              </w:rPr>
              <w:t>Letter Agreement Counter Parties</w:t>
            </w:r>
          </w:p>
        </w:tc>
        <w:tc>
          <w:tcPr>
            <w:tcW w:w="2980" w:type="dxa"/>
            <w:vAlign w:val="bottom"/>
          </w:tcPr>
          <w:p>
            <w:pPr>
              <w:spacing w:after="0"/>
              <w:rPr>
                <w:sz w:val="20"/>
                <w:szCs w:val="20"/>
                <w:color w:val="auto"/>
              </w:rPr>
            </w:pPr>
          </w:p>
        </w:tc>
      </w:tr>
      <w:tr>
        <w:trPr>
          <w:trHeight w:val="405"/>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4"/>
                <w:szCs w:val="24"/>
                <w:color w:val="auto"/>
              </w:rPr>
            </w:pPr>
          </w:p>
        </w:tc>
        <w:tc>
          <w:tcPr>
            <w:tcW w:w="3000" w:type="dxa"/>
            <w:vAlign w:val="bottom"/>
            <w:gridSpan w:val="2"/>
          </w:tcPr>
          <w:p>
            <w:pPr>
              <w:ind w:left="1220"/>
              <w:spacing w:after="0"/>
              <w:rPr>
                <w:sz w:val="20"/>
                <w:szCs w:val="20"/>
                <w:color w:val="auto"/>
              </w:rPr>
            </w:pPr>
            <w:r>
              <w:rPr>
                <w:rFonts w:ascii="Arial" w:cs="Arial" w:eastAsia="Arial" w:hAnsi="Arial"/>
                <w:sz w:val="18"/>
                <w:szCs w:val="18"/>
                <w:b w:val="1"/>
                <w:bCs w:val="1"/>
                <w:color w:val="auto"/>
              </w:rPr>
              <w:t>Title</w:t>
            </w:r>
          </w:p>
        </w:tc>
        <w:tc>
          <w:tcPr>
            <w:tcW w:w="2980" w:type="dxa"/>
            <w:vAlign w:val="bottom"/>
          </w:tcPr>
          <w:p>
            <w:pPr>
              <w:ind w:left="1020"/>
              <w:spacing w:after="0"/>
              <w:rPr>
                <w:sz w:val="20"/>
                <w:szCs w:val="20"/>
                <w:color w:val="auto"/>
              </w:rPr>
            </w:pPr>
            <w:r>
              <w:rPr>
                <w:rFonts w:ascii="Arial" w:cs="Arial" w:eastAsia="Arial" w:hAnsi="Arial"/>
                <w:sz w:val="18"/>
                <w:szCs w:val="18"/>
                <w:b w:val="1"/>
                <w:bCs w:val="1"/>
                <w:color w:val="auto"/>
              </w:rPr>
              <w:t>Date Signed</w:t>
            </w:r>
          </w:p>
        </w:tc>
      </w:tr>
      <w:tr>
        <w:trPr>
          <w:trHeight w:val="223"/>
        </w:trPr>
        <w:tc>
          <w:tcPr>
            <w:tcW w:w="20" w:type="dxa"/>
            <w:vAlign w:val="bottom"/>
          </w:tcPr>
          <w:p>
            <w:pPr>
              <w:spacing w:after="0"/>
              <w:rPr>
                <w:sz w:val="19"/>
                <w:szCs w:val="19"/>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Heilmann, P.</w:t>
            </w:r>
          </w:p>
        </w:tc>
        <w:tc>
          <w:tcPr>
            <w:tcW w:w="240" w:type="dxa"/>
            <w:vAlign w:val="bottom"/>
            <w:tcBorders>
              <w:top w:val="single" w:sz="8" w:color="CCEEFF"/>
            </w:tcBorders>
            <w:shd w:val="clear" w:color="auto" w:fill="CCEEFF"/>
          </w:tcPr>
          <w:p>
            <w:pPr>
              <w:spacing w:after="0"/>
              <w:rPr>
                <w:sz w:val="19"/>
                <w:szCs w:val="19"/>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SVP, Chief Legal Officer</w:t>
            </w:r>
          </w:p>
        </w:tc>
        <w:tc>
          <w:tcPr>
            <w:tcW w:w="200" w:type="dxa"/>
            <w:vAlign w:val="bottom"/>
            <w:tcBorders>
              <w:top w:val="single" w:sz="8" w:color="CCEEFF"/>
            </w:tcBorders>
            <w:shd w:val="clear" w:color="auto" w:fill="CCEEFF"/>
          </w:tcPr>
          <w:p>
            <w:pPr>
              <w:spacing w:after="0"/>
              <w:rPr>
                <w:sz w:val="19"/>
                <w:szCs w:val="19"/>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23, 2014</w:t>
            </w:r>
          </w:p>
        </w:tc>
      </w:tr>
      <w:tr>
        <w:trPr>
          <w:trHeight w:val="230"/>
        </w:trPr>
        <w:tc>
          <w:tcPr>
            <w:tcW w:w="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Lauer, J.</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SVP, Ocean Services</w:t>
            </w:r>
          </w:p>
        </w:tc>
        <w:tc>
          <w:tcPr>
            <w:tcW w:w="2980" w:type="dxa"/>
            <w:vAlign w:val="bottom"/>
          </w:tcPr>
          <w:p>
            <w:pPr>
              <w:spacing w:after="0"/>
              <w:rPr>
                <w:sz w:val="20"/>
                <w:szCs w:val="20"/>
                <w:color w:val="auto"/>
              </w:rPr>
            </w:pPr>
            <w:r>
              <w:rPr>
                <w:rFonts w:ascii="Arial" w:cs="Arial" w:eastAsia="Arial" w:hAnsi="Arial"/>
                <w:sz w:val="18"/>
                <w:szCs w:val="18"/>
                <w:color w:val="auto"/>
              </w:rPr>
              <w:t>April 6, 2015</w:t>
            </w:r>
          </w:p>
        </w:tc>
      </w:tr>
      <w:tr>
        <w:trPr>
          <w:trHeight w:val="229"/>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Stuck, K.</w:t>
            </w:r>
          </w:p>
        </w:tc>
        <w:tc>
          <w:tcPr>
            <w:tcW w:w="32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Vice President and Controller</w:t>
            </w: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May 11, 2018</w:t>
            </w:r>
          </w:p>
        </w:tc>
      </w:tr>
      <w:tr>
        <w:trPr>
          <w:trHeight w:val="229"/>
        </w:trPr>
        <w:tc>
          <w:tcPr>
            <w:tcW w:w="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Dreyfus, B.</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Senior Vice President</w:t>
            </w:r>
          </w:p>
        </w:tc>
        <w:tc>
          <w:tcPr>
            <w:tcW w:w="2980" w:type="dxa"/>
            <w:vAlign w:val="bottom"/>
          </w:tcPr>
          <w:p>
            <w:pPr>
              <w:spacing w:after="0"/>
              <w:rPr>
                <w:sz w:val="20"/>
                <w:szCs w:val="20"/>
                <w:color w:val="auto"/>
              </w:rPr>
            </w:pPr>
            <w:r>
              <w:rPr>
                <w:rFonts w:ascii="Arial" w:cs="Arial" w:eastAsia="Arial" w:hAnsi="Arial"/>
                <w:sz w:val="18"/>
                <w:szCs w:val="18"/>
                <w:color w:val="auto"/>
              </w:rPr>
              <w:t>February 27, 2020</w:t>
            </w:r>
          </w:p>
        </w:tc>
      </w:tr>
      <w:tr>
        <w:trPr>
          <w:trHeight w:val="230"/>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Cerocke, G.</w:t>
            </w:r>
          </w:p>
        </w:tc>
        <w:tc>
          <w:tcPr>
            <w:tcW w:w="32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Senior Vice President</w:t>
            </w: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February 25, 2021</w:t>
            </w:r>
          </w:p>
        </w:tc>
      </w:tr>
      <w:tr>
        <w:trPr>
          <w:trHeight w:val="229"/>
        </w:trPr>
        <w:tc>
          <w:tcPr>
            <w:tcW w:w="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Gao, Q.</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Senior Vice President</w:t>
            </w:r>
          </w:p>
        </w:tc>
        <w:tc>
          <w:tcPr>
            <w:tcW w:w="2980" w:type="dxa"/>
            <w:vAlign w:val="bottom"/>
          </w:tcPr>
          <w:p>
            <w:pPr>
              <w:spacing w:after="0"/>
              <w:rPr>
                <w:sz w:val="20"/>
                <w:szCs w:val="20"/>
                <w:color w:val="auto"/>
              </w:rPr>
            </w:pPr>
            <w:r>
              <w:rPr>
                <w:rFonts w:ascii="Arial" w:cs="Arial" w:eastAsia="Arial" w:hAnsi="Arial"/>
                <w:sz w:val="18"/>
                <w:szCs w:val="18"/>
                <w:color w:val="auto"/>
              </w:rPr>
              <w:t>February 25, 2021</w:t>
            </w:r>
          </w:p>
        </w:tc>
      </w:tr>
      <w:tr>
        <w:trPr>
          <w:trHeight w:val="229"/>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Kinney, R.</w:t>
            </w:r>
          </w:p>
        </w:tc>
        <w:tc>
          <w:tcPr>
            <w:tcW w:w="32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Senior Vice President</w:t>
            </w: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February 27, 2020</w:t>
            </w:r>
          </w:p>
        </w:tc>
      </w:tr>
      <w:tr>
        <w:trPr>
          <w:trHeight w:val="230"/>
        </w:trPr>
        <w:tc>
          <w:tcPr>
            <w:tcW w:w="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Rascon, L.</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Senior Vice President</w:t>
            </w:r>
          </w:p>
        </w:tc>
        <w:tc>
          <w:tcPr>
            <w:tcW w:w="2980" w:type="dxa"/>
            <w:vAlign w:val="bottom"/>
          </w:tcPr>
          <w:p>
            <w:pPr>
              <w:spacing w:after="0"/>
              <w:rPr>
                <w:sz w:val="20"/>
                <w:szCs w:val="20"/>
                <w:color w:val="auto"/>
              </w:rPr>
            </w:pPr>
            <w:r>
              <w:rPr>
                <w:rFonts w:ascii="Arial" w:cs="Arial" w:eastAsia="Arial" w:hAnsi="Arial"/>
                <w:sz w:val="18"/>
                <w:szCs w:val="18"/>
                <w:color w:val="auto"/>
              </w:rPr>
              <w:t>February 25, 2021</w:t>
            </w:r>
          </w:p>
        </w:tc>
      </w:tr>
      <w:tr>
        <w:trPr>
          <w:trHeight w:val="229"/>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Scott, C.</w:t>
            </w:r>
          </w:p>
        </w:tc>
        <w:tc>
          <w:tcPr>
            <w:tcW w:w="32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Senior Vice President</w:t>
            </w: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February 25, 2021</w:t>
            </w: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Sullivan, J.</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Senior Vice President</w:t>
            </w:r>
          </w:p>
        </w:tc>
        <w:tc>
          <w:tcPr>
            <w:tcW w:w="2980" w:type="dxa"/>
            <w:vAlign w:val="bottom"/>
          </w:tcPr>
          <w:p>
            <w:pPr>
              <w:spacing w:after="0"/>
              <w:rPr>
                <w:sz w:val="20"/>
                <w:szCs w:val="20"/>
                <w:color w:val="auto"/>
              </w:rPr>
            </w:pPr>
            <w:r>
              <w:rPr>
                <w:rFonts w:ascii="Arial" w:cs="Arial" w:eastAsia="Arial" w:hAnsi="Arial"/>
                <w:sz w:val="18"/>
                <w:szCs w:val="18"/>
                <w:color w:val="auto"/>
              </w:rPr>
              <w:t>February 27, 2020</w:t>
            </w:r>
          </w:p>
        </w:tc>
      </w:tr>
      <w:tr>
        <w:trPr>
          <w:trHeight w:val="803"/>
        </w:trPr>
        <w:tc>
          <w:tcPr>
            <w:tcW w:w="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b w:val="1"/>
          <w:bCs w:val="1"/>
          <w:color w:val="auto"/>
        </w:rPr>
        <w:t>Exhibit 10.28</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MATSON,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EXECUTIVE SEVERANCE PLAN</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Amended and Restated as of February 28, 2013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INTRODUCTION</w:t>
      </w:r>
    </w:p>
    <w:p>
      <w:pPr>
        <w:spacing w:after="0" w:line="21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The Matson, Inc. Executive Severance Plan (the “Plan”) was adopted effective as of June 29, 2012, and is hereby amended and restated effective as of February 28, 2013 (the “Effective Date”).</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purpose of the Plan is to retain key employees and to encourage such employees to use their best business judgment in managing the affairs of Matson, Inc. (the “Company”) and its divisions and subsidiaries. Therefore, the Company is willing to provide the severance benefits described below to protect these employees if involuntarily terminated without cause or laid off from employment as part of a job elimination/restructuring or reduction in force. It is further intended that this Plan will complement other compensation program components to assure a sound basis upon which the Company will retain key employees.</w:t>
      </w:r>
    </w:p>
    <w:p>
      <w:pPr>
        <w:spacing w:after="0" w:line="15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This Plan is designed to be an “employee welfare benefit plan,” as defined in Section 3(1) of the Employee Retirement Income Security Act of 1974, as amended (“ERISA”) and to meet the descriptive requirements of a plan constituting a “severance pay plan” within the meaning of the Department of Labor regulations published at Title 29, Code of Federal Regulations, Section 2510.3-2(b). This Plan is intended to provide benefits to a select group of management or highly compensated employees from the general assets of the Company within the meaning of Department of Labor regulations published at Title 29, Code of Federal Regulatoins, Section 2520.104-24.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Exclusions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Whenever used in this Plan, the following words and phrases shall have the meanings set forth below.</w:t>
      </w:r>
    </w:p>
    <w:p>
      <w:pPr>
        <w:spacing w:after="0" w:line="43" w:lineRule="exact"/>
        <w:rPr>
          <w:sz w:val="20"/>
          <w:szCs w:val="20"/>
          <w:color w:val="auto"/>
        </w:rPr>
      </w:pPr>
    </w:p>
    <w:p>
      <w:pPr>
        <w:ind w:left="60"/>
        <w:spacing w:after="0"/>
        <w:rPr>
          <w:sz w:val="20"/>
          <w:szCs w:val="20"/>
          <w:color w:val="auto"/>
        </w:rPr>
      </w:pPr>
      <w:r>
        <w:rPr>
          <w:rFonts w:ascii="Arial" w:cs="Arial" w:eastAsia="Arial" w:hAnsi="Arial"/>
          <w:sz w:val="22"/>
          <w:szCs w:val="22"/>
          <w:color w:val="auto"/>
        </w:rPr>
        <w:t>When the defined meaning is intended, the term is capitalized:</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1.1 “</w:t>
      </w:r>
      <w:r>
        <w:rPr>
          <w:rFonts w:ascii="Arial" w:cs="Arial" w:eastAsia="Arial" w:hAnsi="Arial"/>
          <w:sz w:val="19"/>
          <w:szCs w:val="19"/>
          <w:u w:val="single" w:color="auto"/>
          <w:color w:val="auto"/>
        </w:rPr>
        <w:t>Base Salary</w:t>
      </w:r>
      <w:r>
        <w:rPr>
          <w:rFonts w:ascii="Arial" w:cs="Arial" w:eastAsia="Arial" w:hAnsi="Arial"/>
          <w:sz w:val="19"/>
          <w:szCs w:val="19"/>
          <w:color w:val="auto"/>
        </w:rPr>
        <w:t>” means the total amount of base salary payable to the participant at the salary rate in effect on the last day of the participant’s employment with the Employer. Base Salary does not include bonuses, reimbursed expenses, credits or benefits under any plan of deferred compensation, to which the Employer contributes, or any additional cash compensation or compensation payable in a form other than cash.</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Board of Directors</w:t>
      </w:r>
      <w:r>
        <w:rPr>
          <w:rFonts w:ascii="Arial" w:cs="Arial" w:eastAsia="Arial" w:hAnsi="Arial"/>
          <w:sz w:val="19"/>
          <w:szCs w:val="19"/>
          <w:color w:val="auto"/>
        </w:rPr>
        <w:t>” shall mean the Board of Directors of the Company.</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termination from employment with the Employer upon:</w:t>
      </w:r>
    </w:p>
    <w:p>
      <w:pPr>
        <w:spacing w:after="0" w:line="20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1.3(a) the willful and continued failure by the participant substantially to perform the participant’s duties with the Employer (other than any such failure resulting from the participant’s incapacity due to physical or mental Disability). For the purposes of this subsection and subsection 1.3(b), no act, or failure to act, on the participant’s part shall be considered “willful”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86" w:name="page87"/>
    <w:bookmarkEnd w:id="86"/>
    <w:p>
      <w:pPr>
        <w:jc w:val="both"/>
        <w:spacing w:after="0" w:line="250" w:lineRule="auto"/>
        <w:rPr>
          <w:sz w:val="20"/>
          <w:szCs w:val="20"/>
          <w:color w:val="auto"/>
        </w:rPr>
      </w:pPr>
      <w:r>
        <w:rPr>
          <w:rFonts w:ascii="Arial" w:cs="Arial" w:eastAsia="Arial" w:hAnsi="Arial"/>
          <w:sz w:val="22"/>
          <w:szCs w:val="22"/>
          <w:color w:val="auto"/>
        </w:rPr>
        <w:t>unless done, or omitted to be done, by the participant not in good faith and without reasonable belief by the participant that his action or omission was in the best interest of the Employer; or</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1.3(b) the willful engaging by the participant in conduct that is demonstrably and materially injurious to the Employer, monetarily or otherwise.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1.4 “</w:t>
      </w:r>
      <w:r>
        <w:rPr>
          <w:rFonts w:ascii="Arial" w:cs="Arial" w:eastAsia="Arial" w:hAnsi="Arial"/>
          <w:sz w:val="22"/>
          <w:szCs w:val="22"/>
          <w:u w:val="single" w:color="auto"/>
          <w:color w:val="auto"/>
        </w:rPr>
        <w:t>Disability</w:t>
      </w:r>
      <w:r>
        <w:rPr>
          <w:rFonts w:ascii="Arial" w:cs="Arial" w:eastAsia="Arial" w:hAnsi="Arial"/>
          <w:sz w:val="22"/>
          <w:szCs w:val="22"/>
          <w:color w:val="auto"/>
        </w:rPr>
        <w:t>” shall mean that an individual is deemed to be totally disabled by the Social Security Administration.</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1.5 “</w:t>
      </w:r>
      <w:r>
        <w:rPr>
          <w:rFonts w:ascii="Arial" w:cs="Arial" w:eastAsia="Arial" w:hAnsi="Arial"/>
          <w:sz w:val="19"/>
          <w:szCs w:val="19"/>
          <w:u w:val="single" w:color="auto"/>
          <w:color w:val="auto"/>
        </w:rPr>
        <w:t>Employer</w:t>
      </w:r>
      <w:r>
        <w:rPr>
          <w:rFonts w:ascii="Arial" w:cs="Arial" w:eastAsia="Arial" w:hAnsi="Arial"/>
          <w:sz w:val="19"/>
          <w:szCs w:val="19"/>
          <w:color w:val="auto"/>
        </w:rPr>
        <w:t>” shall mean the Company or the entity for whom services are performed and with respect to whom the legally binding right to compensation arises, and all entities with whom the Company would be considered a single employer under Section 414(b) of the Internal Revenue Code of 1986, as amended (the “Code”) or Section 414(c) of the Code; provided that in applying Section 1563(a)(1), (2), and (3) of the Code for purposes of determining a controlled group of corporations under Section 414(b) of the Code, the language “at least 50 percent” is used instead of “at least 80 percent” each place it appears in Section 1563(a)(1), (2), and (3) of the Code, and in applying Treasury Regulation § 1.414(c)-2 for purposes of determining trades or businesses (whether or not incorporated) that are under common control for purposes of Section 414(c) of the Code, “at least 50 percent” is used instead of “at least 80 percent” each place it appears in Treasury Regulation § 1.414(c)-2; provided, however, “at least 20 percent” shall replace “at least 50 percent” in the preceding clause if there is a legitimate business criteria for using such lower percentage.</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Identification Date</w:t>
      </w:r>
      <w:r>
        <w:rPr>
          <w:rFonts w:ascii="Arial" w:cs="Arial" w:eastAsia="Arial" w:hAnsi="Arial"/>
          <w:sz w:val="19"/>
          <w:szCs w:val="19"/>
          <w:color w:val="auto"/>
        </w:rPr>
        <w:t>” means each December 31.</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Key Employee</w:t>
      </w:r>
      <w:r>
        <w:rPr>
          <w:rFonts w:ascii="Arial" w:cs="Arial" w:eastAsia="Arial" w:hAnsi="Arial"/>
          <w:sz w:val="19"/>
          <w:szCs w:val="19"/>
          <w:color w:val="auto"/>
        </w:rPr>
        <w:t>” means a participant who, on an Identification Date, is:</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1.7(a) An officer of the Company of having annual compensation greater than the compensation limit in Section 416(i)(1)(A)(i) of the Code, provided that no more than 50 officers of the Company shall be determined to be Key Employees as of the Identification Date;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1.7(b) A five percent owner of the Company; or</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1.7(c) A one percent owner of the Company having annual compensation from the Company of more than $150,000.</w:t>
      </w:r>
    </w:p>
    <w:p>
      <w:pPr>
        <w:spacing w:after="0" w:line="175"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If a participant is identified as a Key Employee on an Identification Date, then such participant shall be considered a Key Employee for purposes of the Plan during the period beginning on the first April 1 following the Identification Date and ending on the next March 31. For purposes of this Section 1.7 only and for determining whether a participant is a Key Employee, the “Company” shall mean the Company and its affiliates that are treated as a single employer under Section 414(b) or (c) of the Code, and for purposes of determining whether a participant is a Key Employee, Treasury Regulation § 1.415(c)-2(d)(4) shall be used to calculate compensation.</w:t>
      </w:r>
    </w:p>
    <w:p>
      <w:pPr>
        <w:spacing w:after="0" w:line="19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1.8 “</w:t>
      </w:r>
      <w:r>
        <w:rPr>
          <w:rFonts w:ascii="Arial" w:cs="Arial" w:eastAsia="Arial" w:hAnsi="Arial"/>
          <w:sz w:val="22"/>
          <w:szCs w:val="22"/>
          <w:u w:val="single" w:color="auto"/>
          <w:color w:val="auto"/>
        </w:rPr>
        <w:t>Layoff</w:t>
      </w:r>
      <w:r>
        <w:rPr>
          <w:rFonts w:ascii="Arial" w:cs="Arial" w:eastAsia="Arial" w:hAnsi="Arial"/>
          <w:sz w:val="22"/>
          <w:szCs w:val="22"/>
          <w:color w:val="auto"/>
        </w:rPr>
        <w:t>” means the elimination of a job due to economic reasons, whether or not as part of job elimination or restructuring, or as a reduction-in-force affecting one or more positions. Layoff does not include resignation from employment or Separation from Service by reason of death, Disability, or discharge for Cause. A participant is not considered to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87" w:name="page88"/>
    <w:bookmarkEnd w:id="87"/>
    <w:p>
      <w:pPr>
        <w:jc w:val="both"/>
        <w:spacing w:after="0" w:line="238" w:lineRule="auto"/>
        <w:rPr>
          <w:sz w:val="20"/>
          <w:szCs w:val="20"/>
          <w:color w:val="auto"/>
        </w:rPr>
      </w:pPr>
      <w:r>
        <w:rPr>
          <w:rFonts w:ascii="Arial" w:cs="Arial" w:eastAsia="Arial" w:hAnsi="Arial"/>
          <w:sz w:val="22"/>
          <w:szCs w:val="22"/>
          <w:color w:val="auto"/>
        </w:rPr>
        <w:t>laid off, and will not be entitled to severance benefits described in Article 3, if the Plan Administrator determines, in its discretion, that either the Employer or a purchaser or other successor has offered comparable employment to the participant to commence after the participant’s Separation from Service, whether or not the participant accepts the position offered.</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1.9 “</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shall mean termination of employment with the Employer, other than due to death. A participant shall be deemed to have experienced a Separation from Service if the participant’s service with the Employer is reduced to an annual rate that is less than fifty percent of the services rendered, on average, during the immediately preceding three full years of employment with the Employer (or if employed by the Employer less than three years, such lesser period).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Eligibility for Benefits</w:t>
      </w:r>
    </w:p>
    <w:p>
      <w:pPr>
        <w:spacing w:after="0" w:line="18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Eligibility</w:t>
      </w:r>
      <w:r>
        <w:rPr>
          <w:rFonts w:ascii="Arial" w:cs="Arial" w:eastAsia="Arial" w:hAnsi="Arial"/>
          <w:sz w:val="21"/>
          <w:szCs w:val="21"/>
          <w:color w:val="auto"/>
        </w:rPr>
        <w:t>. To be eligible for Plan benefits, employees must serve in a job categorized as the Chief Executive Officer, Band A, or Band B under the Company’s job evaluation program. Exceptions (additions or deletions) to the eligibility requirements can be made only by the Matson, Inc. Chief Executive Officer, with the approval of the Compensation Committee of the Board of Directors (the “Committee”).</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Benefits</w:t>
      </w:r>
      <w:r>
        <w:rPr>
          <w:rFonts w:ascii="Arial" w:cs="Arial" w:eastAsia="Arial" w:hAnsi="Arial"/>
          <w:sz w:val="19"/>
          <w:szCs w:val="19"/>
          <w:color w:val="auto"/>
        </w:rPr>
        <w:t>. Except as provided in Section 2.3, if the participant experiences an involuntary Separation from Service without Cause or a Separation from Service because of a Layoff, the Employer shall pay to the participant the severance benefits described in Section 3.1. (For the purposes of this section, “involuntary” means a Separation from Service that is due to the independent exercise of the unilateral authority of the Employer, other than due to the participant’s request, and where the participant was willing and able to continue to perform services.) A participant receiving benefits under this Plan shall not be eligible for benefits under any other severance plan, policy or arrangement sponsored by the Employer.</w:t>
      </w:r>
    </w:p>
    <w:p>
      <w:pPr>
        <w:spacing w:after="0" w:line="15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Change in Control</w:t>
      </w:r>
      <w:r>
        <w:rPr>
          <w:rFonts w:ascii="Arial" w:cs="Arial" w:eastAsia="Arial" w:hAnsi="Arial"/>
          <w:sz w:val="22"/>
          <w:szCs w:val="22"/>
          <w:color w:val="auto"/>
        </w:rPr>
        <w:t>. In the event the Employer experiences a “change in control”, as defined in section 409A of the Code and the final regulations and any guidance promulgated thereunder, and the Employer and a participant have entered into an agreement concerning a change in control of the Employer, the terms of such agreement, and not this Plan, shall govern. In such case, no benefits shall be payable to the participant under this Plan.</w:t>
      </w:r>
    </w:p>
    <w:p>
      <w:pPr>
        <w:spacing w:after="0" w:line="18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Plan Administration</w:t>
      </w:r>
      <w:r>
        <w:rPr>
          <w:rFonts w:ascii="Arial" w:cs="Arial" w:eastAsia="Arial" w:hAnsi="Arial"/>
          <w:sz w:val="21"/>
          <w:szCs w:val="21"/>
          <w:color w:val="auto"/>
        </w:rPr>
        <w:t>. The Administrative Committee appointed by the Board of Directors, or such other committee as may be appointed by the Board of Directors from time to time, shall serve as the Plan Administrator. The Plan Administrator is responsible for the general administration and management of this Plan and shall have all powers and duties necessary to fulfill its responsibilities, including, but not limited to, the discretion to interpret and apply this Plan and to determine all questions relating to eligibility for benefits. This Plan shall be interpreted in accordance with its terms and their intended meanings. However, the Plan Administrator and all plan fiduciaries shall have the discretion to interpret or construe ambiguous, unclear, or implied (but omitted) terms in any fashion they deem to be appropriate in their sole discretion, and to make any findings of fact needed in the administration of this Plan. The validity of any such interpretation, construction, decision, or finding of fact shall not be given de novo review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88" w:name="page89"/>
    <w:bookmarkEnd w:id="88"/>
    <w:p>
      <w:pPr>
        <w:spacing w:after="0" w:line="250" w:lineRule="auto"/>
        <w:rPr>
          <w:sz w:val="20"/>
          <w:szCs w:val="20"/>
          <w:color w:val="auto"/>
        </w:rPr>
      </w:pPr>
      <w:r>
        <w:rPr>
          <w:rFonts w:ascii="Arial" w:cs="Arial" w:eastAsia="Arial" w:hAnsi="Arial"/>
          <w:sz w:val="22"/>
          <w:szCs w:val="22"/>
          <w:color w:val="auto"/>
        </w:rPr>
        <w:t>challenged in court, by arbitration, or in any other forum, and shall be upheld unless clearly arbitrary or capricious.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Benefits</w:t>
      </w:r>
    </w:p>
    <w:p>
      <w:pPr>
        <w:spacing w:after="0" w:line="18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Type and Amount of Benefits</w:t>
      </w:r>
      <w:r>
        <w:rPr>
          <w:rFonts w:ascii="Arial" w:cs="Arial" w:eastAsia="Arial" w:hAnsi="Arial"/>
          <w:sz w:val="22"/>
          <w:szCs w:val="22"/>
          <w:color w:val="auto"/>
        </w:rPr>
        <w:t>. If severance benefits become payable under this Plan, benefits shall consist of the following:</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3.1(a) </w:t>
      </w:r>
      <w:r>
        <w:rPr>
          <w:rFonts w:ascii="Arial" w:cs="Arial" w:eastAsia="Arial" w:hAnsi="Arial"/>
          <w:sz w:val="19"/>
          <w:szCs w:val="19"/>
          <w:u w:val="single" w:color="auto"/>
          <w:color w:val="auto"/>
        </w:rPr>
        <w:t>Monetary Payments/Reimbursement.</w:t>
      </w:r>
      <w:r>
        <w:rPr>
          <w:rFonts w:ascii="Arial" w:cs="Arial" w:eastAsia="Arial" w:hAnsi="Arial"/>
          <w:sz w:val="19"/>
          <w:szCs w:val="19"/>
          <w:color w:val="auto"/>
        </w:rPr>
        <w:t xml:space="preserve"> The participant shall receive an amount equal to six</w:t>
      </w:r>
    </w:p>
    <w:p>
      <w:pPr>
        <w:spacing w:after="0" w:line="43" w:lineRule="exact"/>
        <w:rPr>
          <w:sz w:val="20"/>
          <w:szCs w:val="20"/>
          <w:color w:val="auto"/>
        </w:rPr>
      </w:pPr>
    </w:p>
    <w:p>
      <w:pPr>
        <w:jc w:val="both"/>
        <w:ind w:firstLine="8"/>
        <w:spacing w:after="0" w:line="269" w:lineRule="auto"/>
        <w:tabs>
          <w:tab w:leader="none" w:pos="329" w:val="left"/>
        </w:tabs>
        <w:numPr>
          <w:ilvl w:val="0"/>
          <w:numId w:val="79"/>
        </w:numPr>
        <w:rPr>
          <w:rFonts w:ascii="Arial" w:cs="Arial" w:eastAsia="Arial" w:hAnsi="Arial"/>
          <w:sz w:val="19"/>
          <w:szCs w:val="19"/>
          <w:color w:val="auto"/>
        </w:rPr>
      </w:pPr>
      <w:r>
        <w:rPr>
          <w:rFonts w:ascii="Arial" w:cs="Arial" w:eastAsia="Arial" w:hAnsi="Arial"/>
          <w:sz w:val="19"/>
          <w:szCs w:val="19"/>
          <w:color w:val="auto"/>
        </w:rPr>
        <w:t>months of the participant’s Base Salary, one-twelfth of which shall be paid each month for a period of one year, beginning within 60 days following the date of the participant’s Separation from Service. Should the participant execute (and later not revoke) a release agreement prepared by the Plan Administrator within the time period required by the Plan Administrator, the participant shall receive additional amounts as follows: (i) an amount equal to six (6) months of the participant’s Base Salary, one-twelfth of which shall be paid each month for a period of one year, beginning within 60 days following the date of the participant’s Separation from Service; (ii) reimbursement for expenses arising from individual outplacement counseling services (in an amount not to exceed ten thousand dollars ($10,000.00)) that are incurred no later than 2 years after the date of the participant’s Separation from Service, and are reimbursed by the Employer no later than 3 years after the date of the participant’s Separation from Service; and, (iii) a pro-rated share of the bonus that otherwise would have been payable to the participant based on actual performance under the Matson, Inc. Cash Incentive Plan had the participant remained employed until the end of the applicable performance period(s) of such plan, which shall be paid in lump sum at the same time as paid to current employees. If the participant fails to timely execute the release or revokes the release, the participant shall not be entitled to any benefit under subsection 3.1(a)(i), (ii) and (iii). The Plan Administrator retains the sole discretion to determine when during the applicable period above the payment will be made. Notwithstanding any provision of this Plan to the contrary, in no event shall the timing of a participant’s execution of the release, directly or indirectly, result in the participant designating the calendar year of payment, and if a payment that is subject to execution of the release could be made or begin in more than one taxable year, payment shall be made or begin in the later taxable year.</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3.1(b)</w:t>
      </w:r>
    </w:p>
    <w:p>
      <w:pPr>
        <w:spacing w:after="0" w:line="206" w:lineRule="exact"/>
        <w:rPr>
          <w:sz w:val="20"/>
          <w:szCs w:val="20"/>
          <w:color w:val="auto"/>
        </w:rPr>
      </w:pPr>
    </w:p>
    <w:p>
      <w:pPr>
        <w:jc w:val="both"/>
        <w:ind w:firstLine="1944"/>
        <w:spacing w:after="0" w:line="282" w:lineRule="auto"/>
        <w:rPr>
          <w:sz w:val="20"/>
          <w:szCs w:val="20"/>
          <w:color w:val="auto"/>
        </w:rPr>
      </w:pPr>
      <w:r>
        <w:rPr>
          <w:rFonts w:ascii="Arial" w:cs="Arial" w:eastAsia="Arial" w:hAnsi="Arial"/>
          <w:sz w:val="19"/>
          <w:szCs w:val="19"/>
          <w:color w:val="auto"/>
        </w:rPr>
        <w:t>3.1b(i) Benefits. For the period that separation payments continue under subsection 3.1(a) above, or until the participant becomes employed with another employer offering any such benefits (whichever is earlier), subject to the terms of the applicable insurance policies, the Employer shall continue to pay the premiums for Basic Group Life Insurance and Basic Accidental Death &amp; Dismemberment Insurance at the level such coverage was in effect for the participant on the date of the participant’s Separation from Service.</w:t>
      </w:r>
    </w:p>
    <w:p>
      <w:pPr>
        <w:spacing w:after="0" w:line="147" w:lineRule="exact"/>
        <w:rPr>
          <w:sz w:val="20"/>
          <w:szCs w:val="20"/>
          <w:color w:val="auto"/>
        </w:rPr>
      </w:pPr>
    </w:p>
    <w:p>
      <w:pPr>
        <w:jc w:val="both"/>
        <w:ind w:firstLine="1944"/>
        <w:spacing w:after="0" w:line="236" w:lineRule="auto"/>
        <w:rPr>
          <w:sz w:val="20"/>
          <w:szCs w:val="20"/>
          <w:color w:val="auto"/>
        </w:rPr>
      </w:pPr>
      <w:r>
        <w:rPr>
          <w:rFonts w:ascii="Arial" w:cs="Arial" w:eastAsia="Arial" w:hAnsi="Arial"/>
          <w:sz w:val="22"/>
          <w:szCs w:val="22"/>
          <w:color w:val="auto"/>
        </w:rPr>
        <w:t xml:space="preserve">3.1b(ii) </w:t>
      </w:r>
      <w:r>
        <w:rPr>
          <w:rFonts w:ascii="Arial" w:cs="Arial" w:eastAsia="Arial" w:hAnsi="Arial"/>
          <w:sz w:val="22"/>
          <w:szCs w:val="22"/>
          <w:u w:val="single" w:color="auto"/>
          <w:color w:val="auto"/>
        </w:rPr>
        <w:t>Group Medical, Dental, Drug and Vision Coverage</w:t>
      </w:r>
      <w:r>
        <w:rPr>
          <w:rFonts w:ascii="Arial" w:cs="Arial" w:eastAsia="Arial" w:hAnsi="Arial"/>
          <w:sz w:val="22"/>
          <w:szCs w:val="22"/>
          <w:color w:val="auto"/>
        </w:rPr>
        <w:t>. For a maximum period of twelve (12) months following Separation from Service, or until the participant becomes employed with another employer offering any such benefits (whichever is earlier), the Employer shall reimburse the participant for the amount of the premiums paid by the participant for post-termination continuation coverage under the Employer’s group health insurance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89" w:name="page90"/>
    <w:bookmarkEnd w:id="89"/>
    <w:p>
      <w:pPr>
        <w:jc w:val="both"/>
        <w:spacing w:after="0" w:line="274" w:lineRule="auto"/>
        <w:rPr>
          <w:sz w:val="20"/>
          <w:szCs w:val="20"/>
          <w:color w:val="auto"/>
        </w:rPr>
      </w:pPr>
      <w:r>
        <w:rPr>
          <w:rFonts w:ascii="Arial" w:cs="Arial" w:eastAsia="Arial" w:hAnsi="Arial"/>
          <w:sz w:val="19"/>
          <w:szCs w:val="19"/>
          <w:color w:val="auto"/>
        </w:rPr>
        <w:t>accordance with the provisions of the Consolidated Omnibus Budget Reconciliation Act of 1985, as amended (“COBRA”). In order to receive reimbursement, the participant must submit proof of payment to the Plan Administrator within 90 days of the payment date and the Employer will remit payment for reimbursement as soon as practicable. Notwithstanding the foregoing, in the event that such reimbursement by the Employer for the above COBRA continuation coverage is discriminatory pursuant to Code Section 105(h) or Section 2716 to the Public Health Service Act, then such reimbursements shall be taxable income to the participant reportable annually on a Form W-2 or as otherwise required by applicable federal and state law. Payment of premiums for COBRA coverage beyond twelve (12) months following Separation from Service is the sole responsibility of the participant and such payment shall not be reimbursable.</w:t>
      </w:r>
    </w:p>
    <w:p>
      <w:pPr>
        <w:spacing w:after="0" w:line="158" w:lineRule="exact"/>
        <w:rPr>
          <w:sz w:val="20"/>
          <w:szCs w:val="20"/>
          <w:color w:val="auto"/>
        </w:rPr>
      </w:pPr>
    </w:p>
    <w:p>
      <w:pPr>
        <w:jc w:val="both"/>
        <w:ind w:firstLine="1944"/>
        <w:spacing w:after="0" w:line="245" w:lineRule="auto"/>
        <w:rPr>
          <w:sz w:val="20"/>
          <w:szCs w:val="20"/>
          <w:color w:val="auto"/>
        </w:rPr>
      </w:pPr>
      <w:r>
        <w:rPr>
          <w:rFonts w:ascii="Arial" w:cs="Arial" w:eastAsia="Arial" w:hAnsi="Arial"/>
          <w:sz w:val="21"/>
          <w:szCs w:val="21"/>
          <w:color w:val="auto"/>
        </w:rPr>
        <w:t xml:space="preserve">3.1b(iii) </w:t>
      </w:r>
      <w:r>
        <w:rPr>
          <w:rFonts w:ascii="Arial" w:cs="Arial" w:eastAsia="Arial" w:hAnsi="Arial"/>
          <w:sz w:val="21"/>
          <w:szCs w:val="21"/>
          <w:u w:val="single" w:color="auto"/>
          <w:color w:val="auto"/>
        </w:rPr>
        <w:t>Death Benefits</w:t>
      </w:r>
      <w:r>
        <w:rPr>
          <w:rFonts w:ascii="Arial" w:cs="Arial" w:eastAsia="Arial" w:hAnsi="Arial"/>
          <w:sz w:val="21"/>
          <w:szCs w:val="21"/>
          <w:color w:val="auto"/>
        </w:rPr>
        <w:t>. If the participant dies during the severance benefit period, the severance benefits as described in Section 3.1(a) that have not yet been paid shall be paid to the participant’s designated beneficiary in a lump sum within 60 days following the participant’s death and if the designated beneficiary is entitled pursuant to COBRA to continuation coverage, then the designated beneficiary shall have the right to continued reimbursement for the remainder of the period under Section 3.1(b)(ii) for premiums paid for COBRA continuation coverage. In order to receive reimbursement, the beneficiary must submit proof of payment to the Plan Administrator within 90 days of the payment date and the Employer will remit a check for reimbursement as soon as practicable. Any beneficiary designation must be provided to the Plan Administrator in writing by the participant, prior to his death.</w:t>
      </w:r>
    </w:p>
    <w:p>
      <w:pPr>
        <w:spacing w:after="0" w:line="184" w:lineRule="exact"/>
        <w:rPr>
          <w:sz w:val="20"/>
          <w:szCs w:val="20"/>
          <w:color w:val="auto"/>
        </w:rPr>
      </w:pPr>
    </w:p>
    <w:p>
      <w:pPr>
        <w:jc w:val="both"/>
        <w:ind w:firstLine="1944"/>
        <w:spacing w:after="0" w:line="279" w:lineRule="auto"/>
        <w:rPr>
          <w:sz w:val="20"/>
          <w:szCs w:val="20"/>
          <w:color w:val="auto"/>
        </w:rPr>
      </w:pPr>
      <w:r>
        <w:rPr>
          <w:rFonts w:ascii="Arial" w:cs="Arial" w:eastAsia="Arial" w:hAnsi="Arial"/>
          <w:sz w:val="19"/>
          <w:szCs w:val="19"/>
          <w:color w:val="auto"/>
        </w:rPr>
        <w:t xml:space="preserve">3.1b(iv) </w:t>
      </w:r>
      <w:r>
        <w:rPr>
          <w:rFonts w:ascii="Arial" w:cs="Arial" w:eastAsia="Arial" w:hAnsi="Arial"/>
          <w:sz w:val="19"/>
          <w:szCs w:val="19"/>
          <w:u w:val="single" w:color="auto"/>
          <w:color w:val="auto"/>
        </w:rPr>
        <w:t>Reimbursements and In-Kind Benefits</w:t>
      </w:r>
      <w:r>
        <w:rPr>
          <w:rFonts w:ascii="Arial" w:cs="Arial" w:eastAsia="Arial" w:hAnsi="Arial"/>
          <w:sz w:val="19"/>
          <w:szCs w:val="19"/>
          <w:color w:val="auto"/>
        </w:rPr>
        <w:t>. To the extent that a right to reimbursement or an in-kind benefit under this Section 3.1 is subject to Code Section 409A, then (A) the amount eligible for reimbursement, or the in-kind benefit provided, during a participant’s taxable year may not affect the amount reimbursable, or the in-kind benefits provided, in any other taxable year; (B) any reimbursement must be made no later than the taxable year following the taxable year in which the expenses was incurred; and (C) the right to reimbursement or the in-kind benefit cannot be liquidated or exchanged for another benefit.</w:t>
      </w:r>
    </w:p>
    <w:p>
      <w:pPr>
        <w:spacing w:after="0" w:line="15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Committee Discretion</w:t>
      </w:r>
      <w:r>
        <w:rPr>
          <w:rFonts w:ascii="Arial" w:cs="Arial" w:eastAsia="Arial" w:hAnsi="Arial"/>
          <w:sz w:val="22"/>
          <w:szCs w:val="22"/>
          <w:color w:val="auto"/>
        </w:rPr>
        <w:t>. The severance benefits as described in this Article 3 may be increased or decreased by the Committee in its absolute discretion. Such adjustments may be applied selectively with respect to one or more individual participants.</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Code Section 409A</w:t>
      </w:r>
      <w:r>
        <w:rPr>
          <w:rFonts w:ascii="Arial" w:cs="Arial" w:eastAsia="Arial" w:hAnsi="Arial"/>
          <w:sz w:val="21"/>
          <w:szCs w:val="21"/>
          <w:color w:val="auto"/>
        </w:rPr>
        <w:t>. This Plan is drafted with the intent that all payments or benefits provided hereunder will be exempt from Code Section 409A to the maximum extent possible under the law, and the Plan shall be construed and operated as necessary to comply with such intent. For purposes of Code Section 409A, the right to a series of installment payments under the Plan shall be treated as a right to a series of separate payments. This Plan shall be administered and interpreted to maximize the short-term deferral exemption to Code Section 409A. The portion of any payment under this Plan that is paid within the short-term deferral period (within the meaning of Code Section 409A) shall be treated as a short-term deferral. Any other portion of a payment that does not meet the short-term deferral requirement shall, to the maximum extent possible, be deemed to satisfy the exception from Code Section 409A for involuntary separation pay. All severance payments to be made upon a termination of employment under this Plan may only be made upon a “separation from service” under Code Section 409A, to the extent applicable. A participant shall not, directly or indirectly, designate the taxable year of a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90" w:name="page91"/>
    <w:bookmarkEnd w:id="90"/>
    <w:p>
      <w:pPr>
        <w:jc w:val="both"/>
        <w:spacing w:after="0" w:line="271" w:lineRule="auto"/>
        <w:rPr>
          <w:sz w:val="20"/>
          <w:szCs w:val="20"/>
          <w:color w:val="auto"/>
        </w:rPr>
      </w:pPr>
      <w:r>
        <w:rPr>
          <w:rFonts w:ascii="Arial" w:cs="Arial" w:eastAsia="Arial" w:hAnsi="Arial"/>
          <w:sz w:val="19"/>
          <w:szCs w:val="19"/>
          <w:color w:val="auto"/>
        </w:rPr>
        <w:t>made under this Plan. Notwithstanding anything to the contrary in this Plan, if any payment or benefit is deferred compensation subject to Code Section 409A, and solely to the extent required by Code Section 409A, if a participant is a Key Employee, then any such payments shall be delayed by six (6) months and paid on the first business day of the seventh month following the participant’s Separation from Service or, if earlier, his date of death, and the amount of such accumulated delayed payments shall be credited with interest during such six-month period at a rate computed using 120% of the short-term applicable federal rate for a semi-annual compounding period under Code Section 1274(d), applicable for the month in which the participant’s Separation from Service occurs, provided that such interest rate shall not exceed 120% of the long-term applicable federal interest rate under Code Section 1274(d). The identification of a participant as a Key Employee shall be made by the Company in accordance with Section 1.7 of the Plan and sections 416(i) and 409A of the Code and the regulations promulgated thereunder. Any provision of the Plan that is noncompliant with Code Section 409A shall be deemed to be amended to comply with Code Section 409A, or if it cannot be so amended, shall be void. The Company does not guarantee or warrant the tax consequences of the Plan, and the participants shall in all cases be liable for any taxes due with respect to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Status</w:t>
      </w:r>
    </w:p>
    <w:p>
      <w:pPr>
        <w:spacing w:after="0" w:line="1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Right to Terminate Employment</w:t>
      </w:r>
      <w:r>
        <w:rPr>
          <w:rFonts w:ascii="Arial" w:cs="Arial" w:eastAsia="Arial" w:hAnsi="Arial"/>
          <w:sz w:val="21"/>
          <w:szCs w:val="21"/>
          <w:color w:val="auto"/>
        </w:rPr>
        <w:t>. This Plan shall not be deemed to constitute an employment contract between the Employer and the participant. Nothing contained herein shall give the participant the right to be retained in the employ of the Employer or to interfere with the right of the Employer to discharge the participant at any time, nor shall it give the Employer the right to require the participant to remain in its employ or to interfere with the participant’s right to terminate employment at any time.</w:t>
      </w:r>
    </w:p>
    <w:p>
      <w:pPr>
        <w:spacing w:after="0" w:line="17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Status During Benefit Period</w:t>
      </w:r>
      <w:r>
        <w:rPr>
          <w:rFonts w:ascii="Arial" w:cs="Arial" w:eastAsia="Arial" w:hAnsi="Arial"/>
          <w:sz w:val="22"/>
          <w:szCs w:val="22"/>
          <w:color w:val="auto"/>
        </w:rPr>
        <w:t>. Commencing upon the date of the participant’s Separation from Service, the participant shall cease to be an employee of the Employer for any purpose. The payment of severance benefits under this Plan shall be payments to a former employee.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Claims and Review Procedures</w:t>
      </w:r>
    </w:p>
    <w:p>
      <w:pPr>
        <w:spacing w:after="0" w:line="18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Claims Procedure</w:t>
      </w:r>
      <w:r>
        <w:rPr>
          <w:rFonts w:ascii="Arial" w:cs="Arial" w:eastAsia="Arial" w:hAnsi="Arial"/>
          <w:sz w:val="22"/>
          <w:szCs w:val="22"/>
          <w:color w:val="auto"/>
        </w:rPr>
        <w:t>. Any individual (“claimant”) who has not received benefits under the Plan that he believes should be paid shall make a claim for such benefits as follows:</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5.1(a) </w:t>
      </w:r>
      <w:r>
        <w:rPr>
          <w:rFonts w:ascii="Arial" w:cs="Arial" w:eastAsia="Arial" w:hAnsi="Arial"/>
          <w:sz w:val="22"/>
          <w:szCs w:val="22"/>
          <w:u w:val="single" w:color="auto"/>
          <w:color w:val="auto"/>
        </w:rPr>
        <w:t>Initiation - Written Claim</w:t>
      </w:r>
      <w:r>
        <w:rPr>
          <w:rFonts w:ascii="Arial" w:cs="Arial" w:eastAsia="Arial" w:hAnsi="Arial"/>
          <w:sz w:val="22"/>
          <w:szCs w:val="22"/>
          <w:color w:val="auto"/>
        </w:rPr>
        <w:t>. The claimant initiates a claim by submitting to the Plan Administrator a written claim for the benefits.</w:t>
      </w:r>
    </w:p>
    <w:p>
      <w:pPr>
        <w:spacing w:after="0" w:line="17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5.1(b) </w:t>
      </w:r>
      <w:r>
        <w:rPr>
          <w:rFonts w:ascii="Arial" w:cs="Arial" w:eastAsia="Arial" w:hAnsi="Arial"/>
          <w:sz w:val="22"/>
          <w:szCs w:val="22"/>
          <w:u w:val="single" w:color="auto"/>
          <w:color w:val="auto"/>
        </w:rPr>
        <w:t>Timing of Plan Administrator Response</w:t>
      </w:r>
      <w:r>
        <w:rPr>
          <w:rFonts w:ascii="Arial" w:cs="Arial" w:eastAsia="Arial" w:hAnsi="Arial"/>
          <w:sz w:val="22"/>
          <w:szCs w:val="22"/>
          <w:color w:val="auto"/>
        </w:rPr>
        <w:t>. The Plan Administrator shall respond to such claimant within 90 days after receiving the claim. If the Plan Administrator determines that special circumstances require additional time for processing the claim, the Plan Administrator can extend the response period by an additional 90 days by notifying the claimant in writing, prior to the end of the initial 90-day period, that an additional period is required.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91" w:name="page92"/>
    <w:bookmarkEnd w:id="91"/>
    <w:p>
      <w:pPr>
        <w:spacing w:after="0"/>
        <w:rPr>
          <w:sz w:val="20"/>
          <w:szCs w:val="20"/>
          <w:color w:val="auto"/>
        </w:rPr>
      </w:pPr>
      <w:r>
        <w:rPr>
          <w:rFonts w:ascii="Arial" w:cs="Arial" w:eastAsia="Arial" w:hAnsi="Arial"/>
          <w:sz w:val="21"/>
          <w:szCs w:val="21"/>
          <w:color w:val="auto"/>
        </w:rPr>
        <w:t>notice of extension must set forth the date by which the Plan Administrator expects to render its decision.</w:t>
      </w:r>
    </w:p>
    <w:p>
      <w:pPr>
        <w:spacing w:after="0" w:line="21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 xml:space="preserve">5.1(c) </w:t>
      </w:r>
      <w:r>
        <w:rPr>
          <w:rFonts w:ascii="Arial" w:cs="Arial" w:eastAsia="Arial" w:hAnsi="Arial"/>
          <w:sz w:val="21"/>
          <w:szCs w:val="21"/>
          <w:u w:val="single" w:color="auto"/>
          <w:color w:val="auto"/>
        </w:rPr>
        <w:t>Notice of Decision</w:t>
      </w:r>
      <w:r>
        <w:rPr>
          <w:rFonts w:ascii="Arial" w:cs="Arial" w:eastAsia="Arial" w:hAnsi="Arial"/>
          <w:sz w:val="21"/>
          <w:szCs w:val="21"/>
          <w:color w:val="auto"/>
        </w:rPr>
        <w:t>. If the Plan Administrator denies part or all of the claim, the Plan Administrator shall notify the claimant in writing of such denial. The Plan Administrator shall write the notification in a manner calculated to be understood by the claimant. The notification shall set forth:</w:t>
      </w:r>
    </w:p>
    <w:p>
      <w:pPr>
        <w:sectPr>
          <w:pgSz w:w="11900" w:h="16838" w:orient="portrait"/>
          <w:cols w:equalWidth="0" w:num="1">
            <w:col w:w="9920"/>
          </w:cols>
          <w:pgMar w:left="980" w:top="874" w:right="999" w:bottom="1440" w:gutter="0" w:footer="0" w:header="0"/>
        </w:sectPr>
      </w:pPr>
    </w:p>
    <w:p>
      <w:pPr>
        <w:spacing w:after="0" w:line="169"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5.1c(i)</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The specific reason for the denial,</w:t>
      </w:r>
    </w:p>
    <w:p>
      <w:pPr>
        <w:spacing w:after="0" w:line="200" w:lineRule="exact"/>
        <w:rPr>
          <w:sz w:val="20"/>
          <w:szCs w:val="20"/>
          <w:color w:val="auto"/>
        </w:rPr>
      </w:pPr>
    </w:p>
    <w:p>
      <w:pPr>
        <w:sectPr>
          <w:pgSz w:w="11900" w:h="16838" w:orient="portrait"/>
          <w:cols w:equalWidth="0" w:num="2">
            <w:col w:w="2520" w:space="320"/>
            <w:col w:w="7080"/>
          </w:cols>
          <w:pgMar w:left="980" w:top="874" w:right="999" w:bottom="1440" w:gutter="0" w:footer="0" w:header="0"/>
          <w:type w:val="continuous"/>
        </w:sectPr>
      </w:pPr>
    </w:p>
    <w:p>
      <w:pPr>
        <w:spacing w:after="0" w:line="41"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5.1c(ii)</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A reference to the specific provisions of the Plan on which the denial is based,</w:t>
      </w:r>
    </w:p>
    <w:p>
      <w:pPr>
        <w:spacing w:after="0" w:line="200" w:lineRule="exact"/>
        <w:rPr>
          <w:sz w:val="20"/>
          <w:szCs w:val="20"/>
          <w:color w:val="auto"/>
        </w:rPr>
      </w:pPr>
    </w:p>
    <w:p>
      <w:pPr>
        <w:sectPr>
          <w:pgSz w:w="11900" w:h="16838" w:orient="portrait"/>
          <w:cols w:equalWidth="0" w:num="2">
            <w:col w:w="2580" w:space="260"/>
            <w:col w:w="7080"/>
          </w:cols>
          <w:pgMar w:left="980" w:top="874" w:right="999" w:bottom="1440" w:gutter="0" w:footer="0" w:header="0"/>
          <w:type w:val="continuous"/>
        </w:sectPr>
      </w:pPr>
    </w:p>
    <w:p>
      <w:pPr>
        <w:spacing w:after="0" w:line="41" w:lineRule="exact"/>
        <w:rPr>
          <w:sz w:val="20"/>
          <w:szCs w:val="20"/>
          <w:color w:val="auto"/>
        </w:rPr>
      </w:pPr>
    </w:p>
    <w:p>
      <w:pPr>
        <w:ind w:firstLine="1944"/>
        <w:spacing w:after="0" w:line="250" w:lineRule="auto"/>
        <w:rPr>
          <w:sz w:val="20"/>
          <w:szCs w:val="20"/>
          <w:color w:val="auto"/>
        </w:rPr>
      </w:pPr>
      <w:r>
        <w:rPr>
          <w:rFonts w:ascii="Arial" w:cs="Arial" w:eastAsia="Arial" w:hAnsi="Arial"/>
          <w:sz w:val="22"/>
          <w:szCs w:val="22"/>
          <w:color w:val="auto"/>
        </w:rPr>
        <w:t>5.1c(iii) A description of any additional information or material necessary for the claimant to perfect the claim and an explanation of why it is needed,</w:t>
      </w:r>
    </w:p>
    <w:p>
      <w:pPr>
        <w:sectPr>
          <w:pgSz w:w="11900" w:h="16838" w:orient="portrait"/>
          <w:cols w:equalWidth="0" w:num="1">
            <w:col w:w="9920"/>
          </w:cols>
          <w:pgMar w:left="980" w:top="874" w:right="999" w:bottom="1440" w:gutter="0" w:footer="0" w:header="0"/>
          <w:type w:val="continuous"/>
        </w:sectPr>
      </w:pPr>
    </w:p>
    <w:p>
      <w:pPr>
        <w:spacing w:after="0" w:line="175"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5.1c(iv)</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An explanation of the Plan’s review procedures and the time limits applicable to</w:t>
      </w:r>
    </w:p>
    <w:p>
      <w:pPr>
        <w:spacing w:after="0" w:line="46" w:lineRule="exact"/>
        <w:rPr>
          <w:sz w:val="20"/>
          <w:szCs w:val="20"/>
          <w:color w:val="auto"/>
        </w:rPr>
      </w:pPr>
    </w:p>
    <w:p>
      <w:pPr>
        <w:sectPr>
          <w:pgSz w:w="11900" w:h="16838" w:orient="portrait"/>
          <w:cols w:equalWidth="0" w:num="2">
            <w:col w:w="2640" w:space="200"/>
            <w:col w:w="7080"/>
          </w:cols>
          <w:pgMar w:left="980" w:top="874" w:right="999" w:bottom="1440" w:gutter="0" w:footer="0" w:header="0"/>
          <w:type w:val="continuous"/>
        </w:sectPr>
      </w:pPr>
    </w:p>
    <w:p>
      <w:pPr>
        <w:spacing w:after="0"/>
        <w:rPr>
          <w:sz w:val="20"/>
          <w:szCs w:val="20"/>
          <w:color w:val="auto"/>
        </w:rPr>
      </w:pPr>
      <w:r>
        <w:rPr>
          <w:rFonts w:ascii="Arial" w:cs="Arial" w:eastAsia="Arial" w:hAnsi="Arial"/>
          <w:sz w:val="22"/>
          <w:szCs w:val="22"/>
          <w:color w:val="auto"/>
        </w:rPr>
        <w:t>such procedures, and</w:t>
      </w:r>
    </w:p>
    <w:p>
      <w:pPr>
        <w:spacing w:after="0" w:line="185" w:lineRule="exact"/>
        <w:rPr>
          <w:sz w:val="20"/>
          <w:szCs w:val="20"/>
          <w:color w:val="auto"/>
        </w:rPr>
      </w:pPr>
    </w:p>
    <w:p>
      <w:pPr>
        <w:ind w:left="1960"/>
        <w:spacing w:after="0"/>
        <w:tabs>
          <w:tab w:leader="none" w:pos="2820" w:val="left"/>
        </w:tabs>
        <w:rPr>
          <w:sz w:val="20"/>
          <w:szCs w:val="20"/>
          <w:color w:val="auto"/>
        </w:rPr>
      </w:pPr>
      <w:r>
        <w:rPr>
          <w:rFonts w:ascii="Arial" w:cs="Arial" w:eastAsia="Arial" w:hAnsi="Arial"/>
          <w:sz w:val="22"/>
          <w:szCs w:val="22"/>
          <w:color w:val="auto"/>
        </w:rPr>
        <w:t>5.1c(v)</w:t>
      </w:r>
      <w:r>
        <w:rPr>
          <w:sz w:val="20"/>
          <w:szCs w:val="20"/>
          <w:color w:val="auto"/>
        </w:rPr>
        <w:tab/>
      </w:r>
      <w:r>
        <w:rPr>
          <w:rFonts w:ascii="Arial" w:cs="Arial" w:eastAsia="Arial" w:hAnsi="Arial"/>
          <w:sz w:val="19"/>
          <w:szCs w:val="19"/>
          <w:color w:val="auto"/>
        </w:rPr>
        <w:t>A statement of the claimant’s right to bring a civil action under the Employee</w:t>
      </w:r>
    </w:p>
    <w:p>
      <w:pPr>
        <w:sectPr>
          <w:pgSz w:w="11900" w:h="16838" w:orient="portrait"/>
          <w:cols w:equalWidth="0" w:num="1">
            <w:col w:w="9920"/>
          </w:cols>
          <w:pgMar w:left="980" w:top="874" w:right="999" w:bottom="1440" w:gutter="0" w:footer="0" w:header="0"/>
          <w:type w:val="continuous"/>
        </w:sectPr>
      </w:pPr>
    </w:p>
    <w:p>
      <w:pPr>
        <w:spacing w:after="0" w:line="21"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Retirement Income Security Act of 1974 (“ERISA”) Section 502(a) following an adverse benefit determination on review.</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Review Procedure</w:t>
      </w:r>
      <w:r>
        <w:rPr>
          <w:rFonts w:ascii="Arial" w:cs="Arial" w:eastAsia="Arial" w:hAnsi="Arial"/>
          <w:sz w:val="22"/>
          <w:szCs w:val="22"/>
          <w:color w:val="auto"/>
        </w:rPr>
        <w:t>. If the Plan Administrator denies part or all of the claim, the claimant shall have the opportunity for a full and fair review by the Plan Administrator of the denial, as follows:</w:t>
      </w:r>
    </w:p>
    <w:p>
      <w:pPr>
        <w:spacing w:after="0" w:line="17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5.2(a) </w:t>
      </w:r>
      <w:r>
        <w:rPr>
          <w:rFonts w:ascii="Arial" w:cs="Arial" w:eastAsia="Arial" w:hAnsi="Arial"/>
          <w:sz w:val="22"/>
          <w:szCs w:val="22"/>
          <w:u w:val="single" w:color="auto"/>
          <w:color w:val="auto"/>
        </w:rPr>
        <w:t>Initiation - Written Request</w:t>
      </w:r>
      <w:r>
        <w:rPr>
          <w:rFonts w:ascii="Arial" w:cs="Arial" w:eastAsia="Arial" w:hAnsi="Arial"/>
          <w:sz w:val="22"/>
          <w:szCs w:val="22"/>
          <w:color w:val="auto"/>
        </w:rPr>
        <w:t>. To initiate the review, the claimant, within 60 days after receiving the Plan Administrator’s notice of denial, must file with the Plan Administrator a written request for review.</w:t>
      </w:r>
    </w:p>
    <w:p>
      <w:pPr>
        <w:spacing w:after="0" w:line="186"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5.2(b) </w:t>
      </w:r>
      <w:r>
        <w:rPr>
          <w:rFonts w:ascii="Arial" w:cs="Arial" w:eastAsia="Arial" w:hAnsi="Arial"/>
          <w:sz w:val="22"/>
          <w:szCs w:val="22"/>
          <w:u w:val="single" w:color="auto"/>
          <w:color w:val="auto"/>
        </w:rPr>
        <w:t>Additional Submissions - Information Access</w:t>
      </w:r>
      <w:r>
        <w:rPr>
          <w:rFonts w:ascii="Arial" w:cs="Arial" w:eastAsia="Arial" w:hAnsi="Arial"/>
          <w:sz w:val="22"/>
          <w:szCs w:val="22"/>
          <w:color w:val="auto"/>
        </w:rPr>
        <w:t>. The claimant shall then have the opportunity to submit written comments, documents, records and other information relating to the claim. The Plan Administrator shall also provide the claimant, upon request and free of charge, reasonable access to, and copies of, all documents, records and other information relevant (as defined in applicable ERISA regulations) to the claimant’s claim for benefits.</w:t>
      </w:r>
    </w:p>
    <w:p>
      <w:pPr>
        <w:spacing w:after="0" w:line="187"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5.2(c) </w:t>
      </w:r>
      <w:r>
        <w:rPr>
          <w:rFonts w:ascii="Arial" w:cs="Arial" w:eastAsia="Arial" w:hAnsi="Arial"/>
          <w:sz w:val="22"/>
          <w:szCs w:val="22"/>
          <w:u w:val="single" w:color="auto"/>
          <w:color w:val="auto"/>
        </w:rPr>
        <w:t>Timing of Plan Administrator Response</w:t>
      </w:r>
      <w:r>
        <w:rPr>
          <w:rFonts w:ascii="Arial" w:cs="Arial" w:eastAsia="Arial" w:hAnsi="Arial"/>
          <w:sz w:val="22"/>
          <w:szCs w:val="22"/>
          <w:color w:val="auto"/>
        </w:rPr>
        <w:t>. The Plan Administrator shall respond to the claimant’s request for review within 60 days after receiving the request. If the Plan Administrator determines that special circumstances require additional time for processing the request, the Plan Administrator can extend the response period by an additional 60 days by notifying the claimant in writing, prior to the end of the initial 60-day period, that an additional period is required. The notice of extension must set forth the date by which the Plan Administrator expects to render its decision.</w:t>
      </w:r>
    </w:p>
    <w:p>
      <w:pPr>
        <w:spacing w:after="0" w:line="188"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5.2(d) </w:t>
      </w:r>
      <w:r>
        <w:rPr>
          <w:rFonts w:ascii="Arial" w:cs="Arial" w:eastAsia="Arial" w:hAnsi="Arial"/>
          <w:sz w:val="22"/>
          <w:szCs w:val="22"/>
          <w:u w:val="single" w:color="auto"/>
          <w:color w:val="auto"/>
        </w:rPr>
        <w:t>Notice of Decision</w:t>
      </w:r>
      <w:r>
        <w:rPr>
          <w:rFonts w:ascii="Arial" w:cs="Arial" w:eastAsia="Arial" w:hAnsi="Arial"/>
          <w:sz w:val="22"/>
          <w:szCs w:val="22"/>
          <w:color w:val="auto"/>
        </w:rPr>
        <w:t>. If the Plan Administrator affirms the denial of part or the entire claim, the Plan Administrator shall notify the claimant in writing of such denial. The Plan Administrator shall write the notification in a manner calculated to be understood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type w:val="continuous"/>
        </w:sectPr>
      </w:pPr>
    </w:p>
    <w:bookmarkStart w:id="92" w:name="page93"/>
    <w:bookmarkEnd w:id="92"/>
    <w:p>
      <w:pPr>
        <w:jc w:val="both"/>
        <w:ind w:right="20"/>
        <w:spacing w:after="0" w:line="250" w:lineRule="auto"/>
        <w:rPr>
          <w:sz w:val="20"/>
          <w:szCs w:val="20"/>
          <w:color w:val="auto"/>
        </w:rPr>
      </w:pPr>
      <w:r>
        <w:rPr>
          <w:rFonts w:ascii="Arial" w:cs="Arial" w:eastAsia="Arial" w:hAnsi="Arial"/>
          <w:sz w:val="22"/>
          <w:szCs w:val="22"/>
          <w:color w:val="auto"/>
        </w:rPr>
        <w:t>claimant. The notification shall set forth the specific reason for the denial and a reference to the specific provisions of the Plan on which the denial is based.</w:t>
      </w:r>
    </w:p>
    <w:p>
      <w:pPr>
        <w:spacing w:after="0" w:line="17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Authority</w:t>
      </w:r>
      <w:r>
        <w:rPr>
          <w:rFonts w:ascii="Arial" w:cs="Arial" w:eastAsia="Arial" w:hAnsi="Arial"/>
          <w:sz w:val="22"/>
          <w:szCs w:val="22"/>
          <w:color w:val="auto"/>
        </w:rPr>
        <w:t>. In determining whether to approve or deny any claim or any appeal from a denied claim, the Plan Administrator shall exercise its discretionary authority to interpret the Plan and the facts presented with respect to the claim, and its discretionary authority to determine eligibility for benefits under the Plan. Any approval or denial shall be final and conclusive upon all persons.</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Exhaustion of Remedies</w:t>
      </w:r>
      <w:r>
        <w:rPr>
          <w:rFonts w:ascii="Arial" w:cs="Arial" w:eastAsia="Arial" w:hAnsi="Arial"/>
          <w:sz w:val="19"/>
          <w:szCs w:val="19"/>
          <w:color w:val="auto"/>
        </w:rPr>
        <w:t>. Except as required by applicable law, no action at law or equity shall be brought to recover a benefit under the Plan unless and until the claimant has: (a) submitted a claim for benefits,</w:t>
      </w:r>
    </w:p>
    <w:p>
      <w:pPr>
        <w:spacing w:after="0" w:line="1" w:lineRule="exact"/>
        <w:rPr>
          <w:sz w:val="20"/>
          <w:szCs w:val="20"/>
          <w:color w:val="auto"/>
        </w:rPr>
      </w:pPr>
    </w:p>
    <w:p>
      <w:pPr>
        <w:jc w:val="both"/>
        <w:ind w:firstLine="8"/>
        <w:spacing w:after="0" w:line="234" w:lineRule="auto"/>
        <w:tabs>
          <w:tab w:leader="none" w:pos="322" w:val="left"/>
        </w:tabs>
        <w:numPr>
          <w:ilvl w:val="0"/>
          <w:numId w:val="80"/>
        </w:numPr>
        <w:rPr>
          <w:rFonts w:ascii="Arial" w:cs="Arial" w:eastAsia="Arial" w:hAnsi="Arial"/>
          <w:sz w:val="22"/>
          <w:szCs w:val="22"/>
          <w:color w:val="auto"/>
        </w:rPr>
      </w:pPr>
      <w:r>
        <w:rPr>
          <w:rFonts w:ascii="Arial" w:cs="Arial" w:eastAsia="Arial" w:hAnsi="Arial"/>
          <w:sz w:val="22"/>
          <w:szCs w:val="22"/>
          <w:color w:val="auto"/>
        </w:rPr>
        <w:t>been notified by the Plan Administrator that the benefits (or a portion thereof) are denied, (c) filed a written request for a review of denial with the Plan Administrator, and (d) been notified in writing that the denial has been affirmed.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and Termination</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It is intended that the Plan shall continue from year to year, subject to an annual review by the Board of Directors. However, the Board of Directors reserves the right to modify, amend or terminate the Plan at any time; provided, that no amendment or termination shall affect the rights of participants to receive Plan benefits finally determined by the Plan Administrator but unpaid at the time of such termination or amendment.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8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Not an Employment Contract</w:t>
      </w:r>
      <w:r>
        <w:rPr>
          <w:rFonts w:ascii="Arial" w:cs="Arial" w:eastAsia="Arial" w:hAnsi="Arial"/>
          <w:sz w:val="21"/>
          <w:szCs w:val="21"/>
          <w:color w:val="auto"/>
        </w:rPr>
        <w:t>. The adoption and maintenance of this Plan shall not be deemed to confer on any participant any right to continue in the employ of the Employer, and shall not be deemed to interfere with the right of the Employer to discharge any person, with or without cause, or treat any person without regard to the effect that such treatment might have on the person as a Plan participant.</w:t>
      </w:r>
    </w:p>
    <w:p>
      <w:pPr>
        <w:spacing w:after="0" w:line="17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Benefits Non-Assignable</w:t>
      </w:r>
      <w:r>
        <w:rPr>
          <w:rFonts w:ascii="Arial" w:cs="Arial" w:eastAsia="Arial" w:hAnsi="Arial"/>
          <w:sz w:val="22"/>
          <w:szCs w:val="22"/>
          <w:color w:val="auto"/>
        </w:rPr>
        <w:t>. No right or interest of a participant in this Plan shall be assignable or transferable, in whole or in part, either directly or by operation of law or otherwise, including but not by way of limitation, execution, levy, garnishment, attachment, pledge, bankruptcy, assignments for the benefit of creditors, receiverships, or in any other manner, excluding transfer by operation of law as a result solely of mental incompetency.</w:t>
      </w:r>
    </w:p>
    <w:p>
      <w:pPr>
        <w:spacing w:after="0" w:line="1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Tax Withholding</w:t>
      </w:r>
      <w:r>
        <w:rPr>
          <w:rFonts w:ascii="Arial" w:cs="Arial" w:eastAsia="Arial" w:hAnsi="Arial"/>
          <w:sz w:val="22"/>
          <w:szCs w:val="22"/>
          <w:color w:val="auto"/>
        </w:rPr>
        <w:t>. The Employer shall withhold any applicable income or employment taxes that are required to be withheld from the severance benefits payable under this Plan.</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Applicable Law</w:t>
      </w:r>
      <w:r>
        <w:rPr>
          <w:rFonts w:ascii="Arial" w:cs="Arial" w:eastAsia="Arial" w:hAnsi="Arial"/>
          <w:sz w:val="22"/>
          <w:szCs w:val="22"/>
          <w:color w:val="auto"/>
        </w:rPr>
        <w:t>. This Plan is a welfare plan subject to ERISA and it shall be interpreted, administered, and enforced in accordance with that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93" w:name="page94"/>
    <w:bookmarkEnd w:id="93"/>
    <w:p>
      <w:pPr>
        <w:ind w:firstLine="648"/>
        <w:spacing w:after="0" w:line="328"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Gender and Number</w:t>
      </w:r>
      <w:r>
        <w:rPr>
          <w:rFonts w:ascii="Arial" w:cs="Arial" w:eastAsia="Arial" w:hAnsi="Arial"/>
          <w:sz w:val="19"/>
          <w:szCs w:val="19"/>
          <w:color w:val="auto"/>
        </w:rPr>
        <w:t>. Any masculine pronouns used herein shall refer to both men and women, and the use of any term herein in the singular may also include the plural unless otherwise indicated by context.</w:t>
      </w:r>
    </w:p>
    <w:p>
      <w:pPr>
        <w:spacing w:after="0" w:line="10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Plan is held invalid or unenforceable by a court of competent jurisdiction, all remaining provisions shall continue to be fully effective.</w:t>
      </w:r>
    </w:p>
    <w:p>
      <w:pPr>
        <w:spacing w:after="0" w:line="175" w:lineRule="exact"/>
        <w:rPr>
          <w:sz w:val="20"/>
          <w:szCs w:val="20"/>
          <w:color w:val="auto"/>
        </w:rPr>
      </w:pPr>
    </w:p>
    <w:p>
      <w:pPr>
        <w:ind w:right="20" w:firstLine="648"/>
        <w:spacing w:after="0" w:line="328"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u w:val="single" w:color="auto"/>
          <w:color w:val="auto"/>
        </w:rPr>
        <w:t>Binding Agreement</w:t>
      </w:r>
      <w:r>
        <w:rPr>
          <w:rFonts w:ascii="Arial" w:cs="Arial" w:eastAsia="Arial" w:hAnsi="Arial"/>
          <w:sz w:val="19"/>
          <w:szCs w:val="19"/>
          <w:color w:val="auto"/>
        </w:rPr>
        <w:t>. This Plan shall be binding upon and inure to the benefit of the Employer, its successors and assigns, and the participants and their heirs, executors, administrators and legal representatives.</w:t>
      </w:r>
    </w:p>
    <w:p>
      <w:pPr>
        <w:spacing w:after="0" w:line="105"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IN WITNESS WHEREOF, Matson, Inc. has caused this Amended and Restated Plan to be executed by its duly authorized officers effective as of the Effective Date.</w:t>
      </w:r>
    </w:p>
    <w:p>
      <w:pPr>
        <w:spacing w:after="0" w:line="20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MATSON, INC.</w:t>
      </w: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6985</wp:posOffset>
            </wp:positionV>
            <wp:extent cx="29489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-3175</wp:posOffset>
            </wp:positionV>
            <wp:extent cx="29489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4">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9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6985</wp:posOffset>
            </wp:positionV>
            <wp:extent cx="29489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5">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-3175</wp:posOffset>
            </wp:positionV>
            <wp:extent cx="29489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6">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b w:val="1"/>
          <w:bCs w:val="1"/>
          <w:color w:val="auto"/>
        </w:rPr>
        <w:t>Exhibit 10.30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MATSON, INC. DEFERRED COMPENSATION PLAN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AMENDMENT NO. 1</w:t>
      </w:r>
    </w:p>
    <w:p>
      <w:pPr>
        <w:spacing w:after="0" w:line="206"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WHEREAS, Matson, Inc. (the “Company”) desires to amend the Matson, Inc. Deferred Compensation Plan, as amended and restated effective February 28, 2013, as described below;</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the Company has the authority to amend the Plan pursuant to Article XIII of the Plan;</w:t>
      </w:r>
    </w:p>
    <w:p>
      <w:pPr>
        <w:spacing w:after="0" w:line="218"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WHEREAS, the Committee desires to amend the Plan to limit participation in the Deferred Compensation Plan to those employees employed at grade level 38 or higher who are selected to participate in the Matson, Inc. Cash Incentive Plan; and</w:t>
      </w:r>
    </w:p>
    <w:p>
      <w:pPr>
        <w:spacing w:after="0" w:line="186"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WHEREAS, the Committee also desires to amend the definition of “Fair Market Value” and the valuation method for deferred cash amounts.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Plan is amended, effective as of January 1, 2020, as follows:</w:t>
      </w:r>
    </w:p>
    <w:p>
      <w:pPr>
        <w:spacing w:after="0" w:line="206"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Article I of the Plan is hereby amended and restated to read as follows:</w:t>
      </w:r>
    </w:p>
    <w:p>
      <w:pPr>
        <w:spacing w:after="0" w:line="227" w:lineRule="exact"/>
        <w:rPr>
          <w:rFonts w:ascii="Arial" w:cs="Arial" w:eastAsia="Arial" w:hAnsi="Arial"/>
          <w:sz w:val="22"/>
          <w:szCs w:val="22"/>
          <w:color w:val="auto"/>
        </w:rPr>
      </w:pPr>
    </w:p>
    <w:p>
      <w:pPr>
        <w:jc w:val="both"/>
        <w:ind w:firstLine="648"/>
        <w:spacing w:after="0" w:line="271" w:lineRule="auto"/>
        <w:rPr>
          <w:rFonts w:ascii="Arial" w:cs="Arial" w:eastAsia="Arial" w:hAnsi="Arial"/>
          <w:sz w:val="22"/>
          <w:szCs w:val="22"/>
          <w:color w:val="auto"/>
        </w:rPr>
      </w:pPr>
      <w:r>
        <w:rPr>
          <w:rFonts w:ascii="Arial" w:cs="Arial" w:eastAsia="Arial" w:hAnsi="Arial"/>
          <w:sz w:val="19"/>
          <w:szCs w:val="19"/>
          <w:b w:val="1"/>
          <w:bCs w:val="1"/>
          <w:color w:val="auto"/>
        </w:rPr>
        <w:t xml:space="preserve">I. PURPOSE. </w:t>
      </w:r>
      <w:r>
        <w:rPr>
          <w:rFonts w:ascii="Arial" w:cs="Arial" w:eastAsia="Arial" w:hAnsi="Arial"/>
          <w:sz w:val="19"/>
          <w:szCs w:val="19"/>
          <w:color w:val="auto"/>
        </w:rPr>
        <w:t>Pursuant to a corporate reorganization, Alexander &amp; Baldwin, Inc. became a wholly-owned subsidiary of Alexander &amp; Baldwin Holdings, Inc. ("Holdings") and Holdings assumed all the liabilities under the Alexander &amp; Baldwin, Inc. Deferred Compensation Plan. On the Distribution Date (as defined below), Holdings effected a spin-off distribution of its wholly-owned subsidiary A &amp; B II, Inc., renamed Alexander &amp; Baldwin, Inc. ("New A&amp;B") by distributing all of Holdings outstanding common stock in New A&amp;B to Holdings shareholders (the "New A&amp;B Distribution"); Holdings was renamed Matson, Inc. (the "Company") and New A&amp;B assumed that portion of the liabilities under the Plan attributable to "New A&amp;B Participants" (as defined in the Employee Matters Agreement by and between the Company and New A&amp;B dated as of June 8, 2012). As plan sponsor, Holdings adopted the amended, renamed and restated Matson, Inc. Deferred Compensation Plan effective as of the Distribution Date to provide a select group of management or highly compensated employees with the opportunity to defer payment of awards under the Bonus Plan for a period extending until retirement or other termination of employment or until the expiration of the specific term (at least one full year in duration) elected by the participant. The Company hereby amends and restates the Plan effective as of February 28, 2013 (the "Effective Date") and hereby clarifies that participation in the Plan is limited to participants in the Company’s Bonus Plan who are employed at grade level 38 (or equivalent) or higher.</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The Plan is intended to be exempt from the participation, vesting, funding and fiduciary requirements of Title I of the Employee Retirement Income Security Act of 197 4 ("ERISA") pursuant to Sections 201(2), 301(a)</w:t>
      </w:r>
    </w:p>
    <w:p>
      <w:pPr>
        <w:spacing w:after="0" w:line="1" w:lineRule="exact"/>
        <w:rPr>
          <w:sz w:val="20"/>
          <w:szCs w:val="20"/>
          <w:color w:val="auto"/>
        </w:rPr>
      </w:pPr>
    </w:p>
    <w:p>
      <w:pPr>
        <w:ind w:right="20" w:firstLine="8"/>
        <w:spacing w:after="0" w:line="256" w:lineRule="auto"/>
        <w:tabs>
          <w:tab w:leader="none" w:pos="337" w:val="left"/>
        </w:tabs>
        <w:numPr>
          <w:ilvl w:val="0"/>
          <w:numId w:val="82"/>
        </w:numPr>
        <w:rPr>
          <w:rFonts w:ascii="Arial" w:cs="Arial" w:eastAsia="Arial" w:hAnsi="Arial"/>
          <w:sz w:val="21"/>
          <w:szCs w:val="21"/>
          <w:color w:val="auto"/>
        </w:rPr>
      </w:pPr>
      <w:r>
        <w:rPr>
          <w:rFonts w:ascii="Arial" w:cs="Arial" w:eastAsia="Arial" w:hAnsi="Arial"/>
          <w:sz w:val="21"/>
          <w:szCs w:val="21"/>
          <w:color w:val="auto"/>
        </w:rPr>
        <w:t>and 401(a)(l) of ERISA as a plan that is unfunded and maintained primarily for the purpose of providing deferred compensation for a select group of management or highly compensated employees.</w:t>
      </w:r>
    </w:p>
    <w:p>
      <w:pPr>
        <w:spacing w:after="0" w:line="169" w:lineRule="exact"/>
        <w:rPr>
          <w:sz w:val="20"/>
          <w:szCs w:val="20"/>
          <w:color w:val="auto"/>
        </w:rPr>
      </w:pPr>
    </w:p>
    <w:p>
      <w:pPr>
        <w:ind w:right="280" w:firstLine="8"/>
        <w:spacing w:after="0" w:line="250" w:lineRule="auto"/>
        <w:tabs>
          <w:tab w:leader="none" w:pos="648"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definition of “Fair Market Value” in Article II of the Plan is hereby amended and restated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775970</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95" w:name="page96"/>
    <w:bookmarkEnd w:id="95"/>
    <w:p>
      <w:pPr>
        <w:ind w:right="20" w:firstLine="648"/>
        <w:spacing w:after="0" w:line="245" w:lineRule="auto"/>
        <w:rPr>
          <w:sz w:val="20"/>
          <w:szCs w:val="20"/>
          <w:color w:val="auto"/>
        </w:rPr>
      </w:pPr>
      <w:r>
        <w:rPr>
          <w:rFonts w:ascii="Arial" w:cs="Arial" w:eastAsia="Arial" w:hAnsi="Arial"/>
          <w:sz w:val="21"/>
          <w:szCs w:val="21"/>
          <w:u w:val="single" w:color="auto"/>
          <w:color w:val="auto"/>
        </w:rPr>
        <w:t>Fair Market Value</w:t>
      </w:r>
      <w:r>
        <w:rPr>
          <w:rFonts w:ascii="Arial" w:cs="Arial" w:eastAsia="Arial" w:hAnsi="Arial"/>
          <w:sz w:val="21"/>
          <w:szCs w:val="21"/>
          <w:color w:val="auto"/>
        </w:rPr>
        <w:t xml:space="preserve"> shall, with respect to the per share valuation of Common Stock on any relevant date, be the closing selling price per share of Common Stock at the close of regular hours of trading (i.e., before after hours trading begins) on the date in question on the Stock Exchange serving as the primary market for the Common Stock, as such price is reported by the National Association of Securities Dealers (if primarily traded on the Nasdaq Global Select Market) or as officially quoted in the composite tape of transactions on any other Stock Exchange on which the Common Stock is then primarily traded. If there is no closing selling price for the Common Stock on the date in question, then the Fair Market Value shall be the closing selling price on the last preceding date for which such quotation exists. In the absence of such markets for the Common Stock, the Fair Market Value will be determined by the Plan Administrator in good faith and in a manner that complies with Sections 409A and 422 of the Code.</w:t>
      </w:r>
    </w:p>
    <w:p>
      <w:pPr>
        <w:spacing w:after="0" w:line="181"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21"/>
          <w:szCs w:val="21"/>
          <w:color w:val="auto"/>
        </w:rPr>
      </w:pPr>
      <w:r>
        <w:rPr>
          <w:rFonts w:ascii="Arial" w:cs="Arial" w:eastAsia="Arial" w:hAnsi="Arial"/>
          <w:sz w:val="21"/>
          <w:szCs w:val="21"/>
          <w:color w:val="auto"/>
        </w:rPr>
        <w:t>The first paragraph of Article IV of the Plan is hereby amended and restated to read as follows:</w:t>
      </w:r>
    </w:p>
    <w:p>
      <w:pPr>
        <w:spacing w:after="0" w:line="239" w:lineRule="exact"/>
        <w:rPr>
          <w:sz w:val="20"/>
          <w:szCs w:val="20"/>
          <w:color w:val="auto"/>
        </w:rPr>
      </w:pPr>
    </w:p>
    <w:p>
      <w:pPr>
        <w:ind w:right="120" w:firstLine="648"/>
        <w:spacing w:after="0" w:line="239" w:lineRule="auto"/>
        <w:rPr>
          <w:sz w:val="20"/>
          <w:szCs w:val="20"/>
          <w:color w:val="auto"/>
        </w:rPr>
      </w:pPr>
      <w:r>
        <w:rPr>
          <w:rFonts w:ascii="Arial" w:cs="Arial" w:eastAsia="Arial" w:hAnsi="Arial"/>
          <w:sz w:val="22"/>
          <w:szCs w:val="22"/>
          <w:b w:val="1"/>
          <w:bCs w:val="1"/>
          <w:color w:val="auto"/>
        </w:rPr>
        <w:t xml:space="preserve">IV. DEFERRAL ELECTION. </w:t>
      </w:r>
      <w:r>
        <w:rPr>
          <w:rFonts w:ascii="Arial" w:cs="Arial" w:eastAsia="Arial" w:hAnsi="Arial"/>
          <w:sz w:val="22"/>
          <w:szCs w:val="22"/>
          <w:color w:val="auto"/>
        </w:rPr>
        <w:t>An individual selected for participation in the Bonus Plan who is</w:t>
      </w:r>
      <w:r>
        <w:rPr>
          <w:rFonts w:ascii="Arial" w:cs="Arial" w:eastAsia="Arial" w:hAnsi="Arial"/>
          <w:sz w:val="22"/>
          <w:szCs w:val="22"/>
          <w:b w:val="1"/>
          <w:bCs w:val="1"/>
          <w:color w:val="auto"/>
        </w:rPr>
        <w:t xml:space="preserve"> </w:t>
      </w:r>
      <w:r>
        <w:rPr>
          <w:rFonts w:ascii="Arial" w:cs="Arial" w:eastAsia="Arial" w:hAnsi="Arial"/>
          <w:sz w:val="22"/>
          <w:szCs w:val="22"/>
          <w:color w:val="auto"/>
        </w:rPr>
        <w:t>employed at grade level 38 (or equivalent) or higher may elect to defer, for the period of time described below ("Deferral Period"), all or part of his/her award(s) under the Bonus Plan. Any such election ("Deferral Election") must be made in accordance with the following provisions:</w:t>
      </w:r>
    </w:p>
    <w:p>
      <w:pPr>
        <w:spacing w:after="0" w:line="213"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Paragraph 1 of Article VI of the Plan is hereby amended and restated to read as follows:</w:t>
      </w:r>
    </w:p>
    <w:p>
      <w:pPr>
        <w:spacing w:after="0" w:line="233" w:lineRule="exact"/>
        <w:rPr>
          <w:rFonts w:ascii="Arial" w:cs="Arial" w:eastAsia="Arial" w:hAnsi="Arial"/>
          <w:sz w:val="22"/>
          <w:szCs w:val="22"/>
          <w:color w:val="auto"/>
        </w:rPr>
      </w:pPr>
    </w:p>
    <w:p>
      <w:pPr>
        <w:ind w:firstLine="656"/>
        <w:spacing w:after="0" w:line="279" w:lineRule="auto"/>
        <w:tabs>
          <w:tab w:leader="none" w:pos="1296"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Cash Balance</w:t>
      </w:r>
      <w:r>
        <w:rPr>
          <w:rFonts w:ascii="Arial" w:cs="Arial" w:eastAsia="Arial" w:hAnsi="Arial"/>
          <w:sz w:val="19"/>
          <w:szCs w:val="19"/>
          <w:color w:val="auto"/>
        </w:rPr>
        <w:t>. The deferred portion of any award valued in cash shall be credited with interest, compound annually, for each calendar year falling in whole or in part within the Deferral Period. To the extent a participant elects to be paid out in installments, following the Deferral Period, the unpaid portion of the deferred award shall continue to be credited with interest, compound annually, for each calendar year falling in whole or in part within the installment period. Interest shall be at a per annum rate equal to the New York Reserve Bank discount rate in effect as of January 15 of each calendar year within the Deferral Period plus 1%.</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117" w:right="1059" w:bottom="1440" w:gutter="0" w:footer="0" w:header="0"/>
        </w:sectPr>
      </w:pPr>
    </w:p>
    <w:bookmarkStart w:id="96" w:name="page97"/>
    <w:bookmarkEnd w:id="96"/>
    <w:p>
      <w:pPr>
        <w:ind w:firstLine="648"/>
        <w:spacing w:after="0" w:line="250" w:lineRule="auto"/>
        <w:rPr>
          <w:sz w:val="20"/>
          <w:szCs w:val="20"/>
          <w:color w:val="auto"/>
        </w:rPr>
      </w:pPr>
      <w:r>
        <w:rPr>
          <w:rFonts w:ascii="Arial" w:cs="Arial" w:eastAsia="Arial" w:hAnsi="Arial"/>
          <w:sz w:val="22"/>
          <w:szCs w:val="22"/>
          <w:color w:val="auto"/>
        </w:rPr>
        <w:t>IN WITNESS WHEREOF, Matson, Inc. has caused this Amendment No. 1 to be executed on its behalf by a duly authorized officer effective as of January 1, 2020.</w:t>
      </w:r>
    </w:p>
    <w:p>
      <w:pPr>
        <w:spacing w:after="0" w:line="202"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4800"/>
        <w:spacing w:after="0"/>
        <w:tabs>
          <w:tab w:leader="none" w:pos="55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Jason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-158115</wp:posOffset>
            </wp:positionV>
            <wp:extent cx="28117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ind w:left="4800"/>
        <w:spacing w:after="0"/>
        <w:tabs>
          <w:tab w:leader="none" w:pos="5560" w:val="left"/>
        </w:tabs>
        <w:rPr>
          <w:sz w:val="20"/>
          <w:szCs w:val="20"/>
          <w:color w:val="auto"/>
        </w:rPr>
      </w:pPr>
      <w:r>
        <w:rPr>
          <w:rFonts w:ascii="Arial" w:cs="Arial" w:eastAsia="Arial" w:hAnsi="Arial"/>
          <w:sz w:val="22"/>
          <w:szCs w:val="22"/>
          <w:color w:val="auto"/>
        </w:rPr>
        <w:t>Title:</w:t>
        <w:tab/>
        <w:t>Vice President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921385</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3486150</wp:posOffset>
            </wp:positionH>
            <wp:positionV relativeFrom="paragraph">
              <wp:posOffset>4445</wp:posOffset>
            </wp:positionV>
            <wp:extent cx="28117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2">
                      <a:extLst>
                        <a:ext uri="{28A0092B-C50C-407E-A947-70E740481C1C}"/>
                      </a:extLst>
                    </a:blip>
                    <a:srcRect/>
                    <a:stretch>
                      <a:fillRect/>
                    </a:stretch>
                  </pic:blipFill>
                  <pic:spPr bwMode="auto">
                    <a:xfrm>
                      <a:off x="0" y="0"/>
                      <a:ext cx="281178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3486150</wp:posOffset>
            </wp:positionH>
            <wp:positionV relativeFrom="paragraph">
              <wp:posOffset>-158115</wp:posOffset>
            </wp:positionV>
            <wp:extent cx="28117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ectPr>
          <w:pgSz w:w="11900" w:h="16838" w:orient="portrait"/>
          <w:cols w:equalWidth="0" w:num="1">
            <w:col w:w="9840"/>
          </w:cols>
          <w:pgMar w:left="980" w:top="874" w:right="107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b w:val="1"/>
          <w:bCs w:val="1"/>
          <w:color w:val="auto"/>
        </w:rPr>
        <w:t>Exhibit 10.47</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Performance Share Award Package – Executives, ROIC metric</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MATSON,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EXECUTIVE NOTICE OF AWARD OF PERFORMANCE SHARES</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Corporation hereby awards to Participant, as of the Award Date indicated below, an award (the “Award”) of Performance Shares under the Corporation’s 2016 Incentive Compensation Plan (as amended from time to time, the “Plan”). Each Performance Share represents the right to receive one or more shares of Common Stock on the applicable issuance date following the vesting of that Performance Share. The number of Performance Shares subject to this Award and the applicable performance vesting requirements for those Performance Shares and the underlying shares are set forth below. The remaining terms and conditions governing the Award, including the applicable service vesting requirements and the applicable issuance date or dates for the shares of Common Stock that vest under the Award, shall be as set forth in the form Performance Share Award Agreement for Awards with combined performance and service vesting requirements.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SUMMARY</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Participant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Award Date:</w:t>
      </w:r>
    </w:p>
    <w:p>
      <w:pPr>
        <w:spacing w:after="0" w:line="234" w:lineRule="exact"/>
        <w:rPr>
          <w:sz w:val="20"/>
          <w:szCs w:val="20"/>
          <w:color w:val="auto"/>
        </w:rPr>
      </w:pPr>
    </w:p>
    <w:p>
      <w:pPr>
        <w:spacing w:after="0"/>
        <w:tabs>
          <w:tab w:leader="none" w:pos="1980" w:val="left"/>
        </w:tabs>
        <w:rPr>
          <w:sz w:val="20"/>
          <w:szCs w:val="20"/>
          <w:color w:val="auto"/>
        </w:rPr>
      </w:pPr>
      <w:r>
        <w:rPr>
          <w:rFonts w:ascii="Arial" w:cs="Arial" w:eastAsia="Arial" w:hAnsi="Arial"/>
          <w:sz w:val="22"/>
          <w:szCs w:val="22"/>
          <w:u w:val="single" w:color="auto"/>
          <w:color w:val="auto"/>
        </w:rPr>
        <w:t>Performance Shares:</w:t>
      </w:r>
      <w:r>
        <w:rPr>
          <w:sz w:val="20"/>
          <w:szCs w:val="20"/>
          <w:color w:val="auto"/>
        </w:rPr>
        <w:tab/>
      </w:r>
      <w:r>
        <w:rPr>
          <w:rFonts w:ascii="Arial" w:cs="Arial" w:eastAsia="Arial" w:hAnsi="Arial"/>
          <w:sz w:val="22"/>
          <w:szCs w:val="22"/>
          <w:color w:val="auto"/>
        </w:rPr>
        <w:t>The number of shares of Common Stock issuable pursuant to the Award shall be</w:t>
      </w:r>
    </w:p>
    <w:tbl>
      <w:tblPr>
        <w:tblLayout w:type="fixed"/>
        <w:tblInd w:w="0" w:type="dxa"/>
        <w:tblCellMar>
          <w:top w:w="0" w:type="dxa"/>
          <w:left w:w="0" w:type="dxa"/>
          <w:bottom w:w="0" w:type="dxa"/>
          <w:right w:w="0" w:type="dxa"/>
        </w:tblCellMar>
      </w:tblPr>
      <w:tr>
        <w:trPr>
          <w:trHeight w:val="233"/>
        </w:trPr>
        <w:tc>
          <w:tcPr>
            <w:tcW w:w="1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940" w:type="dxa"/>
            <w:vAlign w:val="bottom"/>
            <w:gridSpan w:val="2"/>
          </w:tcPr>
          <w:p>
            <w:pPr>
              <w:ind w:left="20"/>
              <w:spacing w:after="0" w:line="233" w:lineRule="exact"/>
              <w:rPr>
                <w:sz w:val="20"/>
                <w:szCs w:val="20"/>
                <w:color w:val="auto"/>
              </w:rPr>
            </w:pPr>
            <w:r>
              <w:rPr>
                <w:rFonts w:ascii="Arial" w:cs="Arial" w:eastAsia="Arial" w:hAnsi="Arial"/>
                <w:sz w:val="22"/>
                <w:szCs w:val="22"/>
                <w:color w:val="auto"/>
                <w:w w:val="88"/>
              </w:rPr>
              <w:t>determined in accordance with the Vesting Schedule below. For purposes of the percentage</w:t>
            </w:r>
          </w:p>
        </w:tc>
      </w:tr>
      <w:tr>
        <w:trPr>
          <w:trHeight w:val="243"/>
        </w:trPr>
        <w:tc>
          <w:tcPr>
            <w:tcW w:w="1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940" w:type="dxa"/>
            <w:vAlign w:val="bottom"/>
            <w:gridSpan w:val="2"/>
          </w:tcPr>
          <w:p>
            <w:pPr>
              <w:ind w:left="20"/>
              <w:spacing w:after="0" w:line="243" w:lineRule="exact"/>
              <w:rPr>
                <w:sz w:val="20"/>
                <w:szCs w:val="20"/>
                <w:color w:val="auto"/>
              </w:rPr>
            </w:pPr>
            <w:r>
              <w:rPr>
                <w:rFonts w:ascii="Arial" w:cs="Arial" w:eastAsia="Arial" w:hAnsi="Arial"/>
                <w:sz w:val="22"/>
                <w:szCs w:val="22"/>
                <w:color w:val="auto"/>
                <w:w w:val="91"/>
              </w:rPr>
              <w:t>calculations set forth in the performance vesting section of such schedule, the number of</w:t>
            </w:r>
          </w:p>
        </w:tc>
      </w:tr>
      <w:tr>
        <w:trPr>
          <w:trHeight w:val="243"/>
        </w:trPr>
        <w:tc>
          <w:tcPr>
            <w:tcW w:w="1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940" w:type="dxa"/>
            <w:vAlign w:val="bottom"/>
            <w:gridSpan w:val="2"/>
          </w:tcPr>
          <w:p>
            <w:pPr>
              <w:ind w:left="20"/>
              <w:spacing w:after="0" w:line="243" w:lineRule="exact"/>
              <w:rPr>
                <w:sz w:val="20"/>
                <w:szCs w:val="20"/>
                <w:color w:val="auto"/>
              </w:rPr>
            </w:pPr>
            <w:r>
              <w:rPr>
                <w:rFonts w:ascii="Arial" w:cs="Arial" w:eastAsia="Arial" w:hAnsi="Arial"/>
                <w:sz w:val="22"/>
                <w:szCs w:val="22"/>
                <w:color w:val="auto"/>
                <w:w w:val="92"/>
              </w:rPr>
              <w:t>shares of Common Stock to be utilized is ____ shares (the “Performance Shares”). The</w:t>
            </w:r>
          </w:p>
        </w:tc>
      </w:tr>
      <w:tr>
        <w:trPr>
          <w:trHeight w:val="243"/>
        </w:trPr>
        <w:tc>
          <w:tcPr>
            <w:tcW w:w="1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940" w:type="dxa"/>
            <w:vAlign w:val="bottom"/>
            <w:gridSpan w:val="2"/>
          </w:tcPr>
          <w:p>
            <w:pPr>
              <w:ind w:left="20"/>
              <w:spacing w:after="0" w:line="243" w:lineRule="exact"/>
              <w:rPr>
                <w:sz w:val="20"/>
                <w:szCs w:val="20"/>
                <w:color w:val="auto"/>
              </w:rPr>
            </w:pPr>
            <w:r>
              <w:rPr>
                <w:rFonts w:ascii="Arial" w:cs="Arial" w:eastAsia="Arial" w:hAnsi="Arial"/>
                <w:sz w:val="22"/>
                <w:szCs w:val="22"/>
                <w:color w:val="auto"/>
                <w:w w:val="88"/>
              </w:rPr>
              <w:t>specific number of Performance Shares set forth in this paragraph shall be referred to as the</w:t>
            </w:r>
          </w:p>
        </w:tc>
      </w:tr>
      <w:tr>
        <w:trPr>
          <w:trHeight w:val="274"/>
        </w:trPr>
        <w:tc>
          <w:tcPr>
            <w:tcW w:w="1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940" w:type="dxa"/>
            <w:vAlign w:val="bottom"/>
            <w:gridSpan w:val="2"/>
          </w:tcPr>
          <w:p>
            <w:pPr>
              <w:ind w:left="20"/>
              <w:spacing w:after="0"/>
              <w:rPr>
                <w:sz w:val="20"/>
                <w:szCs w:val="20"/>
                <w:color w:val="auto"/>
              </w:rPr>
            </w:pPr>
            <w:r>
              <w:rPr>
                <w:rFonts w:ascii="Arial" w:cs="Arial" w:eastAsia="Arial" w:hAnsi="Arial"/>
                <w:sz w:val="22"/>
                <w:szCs w:val="22"/>
                <w:color w:val="auto"/>
              </w:rPr>
              <w:t>“Designated Shares”.</w:t>
            </w:r>
          </w:p>
        </w:tc>
      </w:tr>
      <w:tr>
        <w:trPr>
          <w:trHeight w:val="341"/>
        </w:trPr>
        <w:tc>
          <w:tcPr>
            <w:tcW w:w="1980" w:type="dxa"/>
            <w:vAlign w:val="bottom"/>
            <w:gridSpan w:val="2"/>
          </w:tcPr>
          <w:p>
            <w:pPr>
              <w:spacing w:after="0"/>
              <w:rPr>
                <w:sz w:val="20"/>
                <w:szCs w:val="20"/>
                <w:color w:val="auto"/>
              </w:rPr>
            </w:pPr>
            <w:r>
              <w:rPr>
                <w:rFonts w:ascii="Arial" w:cs="Arial" w:eastAsia="Arial" w:hAnsi="Arial"/>
                <w:sz w:val="22"/>
                <w:szCs w:val="22"/>
                <w:color w:val="auto"/>
              </w:rPr>
              <w:t>Vesting Schedule:</w:t>
            </w:r>
          </w:p>
        </w:tc>
        <w:tc>
          <w:tcPr>
            <w:tcW w:w="7940" w:type="dxa"/>
            <w:vAlign w:val="bottom"/>
            <w:gridSpan w:val="2"/>
          </w:tcPr>
          <w:p>
            <w:pPr>
              <w:spacing w:after="0"/>
              <w:rPr>
                <w:sz w:val="20"/>
                <w:szCs w:val="20"/>
                <w:color w:val="auto"/>
              </w:rPr>
            </w:pPr>
            <w:r>
              <w:rPr>
                <w:rFonts w:ascii="Arial" w:cs="Arial" w:eastAsia="Arial" w:hAnsi="Arial"/>
                <w:sz w:val="22"/>
                <w:szCs w:val="22"/>
                <w:color w:val="auto"/>
                <w:w w:val="93"/>
              </w:rPr>
              <w:t>The number of shares of Common Stock which may actually vest and become issuable</w:t>
            </w:r>
          </w:p>
        </w:tc>
      </w:tr>
      <w:tr>
        <w:trPr>
          <w:trHeight w:val="242"/>
        </w:trPr>
        <w:tc>
          <w:tcPr>
            <w:tcW w:w="156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7940" w:type="dxa"/>
            <w:vAlign w:val="bottom"/>
            <w:gridSpan w:val="2"/>
          </w:tcPr>
          <w:p>
            <w:pPr>
              <w:ind w:left="20"/>
              <w:spacing w:after="0" w:line="242" w:lineRule="exact"/>
              <w:rPr>
                <w:sz w:val="20"/>
                <w:szCs w:val="20"/>
                <w:color w:val="auto"/>
              </w:rPr>
            </w:pPr>
            <w:r>
              <w:rPr>
                <w:rFonts w:ascii="Arial" w:cs="Arial" w:eastAsia="Arial" w:hAnsi="Arial"/>
                <w:sz w:val="22"/>
                <w:szCs w:val="22"/>
                <w:color w:val="auto"/>
                <w:w w:val="92"/>
              </w:rPr>
              <w:t>pursuant to the Award shall be determined pursuant to a two-step process: (i) first there</w:t>
            </w:r>
          </w:p>
        </w:tc>
      </w:tr>
      <w:tr>
        <w:trPr>
          <w:trHeight w:val="243"/>
        </w:trPr>
        <w:tc>
          <w:tcPr>
            <w:tcW w:w="1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940" w:type="dxa"/>
            <w:vAlign w:val="bottom"/>
            <w:gridSpan w:val="2"/>
          </w:tcPr>
          <w:p>
            <w:pPr>
              <w:ind w:left="20"/>
              <w:spacing w:after="0" w:line="243" w:lineRule="exact"/>
              <w:rPr>
                <w:sz w:val="20"/>
                <w:szCs w:val="20"/>
                <w:color w:val="auto"/>
              </w:rPr>
            </w:pPr>
            <w:r>
              <w:rPr>
                <w:rFonts w:ascii="Arial" w:cs="Arial" w:eastAsia="Arial" w:hAnsi="Arial"/>
                <w:sz w:val="22"/>
                <w:szCs w:val="22"/>
                <w:color w:val="auto"/>
                <w:w w:val="90"/>
              </w:rPr>
              <w:t>shall be calculated the maximum number of shares of Common Stock in which Participant</w:t>
            </w:r>
          </w:p>
        </w:tc>
      </w:tr>
      <w:tr>
        <w:trPr>
          <w:trHeight w:val="243"/>
        </w:trPr>
        <w:tc>
          <w:tcPr>
            <w:tcW w:w="1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940" w:type="dxa"/>
            <w:vAlign w:val="bottom"/>
            <w:gridSpan w:val="2"/>
          </w:tcPr>
          <w:p>
            <w:pPr>
              <w:ind w:left="20"/>
              <w:spacing w:after="0" w:line="243" w:lineRule="exact"/>
              <w:rPr>
                <w:sz w:val="20"/>
                <w:szCs w:val="20"/>
                <w:color w:val="auto"/>
              </w:rPr>
            </w:pPr>
            <w:r>
              <w:rPr>
                <w:rFonts w:ascii="Arial" w:cs="Arial" w:eastAsia="Arial" w:hAnsi="Arial"/>
                <w:sz w:val="22"/>
                <w:szCs w:val="22"/>
                <w:color w:val="auto"/>
                <w:w w:val="89"/>
              </w:rPr>
              <w:t>can vest under the performance vesting section below based upon the actual level at which</w:t>
            </w:r>
          </w:p>
        </w:tc>
      </w:tr>
      <w:tr>
        <w:trPr>
          <w:trHeight w:val="243"/>
        </w:trPr>
        <w:tc>
          <w:tcPr>
            <w:tcW w:w="1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940" w:type="dxa"/>
            <w:vAlign w:val="bottom"/>
            <w:gridSpan w:val="2"/>
          </w:tcPr>
          <w:p>
            <w:pPr>
              <w:ind w:left="20"/>
              <w:spacing w:after="0" w:line="243" w:lineRule="exact"/>
              <w:rPr>
                <w:sz w:val="20"/>
                <w:szCs w:val="20"/>
                <w:color w:val="auto"/>
              </w:rPr>
            </w:pPr>
            <w:r>
              <w:rPr>
                <w:rFonts w:ascii="Arial" w:cs="Arial" w:eastAsia="Arial" w:hAnsi="Arial"/>
                <w:sz w:val="22"/>
                <w:szCs w:val="22"/>
                <w:color w:val="auto"/>
                <w:w w:val="89"/>
              </w:rPr>
              <w:t>the Performance Goal specified on attached Schedule I is attained and (ii) then the number</w:t>
            </w:r>
          </w:p>
        </w:tc>
      </w:tr>
      <w:tr>
        <w:trPr>
          <w:trHeight w:val="243"/>
        </w:trPr>
        <w:tc>
          <w:tcPr>
            <w:tcW w:w="1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940" w:type="dxa"/>
            <w:vAlign w:val="bottom"/>
            <w:gridSpan w:val="2"/>
          </w:tcPr>
          <w:p>
            <w:pPr>
              <w:ind w:left="20"/>
              <w:spacing w:after="0" w:line="243" w:lineRule="exact"/>
              <w:rPr>
                <w:sz w:val="20"/>
                <w:szCs w:val="20"/>
                <w:color w:val="auto"/>
              </w:rPr>
            </w:pPr>
            <w:r>
              <w:rPr>
                <w:rFonts w:ascii="Arial" w:cs="Arial" w:eastAsia="Arial" w:hAnsi="Arial"/>
                <w:sz w:val="22"/>
                <w:szCs w:val="22"/>
                <w:color w:val="auto"/>
                <w:w w:val="98"/>
              </w:rPr>
              <w:t>of shares calculated under clause (i) in which Participant may actually vest shall be</w:t>
            </w:r>
          </w:p>
        </w:tc>
      </w:tr>
      <w:tr>
        <w:trPr>
          <w:trHeight w:val="243"/>
        </w:trPr>
        <w:tc>
          <w:tcPr>
            <w:tcW w:w="1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940" w:type="dxa"/>
            <w:vAlign w:val="bottom"/>
            <w:gridSpan w:val="2"/>
          </w:tcPr>
          <w:p>
            <w:pPr>
              <w:ind w:left="20"/>
              <w:spacing w:after="0" w:line="243" w:lineRule="exact"/>
              <w:rPr>
                <w:sz w:val="20"/>
                <w:szCs w:val="20"/>
                <w:color w:val="auto"/>
              </w:rPr>
            </w:pPr>
            <w:r>
              <w:rPr>
                <w:rFonts w:ascii="Arial" w:cs="Arial" w:eastAsia="Arial" w:hAnsi="Arial"/>
                <w:sz w:val="22"/>
                <w:szCs w:val="22"/>
                <w:color w:val="auto"/>
                <w:w w:val="99"/>
              </w:rPr>
              <w:t>determined on the basis of his or her satisfaction of the applicable Service vesting</w:t>
            </w:r>
          </w:p>
        </w:tc>
      </w:tr>
      <w:tr>
        <w:trPr>
          <w:trHeight w:val="274"/>
        </w:trPr>
        <w:tc>
          <w:tcPr>
            <w:tcW w:w="1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940" w:type="dxa"/>
            <w:vAlign w:val="bottom"/>
            <w:gridSpan w:val="2"/>
          </w:tcPr>
          <w:p>
            <w:pPr>
              <w:ind w:left="20"/>
              <w:spacing w:after="0"/>
              <w:rPr>
                <w:sz w:val="20"/>
                <w:szCs w:val="20"/>
                <w:color w:val="auto"/>
              </w:rPr>
            </w:pPr>
            <w:r>
              <w:rPr>
                <w:rFonts w:ascii="Arial" w:cs="Arial" w:eastAsia="Arial" w:hAnsi="Arial"/>
                <w:sz w:val="22"/>
                <w:szCs w:val="22"/>
                <w:color w:val="auto"/>
              </w:rPr>
              <w:t>requirements set forth in the form Performance Share Award Agreement.</w:t>
            </w:r>
          </w:p>
        </w:tc>
      </w:tr>
      <w:tr>
        <w:trPr>
          <w:trHeight w:val="360"/>
        </w:trPr>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940" w:type="dxa"/>
            <w:vAlign w:val="bottom"/>
            <w:gridSpan w:val="2"/>
          </w:tcPr>
          <w:p>
            <w:pPr>
              <w:spacing w:after="0"/>
              <w:rPr>
                <w:sz w:val="20"/>
                <w:szCs w:val="20"/>
                <w:color w:val="auto"/>
              </w:rPr>
            </w:pPr>
            <w:r>
              <w:rPr>
                <w:rFonts w:ascii="Arial" w:cs="Arial" w:eastAsia="Arial" w:hAnsi="Arial"/>
                <w:sz w:val="22"/>
                <w:szCs w:val="22"/>
                <w:b w:val="1"/>
                <w:bCs w:val="1"/>
                <w:i w:val="1"/>
                <w:iCs w:val="1"/>
                <w:color w:val="auto"/>
                <w:w w:val="93"/>
              </w:rPr>
              <w:t>Performance  Vesting</w:t>
            </w:r>
            <w:r>
              <w:rPr>
                <w:rFonts w:ascii="Arial" w:cs="Arial" w:eastAsia="Arial" w:hAnsi="Arial"/>
                <w:sz w:val="22"/>
                <w:szCs w:val="22"/>
                <w:color w:val="auto"/>
                <w:w w:val="93"/>
              </w:rPr>
              <w:t>:   Attached  Schedule  I  specifies  the  Performance  Goal  and</w:t>
            </w:r>
          </w:p>
        </w:tc>
      </w:tr>
      <w:tr>
        <w:trPr>
          <w:trHeight w:val="274"/>
        </w:trPr>
        <w:tc>
          <w:tcPr>
            <w:tcW w:w="1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940" w:type="dxa"/>
            <w:vAlign w:val="bottom"/>
            <w:gridSpan w:val="2"/>
          </w:tcPr>
          <w:p>
            <w:pPr>
              <w:ind w:left="20"/>
              <w:spacing w:after="0"/>
              <w:rPr>
                <w:sz w:val="20"/>
                <w:szCs w:val="20"/>
                <w:color w:val="auto"/>
              </w:rPr>
            </w:pPr>
            <w:r>
              <w:rPr>
                <w:rFonts w:ascii="Arial" w:cs="Arial" w:eastAsia="Arial" w:hAnsi="Arial"/>
                <w:sz w:val="22"/>
                <w:szCs w:val="22"/>
                <w:color w:val="auto"/>
              </w:rPr>
              <w:t>Performance Period established for the Award.</w:t>
            </w:r>
          </w:p>
        </w:tc>
      </w:tr>
      <w:tr>
        <w:trPr>
          <w:trHeight w:val="328"/>
        </w:trPr>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940" w:type="dxa"/>
            <w:vAlign w:val="bottom"/>
            <w:gridSpan w:val="2"/>
          </w:tcPr>
          <w:p>
            <w:pPr>
              <w:spacing w:after="0"/>
              <w:rPr>
                <w:sz w:val="20"/>
                <w:szCs w:val="20"/>
                <w:color w:val="auto"/>
              </w:rPr>
            </w:pPr>
            <w:r>
              <w:rPr>
                <w:rFonts w:ascii="Arial" w:cs="Arial" w:eastAsia="Arial" w:hAnsi="Arial"/>
                <w:sz w:val="22"/>
                <w:szCs w:val="22"/>
                <w:color w:val="auto"/>
                <w:w w:val="90"/>
              </w:rPr>
              <w:t>Performance Goal: There are three designated levels of attainment set forth in Schedule I</w:t>
            </w:r>
          </w:p>
        </w:tc>
      </w:tr>
      <w:tr>
        <w:trPr>
          <w:trHeight w:val="20"/>
        </w:trPr>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242"/>
        </w:trPr>
        <w:tc>
          <w:tcPr>
            <w:tcW w:w="1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940" w:type="dxa"/>
            <w:vAlign w:val="bottom"/>
            <w:gridSpan w:val="2"/>
          </w:tcPr>
          <w:p>
            <w:pPr>
              <w:ind w:left="20"/>
              <w:spacing w:after="0" w:line="242" w:lineRule="exact"/>
              <w:rPr>
                <w:sz w:val="20"/>
                <w:szCs w:val="20"/>
                <w:color w:val="auto"/>
              </w:rPr>
            </w:pPr>
            <w:r>
              <w:rPr>
                <w:rFonts w:ascii="Arial" w:cs="Arial" w:eastAsia="Arial" w:hAnsi="Arial"/>
                <w:sz w:val="22"/>
                <w:szCs w:val="22"/>
                <w:color w:val="auto"/>
                <w:w w:val="91"/>
              </w:rPr>
              <w:t>for the Performance Goal: Threshold, Target and Extraordinary. Following the completion</w:t>
            </w:r>
          </w:p>
        </w:tc>
      </w:tr>
      <w:tr>
        <w:trPr>
          <w:trHeight w:val="243"/>
        </w:trPr>
        <w:tc>
          <w:tcPr>
            <w:tcW w:w="1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940" w:type="dxa"/>
            <w:vAlign w:val="bottom"/>
            <w:gridSpan w:val="2"/>
          </w:tcPr>
          <w:p>
            <w:pPr>
              <w:ind w:left="20"/>
              <w:spacing w:after="0" w:line="243" w:lineRule="exact"/>
              <w:rPr>
                <w:sz w:val="20"/>
                <w:szCs w:val="20"/>
                <w:color w:val="auto"/>
              </w:rPr>
            </w:pPr>
            <w:r>
              <w:rPr>
                <w:rFonts w:ascii="Arial" w:cs="Arial" w:eastAsia="Arial" w:hAnsi="Arial"/>
                <w:sz w:val="22"/>
                <w:szCs w:val="22"/>
                <w:color w:val="auto"/>
                <w:w w:val="92"/>
              </w:rPr>
              <w:t>of the Performance Period, the Plan Administrator shall determine and certify the actual</w:t>
            </w:r>
          </w:p>
        </w:tc>
      </w:tr>
      <w:tr>
        <w:trPr>
          <w:trHeight w:val="274"/>
        </w:trPr>
        <w:tc>
          <w:tcPr>
            <w:tcW w:w="1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940" w:type="dxa"/>
            <w:vAlign w:val="bottom"/>
            <w:gridSpan w:val="2"/>
          </w:tcPr>
          <w:p>
            <w:pPr>
              <w:ind w:left="20"/>
              <w:spacing w:after="0"/>
              <w:rPr>
                <w:sz w:val="20"/>
                <w:szCs w:val="20"/>
                <w:color w:val="auto"/>
              </w:rPr>
            </w:pPr>
            <w:r>
              <w:rPr>
                <w:rFonts w:ascii="Arial" w:cs="Arial" w:eastAsia="Arial" w:hAnsi="Arial"/>
                <w:sz w:val="22"/>
                <w:szCs w:val="22"/>
                <w:color w:val="auto"/>
              </w:rPr>
              <w:t>level of attainment</w:t>
            </w:r>
          </w:p>
        </w:tc>
      </w:tr>
      <w:tr>
        <w:trPr>
          <w:trHeight w:val="1590"/>
        </w:trPr>
        <w:tc>
          <w:tcPr>
            <w:tcW w:w="1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1" w:right="999" w:bottom="1440" w:gutter="0" w:footer="0" w:header="0"/>
        </w:sectPr>
      </w:pPr>
    </w:p>
    <w:bookmarkStart w:id="98" w:name="page99"/>
    <w:bookmarkEnd w:id="98"/>
    <w:p>
      <w:pPr>
        <w:jc w:val="both"/>
        <w:ind w:left="2000"/>
        <w:spacing w:after="0" w:line="246" w:lineRule="auto"/>
        <w:rPr>
          <w:sz w:val="20"/>
          <w:szCs w:val="20"/>
          <w:color w:val="auto"/>
        </w:rPr>
      </w:pPr>
      <w:r>
        <w:rPr>
          <w:rFonts w:ascii="Arial" w:cs="Arial" w:eastAsia="Arial" w:hAnsi="Arial"/>
          <w:sz w:val="21"/>
          <w:szCs w:val="21"/>
          <w:color w:val="auto"/>
        </w:rPr>
        <w:t>for the Performance Goal and shall then measure that level of attainment against the Threshold, Target and Extraordinary Levels set forth for that Performance Goal in attached Schedule I. The Plan Administrator generally expects to complete this determination within sixty (60) days after the end of the Performance Period. The maximum number of shares of Common Stock in which Participant can vest based upon the actual level of attainment of such Performance Goal shall initially be determined by applying the corresponding percentage below for that level of attainment to the number of Designated Shares set forth above:</w:t>
      </w:r>
    </w:p>
    <w:p>
      <w:pPr>
        <w:spacing w:after="0" w:line="201" w:lineRule="exact"/>
        <w:rPr>
          <w:sz w:val="20"/>
          <w:szCs w:val="20"/>
          <w:color w:val="auto"/>
        </w:rPr>
      </w:pPr>
    </w:p>
    <w:tbl>
      <w:tblPr>
        <w:tblLayout w:type="fixed"/>
        <w:tblInd w:w="2000" w:type="dxa"/>
        <w:tblCellMar>
          <w:top w:w="0" w:type="dxa"/>
          <w:left w:w="0" w:type="dxa"/>
          <w:bottom w:w="0" w:type="dxa"/>
          <w:right w:w="0" w:type="dxa"/>
        </w:tblCellMar>
      </w:tblPr>
      <w:tr>
        <w:trPr>
          <w:trHeight w:val="270"/>
        </w:trPr>
        <w:tc>
          <w:tcPr>
            <w:tcW w:w="3980" w:type="dxa"/>
            <w:vAlign w:val="bottom"/>
            <w:gridSpan w:val="2"/>
          </w:tcPr>
          <w:p>
            <w:pPr>
              <w:spacing w:after="0"/>
              <w:rPr>
                <w:sz w:val="20"/>
                <w:szCs w:val="20"/>
                <w:color w:val="auto"/>
              </w:rPr>
            </w:pPr>
            <w:r>
              <w:rPr>
                <w:rFonts w:ascii="Arial" w:cs="Arial" w:eastAsia="Arial" w:hAnsi="Arial"/>
                <w:sz w:val="22"/>
                <w:szCs w:val="22"/>
                <w:b w:val="1"/>
                <w:bCs w:val="1"/>
                <w:color w:val="auto"/>
              </w:rPr>
              <w:t>Level of Attainment</w:t>
            </w:r>
          </w:p>
        </w:tc>
        <w:tc>
          <w:tcPr>
            <w:tcW w:w="3940" w:type="dxa"/>
            <w:vAlign w:val="bottom"/>
          </w:tcPr>
          <w:p>
            <w:pPr>
              <w:ind w:left="380"/>
              <w:spacing w:after="0"/>
              <w:rPr>
                <w:sz w:val="20"/>
                <w:szCs w:val="20"/>
                <w:color w:val="auto"/>
              </w:rPr>
            </w:pPr>
            <w:r>
              <w:rPr>
                <w:rFonts w:ascii="Arial" w:cs="Arial" w:eastAsia="Arial" w:hAnsi="Arial"/>
                <w:sz w:val="22"/>
                <w:szCs w:val="22"/>
                <w:b w:val="1"/>
                <w:bCs w:val="1"/>
                <w:color w:val="auto"/>
                <w:w w:val="96"/>
              </w:rPr>
              <w:t>Percentage of Performance Shares</w:t>
            </w:r>
          </w:p>
        </w:tc>
      </w:tr>
      <w:tr>
        <w:trPr>
          <w:trHeight w:val="215"/>
        </w:trPr>
        <w:tc>
          <w:tcPr>
            <w:tcW w:w="372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Below the Threshold Level:</w:t>
            </w:r>
          </w:p>
        </w:tc>
        <w:tc>
          <w:tcPr>
            <w:tcW w:w="260" w:type="dxa"/>
            <w:vAlign w:val="bottom"/>
          </w:tcPr>
          <w:p>
            <w:pPr>
              <w:spacing w:after="0"/>
              <w:rPr>
                <w:sz w:val="18"/>
                <w:szCs w:val="18"/>
                <w:color w:val="auto"/>
              </w:rPr>
            </w:pPr>
          </w:p>
        </w:tc>
        <w:tc>
          <w:tcPr>
            <w:tcW w:w="394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87"/>
              </w:rPr>
              <w:t>0%</w:t>
            </w:r>
          </w:p>
        </w:tc>
      </w:tr>
      <w:tr>
        <w:trPr>
          <w:trHeight w:val="243"/>
        </w:trPr>
        <w:tc>
          <w:tcPr>
            <w:tcW w:w="3980" w:type="dxa"/>
            <w:vAlign w:val="bottom"/>
            <w:gridSpan w:val="2"/>
          </w:tcPr>
          <w:p>
            <w:pPr>
              <w:spacing w:after="0" w:line="243" w:lineRule="exact"/>
              <w:rPr>
                <w:sz w:val="20"/>
                <w:szCs w:val="20"/>
                <w:color w:val="auto"/>
              </w:rPr>
            </w:pPr>
            <w:r>
              <w:rPr>
                <w:rFonts w:ascii="Arial" w:cs="Arial" w:eastAsia="Arial" w:hAnsi="Arial"/>
                <w:sz w:val="22"/>
                <w:szCs w:val="22"/>
                <w:color w:val="auto"/>
              </w:rPr>
              <w:t>At the Threshold Level:</w:t>
            </w:r>
          </w:p>
        </w:tc>
        <w:tc>
          <w:tcPr>
            <w:tcW w:w="3940" w:type="dxa"/>
            <w:vAlign w:val="bottom"/>
          </w:tcPr>
          <w:p>
            <w:pPr>
              <w:jc w:val="center"/>
              <w:spacing w:after="0" w:line="243" w:lineRule="exact"/>
              <w:rPr>
                <w:sz w:val="20"/>
                <w:szCs w:val="20"/>
                <w:color w:val="auto"/>
              </w:rPr>
            </w:pPr>
            <w:r>
              <w:rPr>
                <w:rFonts w:ascii="Arial" w:cs="Arial" w:eastAsia="Arial" w:hAnsi="Arial"/>
                <w:sz w:val="22"/>
                <w:szCs w:val="22"/>
                <w:color w:val="auto"/>
                <w:w w:val="90"/>
              </w:rPr>
              <w:t>25%</w:t>
            </w:r>
          </w:p>
        </w:tc>
      </w:tr>
      <w:tr>
        <w:trPr>
          <w:trHeight w:val="243"/>
        </w:trPr>
        <w:tc>
          <w:tcPr>
            <w:tcW w:w="3980" w:type="dxa"/>
            <w:vAlign w:val="bottom"/>
            <w:gridSpan w:val="2"/>
          </w:tcPr>
          <w:p>
            <w:pPr>
              <w:spacing w:after="0" w:line="243" w:lineRule="exact"/>
              <w:rPr>
                <w:sz w:val="20"/>
                <w:szCs w:val="20"/>
                <w:color w:val="auto"/>
              </w:rPr>
            </w:pPr>
            <w:r>
              <w:rPr>
                <w:rFonts w:ascii="Arial" w:cs="Arial" w:eastAsia="Arial" w:hAnsi="Arial"/>
                <w:sz w:val="22"/>
                <w:szCs w:val="22"/>
                <w:color w:val="auto"/>
              </w:rPr>
              <w:t>At the Target Level:</w:t>
            </w:r>
          </w:p>
        </w:tc>
        <w:tc>
          <w:tcPr>
            <w:tcW w:w="3940" w:type="dxa"/>
            <w:vAlign w:val="bottom"/>
          </w:tcPr>
          <w:p>
            <w:pPr>
              <w:jc w:val="center"/>
              <w:spacing w:after="0" w:line="243" w:lineRule="exact"/>
              <w:rPr>
                <w:sz w:val="20"/>
                <w:szCs w:val="20"/>
                <w:color w:val="auto"/>
              </w:rPr>
            </w:pPr>
            <w:r>
              <w:rPr>
                <w:rFonts w:ascii="Arial" w:cs="Arial" w:eastAsia="Arial" w:hAnsi="Arial"/>
                <w:sz w:val="22"/>
                <w:szCs w:val="22"/>
                <w:color w:val="auto"/>
                <w:w w:val="88"/>
              </w:rPr>
              <w:t>100%</w:t>
            </w:r>
          </w:p>
        </w:tc>
      </w:tr>
      <w:tr>
        <w:trPr>
          <w:trHeight w:val="274"/>
        </w:trPr>
        <w:tc>
          <w:tcPr>
            <w:tcW w:w="3980" w:type="dxa"/>
            <w:vAlign w:val="bottom"/>
            <w:gridSpan w:val="2"/>
          </w:tcPr>
          <w:p>
            <w:pPr>
              <w:spacing w:after="0"/>
              <w:rPr>
                <w:sz w:val="20"/>
                <w:szCs w:val="20"/>
                <w:color w:val="auto"/>
              </w:rPr>
            </w:pPr>
            <w:r>
              <w:rPr>
                <w:rFonts w:ascii="Arial" w:cs="Arial" w:eastAsia="Arial" w:hAnsi="Arial"/>
                <w:sz w:val="22"/>
                <w:szCs w:val="22"/>
                <w:color w:val="auto"/>
              </w:rPr>
              <w:t>At the Extraordinary Level:</w:t>
            </w:r>
          </w:p>
        </w:tc>
        <w:tc>
          <w:tcPr>
            <w:tcW w:w="3940" w:type="dxa"/>
            <w:vAlign w:val="bottom"/>
          </w:tcPr>
          <w:p>
            <w:pPr>
              <w:jc w:val="center"/>
              <w:spacing w:after="0"/>
              <w:rPr>
                <w:sz w:val="20"/>
                <w:szCs w:val="20"/>
                <w:color w:val="auto"/>
              </w:rPr>
            </w:pPr>
            <w:r>
              <w:rPr>
                <w:rFonts w:ascii="Arial" w:cs="Arial" w:eastAsia="Arial" w:hAnsi="Arial"/>
                <w:sz w:val="22"/>
                <w:szCs w:val="22"/>
                <w:color w:val="auto"/>
                <w:w w:val="88"/>
              </w:rPr>
              <w:t>250%</w:t>
            </w:r>
          </w:p>
        </w:tc>
      </w:tr>
    </w:tbl>
    <w:p>
      <w:pPr>
        <w:spacing w:after="0" w:line="212" w:lineRule="exact"/>
        <w:rPr>
          <w:sz w:val="20"/>
          <w:szCs w:val="20"/>
          <w:color w:val="auto"/>
        </w:rPr>
      </w:pPr>
    </w:p>
    <w:p>
      <w:pPr>
        <w:jc w:val="both"/>
        <w:ind w:left="2000" w:hanging="11"/>
        <w:spacing w:after="0" w:line="238" w:lineRule="auto"/>
        <w:rPr>
          <w:sz w:val="20"/>
          <w:szCs w:val="20"/>
          <w:color w:val="auto"/>
        </w:rPr>
      </w:pPr>
      <w:r>
        <w:rPr>
          <w:rFonts w:ascii="Arial" w:cs="Arial" w:eastAsia="Arial" w:hAnsi="Arial"/>
          <w:sz w:val="22"/>
          <w:szCs w:val="22"/>
          <w:color w:val="auto"/>
        </w:rPr>
        <w:t>To the extent the actual level of attainment of the Performance Goal is at a point between the Threshold and Target Levels, the maximum number of shares of Common Stock in which Participant can vest shall be pro-rated between the two points on a straight line basis.</w:t>
      </w:r>
    </w:p>
    <w:p>
      <w:pPr>
        <w:spacing w:after="0" w:line="185" w:lineRule="exact"/>
        <w:rPr>
          <w:sz w:val="20"/>
          <w:szCs w:val="20"/>
          <w:color w:val="auto"/>
        </w:rPr>
      </w:pPr>
    </w:p>
    <w:p>
      <w:pPr>
        <w:jc w:val="both"/>
        <w:ind w:left="2000" w:hanging="11"/>
        <w:spacing w:after="0" w:line="238" w:lineRule="auto"/>
        <w:rPr>
          <w:sz w:val="20"/>
          <w:szCs w:val="20"/>
          <w:color w:val="auto"/>
        </w:rPr>
      </w:pPr>
      <w:r>
        <w:rPr>
          <w:rFonts w:ascii="Arial" w:cs="Arial" w:eastAsia="Arial" w:hAnsi="Arial"/>
          <w:sz w:val="22"/>
          <w:szCs w:val="22"/>
          <w:color w:val="auto"/>
        </w:rPr>
        <w:t>To the extent the actual level of attainment of a Performance Goal is at a point between the Target and Extraordinary Levels, the maximum number of shares of Common Stock in which Participant can vest shall be pro-rated between the two points on a straight line basis.</w:t>
      </w:r>
    </w:p>
    <w:p>
      <w:pPr>
        <w:spacing w:after="0" w:line="185" w:lineRule="exact"/>
        <w:rPr>
          <w:sz w:val="20"/>
          <w:szCs w:val="20"/>
          <w:color w:val="auto"/>
        </w:rPr>
      </w:pPr>
    </w:p>
    <w:p>
      <w:pPr>
        <w:jc w:val="both"/>
        <w:ind w:left="2000" w:hanging="11"/>
        <w:spacing w:after="0" w:line="236" w:lineRule="auto"/>
        <w:rPr>
          <w:sz w:val="20"/>
          <w:szCs w:val="20"/>
          <w:color w:val="auto"/>
        </w:rPr>
      </w:pPr>
      <w:r>
        <w:rPr>
          <w:rFonts w:ascii="Arial" w:cs="Arial" w:eastAsia="Arial" w:hAnsi="Arial"/>
          <w:sz w:val="22"/>
          <w:szCs w:val="22"/>
          <w:u w:val="single" w:color="auto"/>
          <w:color w:val="auto"/>
        </w:rPr>
        <w:t>Performance-Qualified Shares</w:t>
      </w: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maximum number of shares of Common Stock in which Participant can vest on the basis of the foregoing performance measures shall be hereinafter designated the “Performance-Qualified Shares” and shall in no event exceed in the aggregate 250% of the number of Designated Shares set forth in the Number of Shares Subject to Award section above.</w:t>
      </w:r>
    </w:p>
    <w:p>
      <w:pPr>
        <w:spacing w:after="0" w:line="187" w:lineRule="exact"/>
        <w:rPr>
          <w:sz w:val="20"/>
          <w:szCs w:val="20"/>
          <w:color w:val="auto"/>
        </w:rPr>
      </w:pPr>
    </w:p>
    <w:p>
      <w:pPr>
        <w:jc w:val="both"/>
        <w:ind w:left="2000" w:right="20"/>
        <w:spacing w:after="0" w:line="252" w:lineRule="auto"/>
        <w:rPr>
          <w:sz w:val="20"/>
          <w:szCs w:val="20"/>
          <w:color w:val="auto"/>
        </w:rPr>
      </w:pPr>
      <w:r>
        <w:rPr>
          <w:rFonts w:ascii="Arial" w:cs="Arial" w:eastAsia="Arial" w:hAnsi="Arial"/>
          <w:sz w:val="21"/>
          <w:szCs w:val="21"/>
          <w:b w:val="1"/>
          <w:bCs w:val="1"/>
          <w:i w:val="1"/>
          <w:iCs w:val="1"/>
          <w:color w:val="auto"/>
        </w:rPr>
        <w:t xml:space="preserve">Service Vesting. </w:t>
      </w:r>
      <w:r>
        <w:rPr>
          <w:rFonts w:ascii="Arial" w:cs="Arial" w:eastAsia="Arial" w:hAnsi="Arial"/>
          <w:sz w:val="21"/>
          <w:szCs w:val="21"/>
          <w:color w:val="auto"/>
        </w:rPr>
        <w:t>The number of Performance-Qualified Shares in which Participant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actually vests shall be determined on the basis of his or her satisfaction of the Service-vesting requirements set forth in Paragraph 3 of the form Performance Share Award Agreement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(the “Award Agreement”).</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Participant understands and agrees that the Award is granted subject to and in accordance with the terms of the Plan and hereby agrees to be bound by the terms of the Plan and the terms of the Award as set forth in the Award Agreement. Participant hereby acknowledges the receipt of a copy of the official prospectus for the Plan. A copy of the Plan is available upon request made to the Corporation’s Human Resources Department at the Corporation’s offices at 555 12</w:t>
      </w:r>
      <w:r>
        <w:rPr>
          <w:rFonts w:ascii="Arial" w:cs="Arial" w:eastAsia="Arial" w:hAnsi="Arial"/>
          <w:sz w:val="14"/>
          <w:szCs w:val="14"/>
          <w:color w:val="auto"/>
        </w:rPr>
        <w:t>th</w:t>
      </w:r>
      <w:r>
        <w:rPr>
          <w:rFonts w:ascii="Arial" w:cs="Arial" w:eastAsia="Arial" w:hAnsi="Arial"/>
          <w:sz w:val="19"/>
          <w:szCs w:val="19"/>
          <w:color w:val="auto"/>
        </w:rPr>
        <w:t xml:space="preserve"> Street, Oakland, California 94607. Participant agrees to electronic delivery of any and all communications relating to the Award, the Award Agreement or the Plan,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99" w:name="page100"/>
    <w:bookmarkEnd w:id="99"/>
    <w:p>
      <w:pPr>
        <w:spacing w:after="0" w:line="250" w:lineRule="auto"/>
        <w:rPr>
          <w:sz w:val="20"/>
          <w:szCs w:val="20"/>
          <w:color w:val="auto"/>
        </w:rPr>
      </w:pPr>
      <w:r>
        <w:rPr>
          <w:rFonts w:ascii="Arial" w:cs="Arial" w:eastAsia="Arial" w:hAnsi="Arial"/>
          <w:sz w:val="22"/>
          <w:szCs w:val="22"/>
          <w:color w:val="auto"/>
        </w:rPr>
        <w:t>documentation of the Award, the official prospectus for the Plan, and any and all other documents and materials relating to the Award, the Award Agreement or the Plan.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Coverage under Recoupment Policy</w:t>
      </w:r>
      <w:r>
        <w:rPr>
          <w:rFonts w:ascii="Arial" w:cs="Arial" w:eastAsia="Arial" w:hAnsi="Arial"/>
          <w:sz w:val="22"/>
          <w:szCs w:val="22"/>
          <w:color w:val="auto"/>
        </w:rPr>
        <w:t>. Participant hereby agrees that:</w:t>
      </w:r>
    </w:p>
    <w:p>
      <w:pPr>
        <w:spacing w:after="0" w:line="206" w:lineRule="exact"/>
        <w:rPr>
          <w:sz w:val="20"/>
          <w:szCs w:val="20"/>
          <w:color w:val="auto"/>
        </w:rPr>
      </w:pPr>
    </w:p>
    <w:p>
      <w:pPr>
        <w:jc w:val="both"/>
        <w:ind w:firstLine="1304"/>
        <w:spacing w:after="0"/>
        <w:tabs>
          <w:tab w:leader="none" w:pos="1944" w:val="left"/>
        </w:tabs>
        <w:numPr>
          <w:ilvl w:val="0"/>
          <w:numId w:val="86"/>
        </w:numPr>
        <w:rPr>
          <w:rFonts w:ascii="Arial" w:cs="Arial" w:eastAsia="Arial" w:hAnsi="Arial"/>
          <w:sz w:val="22"/>
          <w:szCs w:val="22"/>
          <w:color w:val="auto"/>
        </w:rPr>
      </w:pPr>
      <w:r>
        <w:rPr>
          <w:rFonts w:ascii="Arial" w:cs="Arial" w:eastAsia="Arial" w:hAnsi="Arial"/>
          <w:sz w:val="22"/>
          <w:szCs w:val="22"/>
          <w:color w:val="auto"/>
        </w:rPr>
        <w:t>Participant is subject to the Matson, Inc. Policy Regarding Recoupment of Certain Compensation, as it may be amended from time to time, the terms of which are hereby incorporated herein by reference and receipt of a copy of which Participant hereby acknowledges; and</w:t>
      </w:r>
    </w:p>
    <w:p>
      <w:pPr>
        <w:spacing w:after="0" w:line="186" w:lineRule="exact"/>
        <w:rPr>
          <w:rFonts w:ascii="Arial" w:cs="Arial" w:eastAsia="Arial" w:hAnsi="Arial"/>
          <w:sz w:val="22"/>
          <w:szCs w:val="22"/>
          <w:color w:val="auto"/>
        </w:rPr>
      </w:pPr>
    </w:p>
    <w:p>
      <w:pPr>
        <w:ind w:right="20" w:firstLine="1304"/>
        <w:spacing w:after="0" w:line="250" w:lineRule="auto"/>
        <w:tabs>
          <w:tab w:leader="none" w:pos="1944" w:val="left"/>
        </w:tabs>
        <w:numPr>
          <w:ilvl w:val="0"/>
          <w:numId w:val="86"/>
        </w:numPr>
        <w:rPr>
          <w:rFonts w:ascii="Arial" w:cs="Arial" w:eastAsia="Arial" w:hAnsi="Arial"/>
          <w:sz w:val="22"/>
          <w:szCs w:val="22"/>
          <w:color w:val="auto"/>
        </w:rPr>
      </w:pPr>
      <w:r>
        <w:rPr>
          <w:rFonts w:ascii="Arial" w:cs="Arial" w:eastAsia="Arial" w:hAnsi="Arial"/>
          <w:sz w:val="22"/>
          <w:szCs w:val="22"/>
          <w:color w:val="auto"/>
        </w:rPr>
        <w:t>any incentive compensation that is paid or granted to, or received by, Participant under the Award shall be subject to recovery and recoupment pursuant to the terms of such policy.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 copy of the recoupment policy is available upon request made to the Corporate Secretary.</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u w:val="single" w:color="auto"/>
          <w:color w:val="auto"/>
        </w:rPr>
        <w:t>Continuing Consent</w:t>
      </w:r>
      <w:r>
        <w:rPr>
          <w:rFonts w:ascii="Arial" w:cs="Arial" w:eastAsia="Arial" w:hAnsi="Arial"/>
          <w:sz w:val="19"/>
          <w:szCs w:val="19"/>
          <w:color w:val="auto"/>
        </w:rPr>
        <w:t>. Participant further acknowledges and agrees that, except to the extent the Plan Administrator notifies Participant in writing to the contrary, each subsequent award of Performance Shares made to him or her under the Plan shall be subject to the same terms and conditions set forth in the Award Agreement, and Participant hereby understands and agrees to those terms and conditions for each such subsequent Performance Shares award that may be made to him or her under the Plan and hereby agrees to be bound by those terms and conditions for any such Performance Share awards, without any further consent or action required on his or her part at the time or times when those awards may be made. However, Participant may, at any time he or she holds an outstanding Performance Share award under the Plan, request a written copy of the Award Agreement from the Corporation by contacting the Corporation’s Human Resources Department at the Corporation’s offices at 555 12</w:t>
      </w:r>
      <w:r>
        <w:rPr>
          <w:rFonts w:ascii="Arial" w:cs="Arial" w:eastAsia="Arial" w:hAnsi="Arial"/>
          <w:sz w:val="14"/>
          <w:szCs w:val="14"/>
          <w:color w:val="auto"/>
        </w:rPr>
        <w:t>th</w:t>
      </w:r>
      <w:r>
        <w:rPr>
          <w:rFonts w:ascii="Arial" w:cs="Arial" w:eastAsia="Arial" w:hAnsi="Arial"/>
          <w:sz w:val="19"/>
          <w:szCs w:val="19"/>
          <w:color w:val="auto"/>
        </w:rPr>
        <w:t xml:space="preserve"> Street, Oakland, California 94607.</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u w:val="single" w:color="auto"/>
          <w:color w:val="auto"/>
        </w:rPr>
        <w:t>Employment at Will</w:t>
      </w:r>
      <w:r>
        <w:rPr>
          <w:rFonts w:ascii="Arial" w:cs="Arial" w:eastAsia="Arial" w:hAnsi="Arial"/>
          <w:sz w:val="19"/>
          <w:szCs w:val="19"/>
          <w:color w:val="auto"/>
        </w:rPr>
        <w:t>. Nothing in this Notice or in the Award Agreement or in the Plan shall confer upon Participant any right to continue in Service for any period of specific duration or interfere with or otherwise restrict in any way the rights of the Corporation (or any Parent or Subsidiary employing or retaining Participant) or of Participant, which rights are hereby expressly reserved by each, to terminate Participant’s Service at any time for any reason or no reason with or without advance notice and with or without cause.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00" w:name="page101"/>
    <w:bookmarkEnd w:id="100"/>
    <w:p>
      <w:pPr>
        <w:spacing w:after="0" w:line="250" w:lineRule="auto"/>
        <w:rPr>
          <w:sz w:val="20"/>
          <w:szCs w:val="20"/>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All capitalized terms in this Notice shall have the meaning assigned to them in this Notice or in the Award Agreement.</w:t>
      </w:r>
    </w:p>
    <w:p>
      <w:pPr>
        <w:spacing w:after="0" w:line="209"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MATSON, INC.</w:t>
      </w:r>
    </w:p>
    <w:p>
      <w:pPr>
        <w:spacing w:after="0" w:line="239"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6985</wp:posOffset>
            </wp:positionV>
            <wp:extent cx="28289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3" w:lineRule="exact"/>
        <w:rPr>
          <w:sz w:val="20"/>
          <w:szCs w:val="20"/>
          <w:color w:val="auto"/>
        </w:rPr>
      </w:pPr>
    </w:p>
    <w:p>
      <w:pPr>
        <w:ind w:left="4980"/>
        <w:spacing w:after="0"/>
        <w:tabs>
          <w:tab w:leader="none" w:pos="62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6985</wp:posOffset>
            </wp:positionV>
            <wp:extent cx="28289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34" w:lineRule="exact"/>
        <w:rPr>
          <w:sz w:val="20"/>
          <w:szCs w:val="20"/>
          <w:color w:val="auto"/>
        </w:rPr>
      </w:pPr>
    </w:p>
    <w:p>
      <w:pPr>
        <w:ind w:left="6960"/>
        <w:spacing w:after="0"/>
        <w:rPr>
          <w:sz w:val="20"/>
          <w:szCs w:val="20"/>
          <w:color w:val="auto"/>
        </w:rPr>
      </w:pPr>
      <w:r>
        <w:rPr>
          <w:rFonts w:ascii="Arial" w:cs="Arial" w:eastAsia="Arial" w:hAnsi="Arial"/>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-151130</wp:posOffset>
            </wp:positionV>
            <wp:extent cx="28289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01" w:name="page102"/>
    <w:bookmarkEnd w:id="101"/>
    <w:p>
      <w:pPr>
        <w:ind w:left="4300"/>
        <w:spacing w:after="0"/>
        <w:rPr>
          <w:sz w:val="20"/>
          <w:szCs w:val="20"/>
          <w:color w:val="auto"/>
        </w:rPr>
      </w:pPr>
      <w:r>
        <w:rPr>
          <w:rFonts w:ascii="Arial" w:cs="Arial" w:eastAsia="Arial" w:hAnsi="Arial"/>
          <w:sz w:val="22"/>
          <w:szCs w:val="22"/>
          <w:b w:val="1"/>
          <w:bCs w:val="1"/>
          <w:color w:val="auto"/>
        </w:rPr>
        <w:t>SCHEDULE I</w:t>
      </w:r>
    </w:p>
    <w:p>
      <w:pPr>
        <w:spacing w:after="0" w:line="206" w:lineRule="exact"/>
        <w:rPr>
          <w:sz w:val="20"/>
          <w:szCs w:val="20"/>
          <w:color w:val="auto"/>
        </w:rPr>
      </w:pPr>
    </w:p>
    <w:p>
      <w:pPr>
        <w:ind w:left="2420"/>
        <w:spacing w:after="0"/>
        <w:rPr>
          <w:sz w:val="20"/>
          <w:szCs w:val="20"/>
          <w:color w:val="auto"/>
        </w:rPr>
      </w:pPr>
      <w:r>
        <w:rPr>
          <w:rFonts w:ascii="Arial" w:cs="Arial" w:eastAsia="Arial" w:hAnsi="Arial"/>
          <w:sz w:val="22"/>
          <w:szCs w:val="22"/>
          <w:b w:val="1"/>
          <w:bCs w:val="1"/>
          <w:color w:val="auto"/>
        </w:rPr>
        <w:t>PERFORMANCE PERIOD, PERFORMANCE GOAL</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AND LEVELS OF ATTAINMENT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PERFORMANCE PERIOD</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Performance Period shall be the three (3)-year period beginning January 1, 2021 and ending December 31, 2023.</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PERFORMANCE GOAL – RETURN ON INVESTED CAPITAL</w:t>
      </w:r>
    </w:p>
    <w:p>
      <w:pPr>
        <w:spacing w:after="0" w:line="20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The performance vesting requirement for this Award shall be tied to the level of attainment of the Average ROIC for the Performance Period. The required levels of attainment of Average ROIC for the Performance Period at the Threshold, Target and Extraordinary Levels are as follows:</w:t>
      </w:r>
    </w:p>
    <w:p>
      <w:pPr>
        <w:sectPr>
          <w:pgSz w:w="11900" w:h="16838" w:orient="portrait"/>
          <w:cols w:equalWidth="0" w:num="1">
            <w:col w:w="9920"/>
          </w:cols>
          <w:pgMar w:left="980" w:top="868" w:right="999" w:bottom="1440" w:gutter="0" w:footer="0" w:header="0"/>
        </w:sectPr>
      </w:pPr>
    </w:p>
    <w:p>
      <w:pPr>
        <w:spacing w:after="0" w:line="18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Threshold Level:</w:t>
      </w:r>
    </w:p>
    <w:p>
      <w:pPr>
        <w:ind w:left="1300"/>
        <w:spacing w:after="0" w:line="238" w:lineRule="auto"/>
        <w:rPr>
          <w:sz w:val="20"/>
          <w:szCs w:val="20"/>
          <w:color w:val="auto"/>
        </w:rPr>
      </w:pPr>
      <w:r>
        <w:rPr>
          <w:rFonts w:ascii="Arial" w:cs="Arial" w:eastAsia="Arial" w:hAnsi="Arial"/>
          <w:sz w:val="22"/>
          <w:szCs w:val="22"/>
          <w:color w:val="auto"/>
        </w:rPr>
        <w:t>Target Level:</w:t>
      </w:r>
    </w:p>
    <w:p>
      <w:pPr>
        <w:ind w:left="1300"/>
        <w:spacing w:after="0"/>
        <w:rPr>
          <w:sz w:val="20"/>
          <w:szCs w:val="20"/>
          <w:color w:val="auto"/>
        </w:rPr>
      </w:pPr>
      <w:r>
        <w:rPr>
          <w:rFonts w:ascii="Arial" w:cs="Arial" w:eastAsia="Arial" w:hAnsi="Arial"/>
          <w:sz w:val="19"/>
          <w:szCs w:val="19"/>
          <w:color w:val="auto"/>
        </w:rPr>
        <w:t>Extraordinary Level</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38" w:lineRule="auto"/>
        <w:rPr>
          <w:sz w:val="20"/>
          <w:szCs w:val="20"/>
          <w:color w:val="auto"/>
        </w:rPr>
      </w:pPr>
      <w:r>
        <w:rPr>
          <w:rFonts w:ascii="Arial" w:cs="Arial" w:eastAsia="Arial" w:hAnsi="Arial"/>
          <w:sz w:val="22"/>
          <w:szCs w:val="22"/>
          <w:color w:val="auto"/>
        </w:rPr>
        <w:t>[●] %</w:t>
      </w:r>
    </w:p>
    <w:p>
      <w:pPr>
        <w:spacing w:after="0"/>
        <w:rPr>
          <w:sz w:val="20"/>
          <w:szCs w:val="20"/>
          <w:color w:val="auto"/>
        </w:rPr>
      </w:pPr>
      <w:r>
        <w:rPr>
          <w:rFonts w:ascii="Arial" w:cs="Arial" w:eastAsia="Arial" w:hAnsi="Arial"/>
          <w:sz w:val="22"/>
          <w:szCs w:val="22"/>
          <w:color w:val="auto"/>
        </w:rPr>
        <w:t>[●] %</w:t>
      </w:r>
    </w:p>
    <w:p>
      <w:pPr>
        <w:spacing w:after="0" w:line="188" w:lineRule="exact"/>
        <w:rPr>
          <w:sz w:val="20"/>
          <w:szCs w:val="20"/>
          <w:color w:val="auto"/>
        </w:rPr>
      </w:pPr>
    </w:p>
    <w:p>
      <w:pPr>
        <w:sectPr>
          <w:pgSz w:w="11900" w:h="16838" w:orient="portrait"/>
          <w:cols w:equalWidth="0" w:num="2">
            <w:col w:w="3980" w:space="720"/>
            <w:col w:w="5220"/>
          </w:cols>
          <w:pgMar w:left="980" w:top="868" w:right="999" w:bottom="1440" w:gutter="0" w:footer="0" w:header="0"/>
          <w:type w:val="continuous"/>
        </w:sectPr>
      </w:pPr>
    </w:p>
    <w:p>
      <w:pPr>
        <w:spacing w:after="0"/>
        <w:rPr>
          <w:sz w:val="20"/>
          <w:szCs w:val="20"/>
          <w:color w:val="auto"/>
        </w:rPr>
      </w:pPr>
      <w:r>
        <w:rPr>
          <w:rFonts w:ascii="Arial" w:cs="Arial" w:eastAsia="Arial" w:hAnsi="Arial"/>
          <w:sz w:val="19"/>
          <w:szCs w:val="19"/>
          <w:color w:val="auto"/>
        </w:rPr>
        <w:t>“Average ROIC” shall be the percentage, rounded down to the nearest tenth of a percent, determined as follows: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Annual ROIC for 2021 +Annual ROIC for 2022 +Annual ROIC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6985</wp:posOffset>
            </wp:positionV>
            <wp:extent cx="42430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0">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“Annual ROIC” for a calendar year shall be the percentage determined as follows:</w:t>
      </w:r>
    </w:p>
    <w:p>
      <w:pPr>
        <w:spacing w:after="0" w:line="233" w:lineRule="exact"/>
        <w:rPr>
          <w:sz w:val="20"/>
          <w:szCs w:val="20"/>
          <w:color w:val="auto"/>
        </w:rPr>
      </w:pPr>
    </w:p>
    <w:tbl>
      <w:tblPr>
        <w:tblLayout w:type="fixed"/>
        <w:tblInd w:w="2120" w:type="dxa"/>
        <w:tblCellMar>
          <w:top w:w="0" w:type="dxa"/>
          <w:left w:w="0" w:type="dxa"/>
          <w:bottom w:w="0" w:type="dxa"/>
          <w:right w:w="0" w:type="dxa"/>
        </w:tblCellMar>
      </w:tblPr>
      <w:tr>
        <w:trPr>
          <w:trHeight w:val="264"/>
        </w:trPr>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Net Income After Tax + After Tax Interest Expense</w:t>
            </w:r>
          </w:p>
        </w:tc>
        <w:tc>
          <w:tcPr>
            <w:tcW w:w="640" w:type="dxa"/>
            <w:vAlign w:val="bottom"/>
            <w:vMerge w:val="restart"/>
          </w:tcPr>
          <w:p>
            <w:pPr>
              <w:ind w:left="160"/>
              <w:spacing w:after="0"/>
              <w:rPr>
                <w:sz w:val="20"/>
                <w:szCs w:val="20"/>
                <w:color w:val="auto"/>
              </w:rPr>
            </w:pPr>
            <w:r>
              <w:rPr>
                <w:rFonts w:ascii="Arial" w:cs="Arial" w:eastAsia="Arial" w:hAnsi="Arial"/>
                <w:sz w:val="22"/>
                <w:szCs w:val="22"/>
                <w:color w:val="auto"/>
                <w:w w:val="85"/>
              </w:rPr>
              <w:t>x 100</w:t>
            </w:r>
          </w:p>
        </w:tc>
        <w:tc>
          <w:tcPr>
            <w:tcW w:w="0" w:type="dxa"/>
            <w:vAlign w:val="bottom"/>
          </w:tcPr>
          <w:p>
            <w:pPr>
              <w:spacing w:after="0"/>
              <w:rPr>
                <w:sz w:val="1"/>
                <w:szCs w:val="1"/>
                <w:color w:val="auto"/>
              </w:rPr>
            </w:pPr>
          </w:p>
        </w:tc>
      </w:tr>
      <w:tr>
        <w:trPr>
          <w:trHeight w:val="112"/>
        </w:trPr>
        <w:tc>
          <w:tcPr>
            <w:tcW w:w="4860" w:type="dxa"/>
            <w:vAlign w:val="bottom"/>
            <w:vMerge w:val="restart"/>
          </w:tcPr>
          <w:p>
            <w:pPr>
              <w:jc w:val="center"/>
              <w:spacing w:after="0"/>
              <w:rPr>
                <w:sz w:val="20"/>
                <w:szCs w:val="20"/>
                <w:color w:val="auto"/>
              </w:rPr>
            </w:pPr>
            <w:r>
              <w:rPr>
                <w:rFonts w:ascii="Arial" w:cs="Arial" w:eastAsia="Arial" w:hAnsi="Arial"/>
                <w:sz w:val="22"/>
                <w:szCs w:val="22"/>
                <w:color w:val="auto"/>
                <w:w w:val="88"/>
              </w:rPr>
              <w:t>Average Debt + Average Total Shareholders’ Equity</w:t>
            </w: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86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Annual ROIC for a calendar year shall be calculated on a consolidated basis with the Corporation’s consolidated subsidiaries for U.S. financial reporting purposes and shall be determined on the basis of the Corporation’s audited financial statements for such year prepared in accordance with United States generally accepted accounting principles, subject to any adjustments as determined by the Plan Administrator that are needed to accurately reflect the performance of the Corporation (e.g., because of changes in accounting rules, extraordinary gains from the sale of the Corporation’s assets, unforeseen extraordinary events affecting the Corporation or any of its business operations, or other similar or dissimilar circumstances occurring during the Performance Period that may or may not have been beyond the control of the Corporation).</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“Average Debt” for a calendar year means the average of the Debt at the beginning of the year and Debt at the end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type w:val="continuous"/>
        </w:sectPr>
      </w:pPr>
    </w:p>
    <w:bookmarkStart w:id="102" w:name="page103"/>
    <w:bookmarkEnd w:id="102"/>
    <w:p>
      <w:pPr>
        <w:jc w:val="both"/>
        <w:spacing w:after="0"/>
        <w:rPr>
          <w:sz w:val="20"/>
          <w:szCs w:val="20"/>
          <w:color w:val="auto"/>
        </w:rPr>
      </w:pPr>
      <w:r>
        <w:rPr>
          <w:rFonts w:ascii="Arial" w:cs="Arial" w:eastAsia="Arial" w:hAnsi="Arial"/>
          <w:sz w:val="22"/>
          <w:szCs w:val="22"/>
          <w:color w:val="auto"/>
        </w:rPr>
        <w:t>“Debt” means long-term debt plus notes payable and current portion of the long term debt, as determined in accordance with United States generally accepted accounting principles, and is intended to include potential convertible debt and other hybrid debt issued in the future.</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Unless otherwise defined above or in the Notice of Award of Performance Shares to which this Schedule is attached, capitalized terms used in this Schedule shall be construed in accordance with accounting principles generally accepted in the United States.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MATSON,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PERFORMANCE SHARE AWARD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RECITALS</w:t>
      </w:r>
    </w:p>
    <w:p>
      <w:pPr>
        <w:spacing w:after="0" w:line="239" w:lineRule="exact"/>
        <w:rPr>
          <w:sz w:val="20"/>
          <w:szCs w:val="20"/>
          <w:color w:val="auto"/>
        </w:rPr>
      </w:pPr>
    </w:p>
    <w:p>
      <w:pPr>
        <w:jc w:val="both"/>
        <w:ind w:firstLine="1304"/>
        <w:spacing w:after="0" w:line="282" w:lineRule="auto"/>
        <w:tabs>
          <w:tab w:leader="none" w:pos="1944" w:val="left"/>
        </w:tabs>
        <w:numPr>
          <w:ilvl w:val="0"/>
          <w:numId w:val="87"/>
        </w:numPr>
        <w:rPr>
          <w:rFonts w:ascii="Arial" w:cs="Arial" w:eastAsia="Arial" w:hAnsi="Arial"/>
          <w:sz w:val="19"/>
          <w:szCs w:val="19"/>
          <w:color w:val="auto"/>
        </w:rPr>
      </w:pPr>
      <w:r>
        <w:rPr>
          <w:rFonts w:ascii="Arial" w:cs="Arial" w:eastAsia="Arial" w:hAnsi="Arial"/>
          <w:sz w:val="19"/>
          <w:szCs w:val="19"/>
          <w:color w:val="auto"/>
        </w:rPr>
        <w:t>Matson, Inc., a Hawaii corporation (along with any subsequent corporate successor to all or substantially all of the assets or voting stock of Matson, Inc., which has by appropriate action assumed the Plan, the “Corporation”), has implemented the Plan for the purpose of providing eligible persons in the Corporation’s service with the opportunity to participate in one or more cash or equity incentive compensation programs designed to motivate, attract and retain the services of persons who contribute to the success of the Corporation.</w:t>
      </w:r>
    </w:p>
    <w:p>
      <w:pPr>
        <w:spacing w:after="0" w:line="147" w:lineRule="exact"/>
        <w:rPr>
          <w:rFonts w:ascii="Arial" w:cs="Arial" w:eastAsia="Arial" w:hAnsi="Arial"/>
          <w:sz w:val="19"/>
          <w:szCs w:val="19"/>
          <w:color w:val="auto"/>
        </w:rPr>
      </w:pPr>
    </w:p>
    <w:p>
      <w:pPr>
        <w:jc w:val="both"/>
        <w:ind w:firstLine="1304"/>
        <w:spacing w:after="0" w:line="297" w:lineRule="auto"/>
        <w:tabs>
          <w:tab w:leader="none" w:pos="1944" w:val="left"/>
        </w:tabs>
        <w:numPr>
          <w:ilvl w:val="0"/>
          <w:numId w:val="87"/>
        </w:numPr>
        <w:rPr>
          <w:rFonts w:ascii="Arial" w:cs="Arial" w:eastAsia="Arial" w:hAnsi="Arial"/>
          <w:sz w:val="19"/>
          <w:szCs w:val="19"/>
          <w:color w:val="auto"/>
        </w:rPr>
      </w:pPr>
      <w:r>
        <w:rPr>
          <w:rFonts w:ascii="Arial" w:cs="Arial" w:eastAsia="Arial" w:hAnsi="Arial"/>
          <w:sz w:val="19"/>
          <w:szCs w:val="19"/>
          <w:color w:val="auto"/>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spacing w:after="0" w:line="133" w:lineRule="exact"/>
        <w:rPr>
          <w:rFonts w:ascii="Arial" w:cs="Arial" w:eastAsia="Arial" w:hAnsi="Arial"/>
          <w:sz w:val="19"/>
          <w:szCs w:val="19"/>
          <w:color w:val="auto"/>
        </w:rPr>
      </w:pPr>
    </w:p>
    <w:p>
      <w:pPr>
        <w:ind w:firstLine="1304"/>
        <w:spacing w:after="0" w:line="250" w:lineRule="auto"/>
        <w:tabs>
          <w:tab w:leader="none" w:pos="1944"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All capitalized terms in this Agreement shall have the meaning assigned to them in the attached </w:t>
      </w:r>
      <w:r>
        <w:rPr>
          <w:rFonts w:ascii="Arial" w:cs="Arial" w:eastAsia="Arial" w:hAnsi="Arial"/>
          <w:sz w:val="22"/>
          <w:szCs w:val="22"/>
          <w:u w:val="single" w:color="auto"/>
          <w:color w:val="auto"/>
        </w:rPr>
        <w:t>Appendix A</w:t>
      </w:r>
      <w:r>
        <w:rPr>
          <w:rFonts w:ascii="Arial" w:cs="Arial" w:eastAsia="Arial" w:hAnsi="Arial"/>
          <w:sz w:val="22"/>
          <w:szCs w:val="22"/>
          <w:color w:val="auto"/>
        </w:rPr>
        <w:t>, or if not defined in that appendix, as defined in the Plan.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it is hereby agreed as follows:</w:t>
      </w:r>
    </w:p>
    <w:p>
      <w:pPr>
        <w:spacing w:after="0" w:line="206" w:lineRule="exact"/>
        <w:rPr>
          <w:sz w:val="20"/>
          <w:szCs w:val="20"/>
          <w:color w:val="auto"/>
        </w:rPr>
      </w:pPr>
    </w:p>
    <w:p>
      <w:pPr>
        <w:jc w:val="both"/>
        <w:ind w:firstLine="1304"/>
        <w:spacing w:after="0" w:line="254" w:lineRule="auto"/>
        <w:tabs>
          <w:tab w:leader="none" w:pos="1944" w:val="left"/>
        </w:tabs>
        <w:numPr>
          <w:ilvl w:val="0"/>
          <w:numId w:val="88"/>
        </w:numPr>
        <w:rPr>
          <w:rFonts w:ascii="Arial" w:cs="Arial" w:eastAsia="Arial" w:hAnsi="Arial"/>
          <w:sz w:val="21"/>
          <w:szCs w:val="21"/>
          <w:color w:val="auto"/>
        </w:rPr>
      </w:pPr>
      <w:r>
        <w:rPr>
          <w:rFonts w:ascii="Arial" w:cs="Arial" w:eastAsia="Arial" w:hAnsi="Arial"/>
          <w:sz w:val="21"/>
          <w:szCs w:val="21"/>
          <w:b w:val="1"/>
          <w:bCs w:val="1"/>
          <w:u w:val="single" w:color="auto"/>
          <w:color w:val="auto"/>
        </w:rPr>
        <w:t>Grant of Performance Shares</w:t>
      </w:r>
      <w:r>
        <w:rPr>
          <w:rFonts w:ascii="Arial" w:cs="Arial" w:eastAsia="Arial" w:hAnsi="Arial"/>
          <w:sz w:val="21"/>
          <w:szCs w:val="21"/>
          <w:color w:val="auto"/>
        </w:rPr>
        <w:t>. The Corporation hereby awards to Participant, as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Award Date, Performance Shares under the Plan. The number of shares of Common Stock underlying the award and the applicable performance vesting requirements for those shares are set forth in the Award Notice. The remaining terms and conditions governing the Award shall be as set forth in this Agreement.</w:t>
      </w:r>
    </w:p>
    <w:p>
      <w:pPr>
        <w:spacing w:after="0" w:line="165" w:lineRule="exact"/>
        <w:rPr>
          <w:rFonts w:ascii="Arial" w:cs="Arial" w:eastAsia="Arial" w:hAnsi="Arial"/>
          <w:sz w:val="21"/>
          <w:szCs w:val="21"/>
          <w:color w:val="auto"/>
        </w:rPr>
      </w:pPr>
    </w:p>
    <w:p>
      <w:pPr>
        <w:jc w:val="both"/>
        <w:ind w:firstLine="1304"/>
        <w:spacing w:after="0" w:line="273" w:lineRule="auto"/>
        <w:tabs>
          <w:tab w:leader="none" w:pos="2012" w:val="left"/>
        </w:tabs>
        <w:numPr>
          <w:ilvl w:val="0"/>
          <w:numId w:val="88"/>
        </w:numPr>
        <w:rPr>
          <w:rFonts w:ascii="Arial" w:cs="Arial" w:eastAsia="Arial" w:hAnsi="Arial"/>
          <w:sz w:val="19"/>
          <w:szCs w:val="19"/>
          <w:color w:val="auto"/>
        </w:rPr>
      </w:pPr>
      <w:r>
        <w:rPr>
          <w:rFonts w:ascii="Arial" w:cs="Arial" w:eastAsia="Arial" w:hAnsi="Arial"/>
          <w:sz w:val="19"/>
          <w:szCs w:val="19"/>
          <w:b w:val="1"/>
          <w:bCs w:val="1"/>
          <w:u w:val="single" w:color="auto"/>
          <w:color w:val="auto"/>
        </w:rPr>
        <w:t>Limited Transferability</w:t>
      </w:r>
      <w:r>
        <w:rPr>
          <w:rFonts w:ascii="Arial" w:cs="Arial" w:eastAsia="Arial" w:hAnsi="Arial"/>
          <w:sz w:val="19"/>
          <w:szCs w:val="19"/>
          <w:color w:val="auto"/>
        </w:rPr>
        <w:t>. Prior to the actual issuance of the Shares which vest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may not transfer any interest in the Performance Shares subject to the Award or the underlying Shares or pledge or otherwise hedge the sale of those Performance Shares or underlying Shares, including (without limitation) any short sale or any acquisition or disposition of any put or call option or other instrument tied to the value of those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vest and become issuable hereunder in the name of a revocable living trust established for the exclusive benefit of either Participant or Participant and his or her spouse. Participant may make such a beneficiary designation or ownership directive at any time by filing the appropriate form with the Plan Administrator or its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04" w:name="page105"/>
    <w:bookmarkEnd w:id="104"/>
    <w:p>
      <w:pPr>
        <w:jc w:val="both"/>
        <w:ind w:firstLine="1304"/>
        <w:spacing w:after="0" w:line="278" w:lineRule="auto"/>
        <w:tabs>
          <w:tab w:leader="none" w:pos="1944" w:val="left"/>
        </w:tabs>
        <w:numPr>
          <w:ilvl w:val="0"/>
          <w:numId w:val="89"/>
        </w:numPr>
        <w:rPr>
          <w:rFonts w:ascii="Arial" w:cs="Arial" w:eastAsia="Arial" w:hAnsi="Arial"/>
          <w:sz w:val="19"/>
          <w:szCs w:val="19"/>
          <w:color w:val="auto"/>
        </w:rPr>
      </w:pPr>
      <w:r>
        <w:rPr>
          <w:rFonts w:ascii="Arial" w:cs="Arial" w:eastAsia="Arial" w:hAnsi="Arial"/>
          <w:sz w:val="19"/>
          <w:szCs w:val="19"/>
          <w:b w:val="1"/>
          <w:bCs w:val="1"/>
          <w:u w:val="single" w:color="auto"/>
          <w:color w:val="auto"/>
        </w:rPr>
        <w:t>Vesting Requirements</w:t>
      </w:r>
      <w:r>
        <w:rPr>
          <w:rFonts w:ascii="Arial" w:cs="Arial" w:eastAsia="Arial" w:hAnsi="Arial"/>
          <w:sz w:val="19"/>
          <w:szCs w:val="19"/>
          <w:color w:val="auto"/>
        </w:rPr>
        <w:t>. The actual number of Shares that may vest and become issuable</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the Performance Shares shall be determined pursuant to a two-step process: (i) first there shall be calculated the maximum number of Shares in which Participant can vest based upon the level at which the Performance Goal specified on Schedule I to the Award Notice is actually attained and (ii) then the number of the Performance-Qualified Shares resulting from the clause (i) calculation in which Participant shall actually vest shall be determined on the basis of his or her completion of the applicable Service vesting provisions set forth below. Accordingly, the vesting of the Shares shall be calculated as follows:</w:t>
      </w:r>
    </w:p>
    <w:p>
      <w:pPr>
        <w:spacing w:after="0" w:line="151" w:lineRule="exact"/>
        <w:rPr>
          <w:rFonts w:ascii="Arial" w:cs="Arial" w:eastAsia="Arial" w:hAnsi="Arial"/>
          <w:sz w:val="19"/>
          <w:szCs w:val="19"/>
          <w:color w:val="auto"/>
        </w:rPr>
      </w:pPr>
    </w:p>
    <w:p>
      <w:pPr>
        <w:jc w:val="both"/>
        <w:ind w:firstLine="1952"/>
        <w:spacing w:after="0" w:line="279" w:lineRule="auto"/>
        <w:tabs>
          <w:tab w:leader="none" w:pos="2592" w:val="left"/>
        </w:tabs>
        <w:numPr>
          <w:ilvl w:val="1"/>
          <w:numId w:val="89"/>
        </w:numPr>
        <w:rPr>
          <w:rFonts w:ascii="Arial" w:cs="Arial" w:eastAsia="Arial" w:hAnsi="Arial"/>
          <w:sz w:val="19"/>
          <w:szCs w:val="19"/>
          <w:color w:val="auto"/>
        </w:rPr>
      </w:pPr>
      <w:r>
        <w:rPr>
          <w:rFonts w:ascii="Arial" w:cs="Arial" w:eastAsia="Arial" w:hAnsi="Arial"/>
          <w:sz w:val="19"/>
          <w:szCs w:val="19"/>
          <w:b w:val="1"/>
          <w:bCs w:val="1"/>
          <w:i w:val="1"/>
          <w:iCs w:val="1"/>
          <w:color w:val="auto"/>
        </w:rPr>
        <w:t>Performance Vesting</w:t>
      </w:r>
      <w:r>
        <w:rPr>
          <w:rFonts w:ascii="Arial" w:cs="Arial" w:eastAsia="Arial" w:hAnsi="Arial"/>
          <w:sz w:val="19"/>
          <w:szCs w:val="19"/>
          <w:color w:val="auto"/>
        </w:rPr>
        <w:t>: Following the completion of the Performance Period,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Plan Administrator shall determine the applicable number of Performance-Qualified Shares in accordance with the provisions of the Award Notice and Schedule I attached thereto. The Plan Administrator generally expects to complete this determination within sixty (60) days after the end of the Performance Period. </w:t>
      </w:r>
      <w:r>
        <w:rPr>
          <w:rFonts w:ascii="Arial" w:cs="Arial" w:eastAsia="Arial" w:hAnsi="Arial"/>
          <w:sz w:val="19"/>
          <w:szCs w:val="19"/>
          <w:u w:val="single" w:color="auto"/>
          <w:color w:val="auto"/>
        </w:rPr>
        <w:t>Appendix B</w:t>
      </w:r>
      <w:r>
        <w:rPr>
          <w:rFonts w:ascii="Arial" w:cs="Arial" w:eastAsia="Arial" w:hAnsi="Arial"/>
          <w:sz w:val="19"/>
          <w:szCs w:val="19"/>
          <w:color w:val="auto"/>
        </w:rPr>
        <w:t xml:space="preserve"> attached to this Agreement sets forth examples illustrating the calculation of the number of Shares in which the Participant may vest based upon hypothetical levels of Performance Goal attainment and service vesting requirements.</w:t>
      </w:r>
    </w:p>
    <w:p>
      <w:pPr>
        <w:spacing w:after="0" w:line="150" w:lineRule="exact"/>
        <w:rPr>
          <w:rFonts w:ascii="Arial" w:cs="Arial" w:eastAsia="Arial" w:hAnsi="Arial"/>
          <w:sz w:val="19"/>
          <w:szCs w:val="19"/>
          <w:color w:val="auto"/>
        </w:rPr>
      </w:pPr>
    </w:p>
    <w:p>
      <w:pPr>
        <w:jc w:val="both"/>
        <w:ind w:firstLine="1952"/>
        <w:spacing w:after="0"/>
        <w:tabs>
          <w:tab w:leader="none" w:pos="2592" w:val="left"/>
        </w:tabs>
        <w:numPr>
          <w:ilvl w:val="1"/>
          <w:numId w:val="89"/>
        </w:numPr>
        <w:rPr>
          <w:rFonts w:ascii="Arial" w:cs="Arial" w:eastAsia="Arial" w:hAnsi="Arial"/>
          <w:sz w:val="22"/>
          <w:szCs w:val="22"/>
          <w:color w:val="auto"/>
        </w:rPr>
      </w:pPr>
      <w:r>
        <w:rPr>
          <w:rFonts w:ascii="Arial" w:cs="Arial" w:eastAsia="Arial" w:hAnsi="Arial"/>
          <w:sz w:val="22"/>
          <w:szCs w:val="22"/>
          <w:b w:val="1"/>
          <w:bCs w:val="1"/>
          <w:i w:val="1"/>
          <w:iCs w:val="1"/>
          <w:color w:val="auto"/>
        </w:rPr>
        <w:t>Service Vesting</w:t>
      </w:r>
      <w:r>
        <w:rPr>
          <w:rFonts w:ascii="Arial" w:cs="Arial" w:eastAsia="Arial" w:hAnsi="Arial"/>
          <w:sz w:val="22"/>
          <w:szCs w:val="22"/>
          <w:color w:val="auto"/>
        </w:rPr>
        <w:t>: The Performance-Qualified Shares so determined represent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maximum number of Shares in which Participant can vest hereunder. The actual number of Shares in which Participant shall vest shall be determined as follows:</w:t>
      </w:r>
    </w:p>
    <w:p>
      <w:pPr>
        <w:spacing w:after="0" w:line="186" w:lineRule="exact"/>
        <w:rPr>
          <w:rFonts w:ascii="Arial" w:cs="Arial" w:eastAsia="Arial" w:hAnsi="Arial"/>
          <w:sz w:val="22"/>
          <w:szCs w:val="22"/>
          <w:color w:val="auto"/>
        </w:rPr>
      </w:pPr>
    </w:p>
    <w:p>
      <w:pPr>
        <w:jc w:val="both"/>
        <w:ind w:left="660" w:firstLine="1940"/>
        <w:spacing w:after="0" w:line="234" w:lineRule="auto"/>
        <w:tabs>
          <w:tab w:leader="none" w:pos="3252" w:val="left"/>
        </w:tabs>
        <w:numPr>
          <w:ilvl w:val="2"/>
          <w:numId w:val="89"/>
        </w:numPr>
        <w:rPr>
          <w:rFonts w:ascii="Arial" w:cs="Arial" w:eastAsia="Arial" w:hAnsi="Arial"/>
          <w:sz w:val="22"/>
          <w:szCs w:val="22"/>
          <w:color w:val="auto"/>
        </w:rPr>
      </w:pPr>
      <w:r>
        <w:rPr>
          <w:rFonts w:ascii="Arial" w:cs="Arial" w:eastAsia="Arial" w:hAnsi="Arial"/>
          <w:sz w:val="22"/>
          <w:szCs w:val="22"/>
          <w:color w:val="auto"/>
        </w:rPr>
        <w:t xml:space="preserve">If Participant continues in Service through the Service Vesting Date, Participant shall vest in all of the Performance-Qualified Shares. The Shares underlying those particular Performance-Qualified Shares shall generally be issued to Participant during the period beginning with the Service Vesting Date and ending on March 15th of that year; </w:t>
      </w:r>
      <w:r>
        <w:rPr>
          <w:rFonts w:ascii="Arial" w:cs="Arial" w:eastAsia="Arial" w:hAnsi="Arial"/>
          <w:sz w:val="22"/>
          <w:szCs w:val="22"/>
          <w:u w:val="single" w:color="auto"/>
          <w:color w:val="auto"/>
        </w:rPr>
        <w:t>provide</w:t>
      </w:r>
      <w:r>
        <w:rPr>
          <w:rFonts w:ascii="Arial" w:cs="Arial" w:eastAsia="Arial" w:hAnsi="Arial"/>
          <w:sz w:val="22"/>
          <w:szCs w:val="22"/>
          <w:color w:val="auto"/>
        </w:rPr>
        <w:t>d that, if the Service Vesting Date is after the end of the Performance Period, then the Shares shall be issued as soon as administratively practicable after the Service Vesting Date, but in no event later than sixty (60) days after the Service Vesting Date.</w:t>
      </w:r>
    </w:p>
    <w:p>
      <w:pPr>
        <w:spacing w:after="0" w:line="190" w:lineRule="exact"/>
        <w:rPr>
          <w:rFonts w:ascii="Arial" w:cs="Arial" w:eastAsia="Arial" w:hAnsi="Arial"/>
          <w:sz w:val="22"/>
          <w:szCs w:val="22"/>
          <w:color w:val="auto"/>
        </w:rPr>
      </w:pPr>
    </w:p>
    <w:p>
      <w:pPr>
        <w:jc w:val="both"/>
        <w:ind w:left="660" w:firstLine="1940"/>
        <w:spacing w:after="0" w:line="272" w:lineRule="auto"/>
        <w:tabs>
          <w:tab w:leader="none" w:pos="3252" w:val="left"/>
        </w:tabs>
        <w:numPr>
          <w:ilvl w:val="2"/>
          <w:numId w:val="89"/>
        </w:numPr>
        <w:rPr>
          <w:rFonts w:ascii="Arial" w:cs="Arial" w:eastAsia="Arial" w:hAnsi="Arial"/>
          <w:sz w:val="19"/>
          <w:szCs w:val="19"/>
          <w:color w:val="auto"/>
        </w:rPr>
      </w:pPr>
      <w:r>
        <w:rPr>
          <w:rFonts w:ascii="Arial" w:cs="Arial" w:eastAsia="Arial" w:hAnsi="Arial"/>
          <w:sz w:val="19"/>
          <w:szCs w:val="19"/>
          <w:color w:val="auto"/>
        </w:rPr>
        <w:t xml:space="preserve">If Participant ceases Service </w:t>
      </w:r>
      <w:r>
        <w:rPr>
          <w:rFonts w:ascii="Arial" w:cs="Arial" w:eastAsia="Arial" w:hAnsi="Arial"/>
          <w:sz w:val="19"/>
          <w:szCs w:val="19"/>
          <w:b w:val="1"/>
          <w:bCs w:val="1"/>
          <w:i w:val="1"/>
          <w:iCs w:val="1"/>
          <w:color w:val="auto"/>
        </w:rPr>
        <w:t>prior to</w:t>
      </w:r>
      <w:r>
        <w:rPr>
          <w:rFonts w:ascii="Arial" w:cs="Arial" w:eastAsia="Arial" w:hAnsi="Arial"/>
          <w:sz w:val="19"/>
          <w:szCs w:val="19"/>
          <w:color w:val="auto"/>
        </w:rPr>
        <w:t xml:space="preserve"> the Service Vesting Date by reason of Early Retirement, Normal Retirement, death or Permanent Disability, then Participant shall, upon the determination by the Plan Administrator of the maximum number of Performance-Qualified Shares, vest in a portion of the Performance-Qualified Shares determined by a two-step process: (i) prior to the Service Vesting Date, the Designated Shares will be prorated by multiplying (x) the number of Designated Shares by (y) a fraction, the numerator of which is the number of whole months of actual Service completed by Participant in such Performance Period, and the denominator of which is thirty-six (36) months, the product to be rounded up to the next whole share and (ii) then the number of shares calculated under clause (i) in which Participant may actually vest shall be the maximum number of shares of Common Stock in which Participant can vest under the Performance Vesting section based upon the actual level at which the Performance Goal specified on attached Schedule I is attained. The Shares underlying the Performance-Qualified Shares in which Participant vests in accordance with this subparagraph (ii) shall generally be issued to Participant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05" w:name="page106"/>
    <w:bookmarkEnd w:id="105"/>
    <w:p>
      <w:pPr>
        <w:jc w:val="both"/>
        <w:ind w:left="660"/>
        <w:spacing w:after="0" w:line="236" w:lineRule="auto"/>
        <w:rPr>
          <w:sz w:val="20"/>
          <w:szCs w:val="20"/>
          <w:color w:val="auto"/>
        </w:rPr>
      </w:pPr>
      <w:r>
        <w:rPr>
          <w:rFonts w:ascii="Arial" w:cs="Arial" w:eastAsia="Arial" w:hAnsi="Arial"/>
          <w:sz w:val="22"/>
          <w:szCs w:val="22"/>
          <w:color w:val="auto"/>
        </w:rPr>
        <w:t xml:space="preserve">in the event of the death of Participant, then to Participant’s heirs or beneficiaries) during the period beginning with the Service Vesting Date and ending on March 15th of that year;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Service Vesting Date is after the end of the Performance Period, then the Shares shall be issued as soon as administratively practicable after the Service Vesting Date, but in no event later than sixty (60) days after the Service Vesting Date.</w:t>
      </w:r>
    </w:p>
    <w:p>
      <w:pPr>
        <w:spacing w:after="0" w:line="187" w:lineRule="exact"/>
        <w:rPr>
          <w:sz w:val="20"/>
          <w:szCs w:val="20"/>
          <w:color w:val="auto"/>
        </w:rPr>
      </w:pPr>
    </w:p>
    <w:p>
      <w:pPr>
        <w:jc w:val="both"/>
        <w:ind w:left="660" w:firstLine="1940"/>
        <w:spacing w:after="0" w:line="257" w:lineRule="auto"/>
        <w:tabs>
          <w:tab w:leader="none" w:pos="3252" w:val="left"/>
        </w:tabs>
        <w:numPr>
          <w:ilvl w:val="2"/>
          <w:numId w:val="90"/>
        </w:numPr>
        <w:rPr>
          <w:rFonts w:ascii="Arial" w:cs="Arial" w:eastAsia="Arial" w:hAnsi="Arial"/>
          <w:sz w:val="21"/>
          <w:szCs w:val="21"/>
          <w:color w:val="auto"/>
        </w:rPr>
      </w:pPr>
      <w:r>
        <w:rPr>
          <w:rFonts w:ascii="Arial" w:cs="Arial" w:eastAsia="Arial" w:hAnsi="Arial"/>
          <w:sz w:val="21"/>
          <w:szCs w:val="21"/>
          <w:color w:val="auto"/>
        </w:rPr>
        <w:t>If Participant’s Service ceases for any other reason prior to the Service Vesting Date, then Participant shall not vest in any of the Performance-Qualified Shares and all of Participant's right, title and interest to the Shares subject to this Award shall cease.</w:t>
      </w:r>
    </w:p>
    <w:p>
      <w:pPr>
        <w:spacing w:after="0" w:line="163" w:lineRule="exact"/>
        <w:rPr>
          <w:rFonts w:ascii="Arial" w:cs="Arial" w:eastAsia="Arial" w:hAnsi="Arial"/>
          <w:sz w:val="21"/>
          <w:szCs w:val="21"/>
          <w:color w:val="auto"/>
        </w:rPr>
      </w:pPr>
    </w:p>
    <w:p>
      <w:pPr>
        <w:jc w:val="both"/>
        <w:ind w:firstLine="1304"/>
        <w:spacing w:after="0" w:line="239" w:lineRule="auto"/>
        <w:tabs>
          <w:tab w:leader="none" w:pos="1944" w:val="left"/>
        </w:tabs>
        <w:numPr>
          <w:ilvl w:val="0"/>
          <w:numId w:val="91"/>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Stockholder Rights</w:t>
      </w:r>
      <w:r>
        <w:rPr>
          <w:rFonts w:ascii="Arial" w:cs="Arial" w:eastAsia="Arial" w:hAnsi="Arial"/>
          <w:sz w:val="22"/>
          <w:szCs w:val="22"/>
          <w:color w:val="auto"/>
        </w:rPr>
        <w:t>. The holder of this Award shall not have any stockholder rights,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voting, dividend or liquidation rights, with respect to the Shares subject to the Award until Participant becomes the record holder of those Shares upon their actual issuance following the Corporation’s collection of the applicable Withholding Taxes.</w:t>
      </w:r>
    </w:p>
    <w:p>
      <w:pPr>
        <w:spacing w:after="0" w:line="180" w:lineRule="exact"/>
        <w:rPr>
          <w:rFonts w:ascii="Arial" w:cs="Arial" w:eastAsia="Arial" w:hAnsi="Arial"/>
          <w:sz w:val="22"/>
          <w:szCs w:val="22"/>
          <w:color w:val="auto"/>
        </w:rPr>
      </w:pPr>
    </w:p>
    <w:p>
      <w:pPr>
        <w:jc w:val="both"/>
        <w:ind w:firstLine="1304"/>
        <w:spacing w:after="0" w:line="239" w:lineRule="auto"/>
        <w:tabs>
          <w:tab w:leader="none" w:pos="1944" w:val="left"/>
        </w:tabs>
        <w:numPr>
          <w:ilvl w:val="0"/>
          <w:numId w:val="91"/>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 Notwithstanding Paragraph 3 above, the following provisions shall</w:t>
      </w:r>
      <w:r>
        <w:rPr>
          <w:rFonts w:ascii="Arial" w:cs="Arial" w:eastAsia="Arial" w:hAnsi="Arial"/>
          <w:sz w:val="22"/>
          <w:szCs w:val="22"/>
          <w:b w:val="1"/>
          <w:bCs w:val="1"/>
          <w:color w:val="auto"/>
        </w:rPr>
        <w:t xml:space="preserve"> </w:t>
      </w:r>
      <w:r>
        <w:rPr>
          <w:rFonts w:ascii="Arial" w:cs="Arial" w:eastAsia="Arial" w:hAnsi="Arial"/>
          <w:sz w:val="22"/>
          <w:szCs w:val="22"/>
          <w:color w:val="auto"/>
        </w:rPr>
        <w:t>apply to the extent a Change in Control is consummated prior to the completion of the applicable Performance Period and shall have no force or effect in the event the closing of the Change in Control occurs on or after the completion of the Performance Period.</w:t>
      </w:r>
    </w:p>
    <w:p>
      <w:pPr>
        <w:spacing w:after="0" w:line="186" w:lineRule="exact"/>
        <w:rPr>
          <w:rFonts w:ascii="Arial" w:cs="Arial" w:eastAsia="Arial" w:hAnsi="Arial"/>
          <w:sz w:val="22"/>
          <w:szCs w:val="22"/>
          <w:color w:val="auto"/>
        </w:rPr>
      </w:pPr>
    </w:p>
    <w:p>
      <w:pPr>
        <w:jc w:val="both"/>
        <w:ind w:firstLine="1952"/>
        <w:spacing w:after="0" w:line="287" w:lineRule="auto"/>
        <w:tabs>
          <w:tab w:leader="none" w:pos="2592" w:val="left"/>
        </w:tabs>
        <w:numPr>
          <w:ilvl w:val="1"/>
          <w:numId w:val="91"/>
        </w:numPr>
        <w:rPr>
          <w:rFonts w:ascii="Arial" w:cs="Arial" w:eastAsia="Arial" w:hAnsi="Arial"/>
          <w:sz w:val="19"/>
          <w:szCs w:val="19"/>
          <w:color w:val="auto"/>
        </w:rPr>
      </w:pPr>
      <w:r>
        <w:rPr>
          <w:rFonts w:ascii="Arial" w:cs="Arial" w:eastAsia="Arial" w:hAnsi="Arial"/>
          <w:sz w:val="19"/>
          <w:szCs w:val="19"/>
          <w:color w:val="auto"/>
        </w:rPr>
        <w:t>This Award may be assumed by the successor entity or otherwise continued in full force and effect, provided, however, that the securities subject to such Award following such assumption or continuation are actively traded on an established securities exchange, or may be replaced with a substitute equivalent award established by the successor entity. In such event, the following provisions shall be in effect:</w:t>
      </w:r>
    </w:p>
    <w:p>
      <w:pPr>
        <w:spacing w:after="0" w:line="142" w:lineRule="exact"/>
        <w:rPr>
          <w:rFonts w:ascii="Arial" w:cs="Arial" w:eastAsia="Arial" w:hAnsi="Arial"/>
          <w:sz w:val="19"/>
          <w:szCs w:val="19"/>
          <w:color w:val="auto"/>
        </w:rPr>
      </w:pPr>
    </w:p>
    <w:p>
      <w:pPr>
        <w:jc w:val="both"/>
        <w:ind w:left="660" w:firstLine="1940"/>
        <w:spacing w:after="0" w:line="287" w:lineRule="auto"/>
        <w:tabs>
          <w:tab w:leader="none" w:pos="3252" w:val="left"/>
        </w:tabs>
        <w:numPr>
          <w:ilvl w:val="2"/>
          <w:numId w:val="91"/>
        </w:numPr>
        <w:rPr>
          <w:rFonts w:ascii="Arial" w:cs="Arial" w:eastAsia="Arial" w:hAnsi="Arial"/>
          <w:sz w:val="19"/>
          <w:szCs w:val="19"/>
          <w:color w:val="auto"/>
        </w:rPr>
      </w:pPr>
      <w:r>
        <w:rPr>
          <w:rFonts w:ascii="Arial" w:cs="Arial" w:eastAsia="Arial" w:hAnsi="Arial"/>
          <w:sz w:val="19"/>
          <w:szCs w:val="19"/>
          <w:color w:val="auto"/>
        </w:rPr>
        <w:t>The Performance-Vesting requirements of this Agreement shall terminate, and the assumption or continuation of this Award shall be effected in accordance with Paragraph 5(b) below on the basis of the number of Change in Control Shares. The Service-vesting and issuance provisions of Paragraph 3(b)(i) shall continue in effect with respect to the assumed or continued Award.</w:t>
      </w:r>
    </w:p>
    <w:p>
      <w:pPr>
        <w:spacing w:after="0" w:line="143" w:lineRule="exact"/>
        <w:rPr>
          <w:sz w:val="20"/>
          <w:szCs w:val="20"/>
          <w:color w:val="auto"/>
        </w:rPr>
      </w:pPr>
    </w:p>
    <w:p>
      <w:pPr>
        <w:jc w:val="both"/>
        <w:ind w:left="660" w:firstLine="1940"/>
        <w:spacing w:after="0" w:line="245" w:lineRule="auto"/>
        <w:tabs>
          <w:tab w:leader="none" w:pos="3252" w:val="left"/>
        </w:tabs>
        <w:numPr>
          <w:ilvl w:val="0"/>
          <w:numId w:val="92"/>
        </w:numPr>
        <w:rPr>
          <w:rFonts w:ascii="Arial" w:cs="Arial" w:eastAsia="Arial" w:hAnsi="Arial"/>
          <w:sz w:val="21"/>
          <w:szCs w:val="21"/>
          <w:color w:val="auto"/>
        </w:rPr>
      </w:pPr>
      <w:r>
        <w:rPr>
          <w:rFonts w:ascii="Arial" w:cs="Arial" w:eastAsia="Arial" w:hAnsi="Arial"/>
          <w:sz w:val="21"/>
          <w:szCs w:val="21"/>
          <w:color w:val="auto"/>
        </w:rPr>
        <w:t>If Participant ceases Service prior to the Service Vesting Date by reason of Early Retirement, Normal Retirement, death or Permanent Disability, then Participant shall, upon the closing of the Change in Control or (if later) such cessation of Service, vest in that number of Shares determined by multiplying (x) the number of Change in Control Shares by (y) a fraction, the numerator of which is the number of whole months of actual Service completed by Participant in such Performance Period, and the denominator of which is thirty-six (36) months. The Shares in which Participant so vests shall be issued to Participant on the earlier of (i) the date the Shares would have otherwise been issued pursuant to the provisions of Paragraph 3(b)(ii) in the absence of such Change in Control or, should such cessation of Service occur after such Change in Control but within twenty-four (24) months after the closing of a Qualifying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06" w:name="page107"/>
    <w:bookmarkEnd w:id="106"/>
    <w:p>
      <w:pPr>
        <w:ind w:left="660"/>
        <w:spacing w:after="0"/>
        <w:rPr>
          <w:sz w:val="20"/>
          <w:szCs w:val="20"/>
          <w:color w:val="auto"/>
        </w:rPr>
      </w:pPr>
      <w:r>
        <w:rPr>
          <w:rFonts w:ascii="Arial" w:cs="Arial" w:eastAsia="Arial" w:hAnsi="Arial"/>
          <w:sz w:val="19"/>
          <w:szCs w:val="19"/>
          <w:color w:val="auto"/>
        </w:rPr>
        <w:t>Change in Control, (ii) the date of Participant’s Separation from Service due to such cessation of Service.</w:t>
      </w:r>
    </w:p>
    <w:p>
      <w:pPr>
        <w:spacing w:after="0" w:line="241" w:lineRule="exact"/>
        <w:rPr>
          <w:sz w:val="20"/>
          <w:szCs w:val="20"/>
          <w:color w:val="auto"/>
        </w:rPr>
      </w:pPr>
    </w:p>
    <w:p>
      <w:pPr>
        <w:jc w:val="both"/>
        <w:ind w:left="660" w:firstLine="1940"/>
        <w:spacing w:after="0" w:line="244" w:lineRule="auto"/>
        <w:tabs>
          <w:tab w:leader="none" w:pos="3252" w:val="left"/>
        </w:tabs>
        <w:numPr>
          <w:ilvl w:val="1"/>
          <w:numId w:val="93"/>
        </w:numPr>
        <w:rPr>
          <w:rFonts w:ascii="Arial" w:cs="Arial" w:eastAsia="Arial" w:hAnsi="Arial"/>
          <w:sz w:val="21"/>
          <w:szCs w:val="21"/>
          <w:color w:val="auto"/>
        </w:rPr>
      </w:pPr>
      <w:r>
        <w:rPr>
          <w:rFonts w:ascii="Arial" w:cs="Arial" w:eastAsia="Arial" w:hAnsi="Arial"/>
          <w:sz w:val="21"/>
          <w:szCs w:val="21"/>
          <w:color w:val="auto"/>
        </w:rPr>
        <w:t xml:space="preserve">To the extent the substitute equivalent award is in the form of cash, a cash retention account shall be established and shall initially be credited with the Fair Market Value (at the effective time of the Change in Control) of the number of Change in Control Shares, and interest shall accrue on the outstanding balance of such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by </w:t>
      </w:r>
      <w:r>
        <w:rPr>
          <w:rFonts w:ascii="Arial" w:cs="Arial" w:eastAsia="Arial" w:hAnsi="Arial"/>
          <w:sz w:val="21"/>
          <w:szCs w:val="21"/>
          <w:b w:val="1"/>
          <w:bCs w:val="1"/>
          <w:i w:val="1"/>
          <w:iCs w:val="1"/>
          <w:color w:val="auto"/>
        </w:rPr>
        <w:t>The Wall Street Journal</w:t>
      </w:r>
      <w:r>
        <w:rPr>
          <w:rFonts w:ascii="Arial" w:cs="Arial" w:eastAsia="Arial" w:hAnsi="Arial"/>
          <w:sz w:val="21"/>
          <w:szCs w:val="21"/>
          <w:color w:val="auto"/>
        </w:rPr>
        <w:t>. The cash retention account shall vest and be paid out in accordance with the Service vesting and issuance provisions of Paragraph 3(b)(i) or (to the extent applicable) in accordance with the pro-rata Service vesting and issuance provisions of Paragraph 5(a)(ii) above. The Participant’s interest in the account shall at all times be that of a general, unsecured creditor.</w:t>
      </w:r>
    </w:p>
    <w:p>
      <w:pPr>
        <w:spacing w:after="0" w:line="185" w:lineRule="exact"/>
        <w:rPr>
          <w:rFonts w:ascii="Arial" w:cs="Arial" w:eastAsia="Arial" w:hAnsi="Arial"/>
          <w:sz w:val="21"/>
          <w:szCs w:val="21"/>
          <w:color w:val="auto"/>
        </w:rPr>
      </w:pPr>
    </w:p>
    <w:p>
      <w:pPr>
        <w:jc w:val="both"/>
        <w:ind w:left="660" w:firstLine="1940"/>
        <w:spacing w:after="0" w:line="287" w:lineRule="auto"/>
        <w:tabs>
          <w:tab w:leader="none" w:pos="3252" w:val="left"/>
        </w:tabs>
        <w:numPr>
          <w:ilvl w:val="1"/>
          <w:numId w:val="93"/>
        </w:numPr>
        <w:rPr>
          <w:rFonts w:ascii="Arial" w:cs="Arial" w:eastAsia="Arial" w:hAnsi="Arial"/>
          <w:sz w:val="19"/>
          <w:szCs w:val="19"/>
          <w:color w:val="auto"/>
        </w:rPr>
      </w:pPr>
      <w:r>
        <w:rPr>
          <w:rFonts w:ascii="Arial" w:cs="Arial" w:eastAsia="Arial" w:hAnsi="Arial"/>
          <w:sz w:val="19"/>
          <w:szCs w:val="19"/>
          <w:color w:val="auto"/>
        </w:rPr>
        <w:t>In the event of such assumption or continuation of this Award or such replacement of the Award with a substitute equivalent award, no accelerated vesting of the Performance Shares subject to this Award or the underlying Shares shall occur at the time of the Change in Control, and the Service-vesting provisions of Paragraph 3(b) shall continue in full force and effect.</w:t>
      </w:r>
    </w:p>
    <w:p>
      <w:pPr>
        <w:spacing w:after="0" w:line="142" w:lineRule="exact"/>
        <w:rPr>
          <w:rFonts w:ascii="Arial" w:cs="Arial" w:eastAsia="Arial" w:hAnsi="Arial"/>
          <w:sz w:val="19"/>
          <w:szCs w:val="19"/>
          <w:color w:val="auto"/>
        </w:rPr>
      </w:pPr>
    </w:p>
    <w:p>
      <w:pPr>
        <w:jc w:val="both"/>
        <w:ind w:firstLine="1952"/>
        <w:spacing w:after="0" w:line="273" w:lineRule="auto"/>
        <w:tabs>
          <w:tab w:leader="none" w:pos="2592" w:val="left"/>
        </w:tabs>
        <w:numPr>
          <w:ilvl w:val="0"/>
          <w:numId w:val="94"/>
        </w:numPr>
        <w:rPr>
          <w:rFonts w:ascii="Arial" w:cs="Arial" w:eastAsia="Arial" w:hAnsi="Arial"/>
          <w:sz w:val="19"/>
          <w:szCs w:val="19"/>
          <w:color w:val="auto"/>
        </w:rPr>
      </w:pPr>
      <w:r>
        <w:rPr>
          <w:rFonts w:ascii="Arial" w:cs="Arial" w:eastAsia="Arial" w:hAnsi="Arial"/>
          <w:sz w:val="19"/>
          <w:szCs w:val="19"/>
          <w:color w:val="auto"/>
        </w:rPr>
        <w:t>In the event this Award is assumed, otherwise continued in effect, or replaced in connection with such Change in Control, the securities subject to the Award shall be adjusted immediately after the consummation of that Change in Control so as to apply to the number and class of securities into which the number of Change in Control Shares would have been converted in consummation of that Change in Control had that number of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Performance Shares subject to the Award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spacing w:after="0" w:line="155" w:lineRule="exact"/>
        <w:rPr>
          <w:rFonts w:ascii="Arial" w:cs="Arial" w:eastAsia="Arial" w:hAnsi="Arial"/>
          <w:sz w:val="19"/>
          <w:szCs w:val="19"/>
          <w:color w:val="auto"/>
        </w:rPr>
      </w:pPr>
    </w:p>
    <w:p>
      <w:pPr>
        <w:jc w:val="both"/>
        <w:ind w:firstLine="1952"/>
        <w:spacing w:after="0" w:line="277" w:lineRule="auto"/>
        <w:tabs>
          <w:tab w:leader="none" w:pos="2592" w:val="left"/>
        </w:tabs>
        <w:numPr>
          <w:ilvl w:val="0"/>
          <w:numId w:val="94"/>
        </w:numPr>
        <w:rPr>
          <w:rFonts w:ascii="Arial" w:cs="Arial" w:eastAsia="Arial" w:hAnsi="Arial"/>
          <w:sz w:val="19"/>
          <w:szCs w:val="19"/>
          <w:color w:val="auto"/>
        </w:rPr>
      </w:pPr>
      <w:r>
        <w:rPr>
          <w:rFonts w:ascii="Arial" w:cs="Arial" w:eastAsia="Arial" w:hAnsi="Arial"/>
          <w:sz w:val="19"/>
          <w:szCs w:val="19"/>
          <w:color w:val="auto"/>
        </w:rPr>
        <w:t>Upon Participant’s Separation from Service due to an Involuntary Termination occurring within twenty-four (24) months after a Change in Control in which this Award is assumed or continued in effect, Participant shall immediately vest in that number of Shares equal to the Change in Control Shares that remain unvested, and that number of Shares shall be issued to Participant on the date of Participant’s Separation from Service due to such cessation of Service. Should this Award be replaced with a substitute equivalent award in accordance with Paragraph 5(a), then that award shall vest upon Participant’s Separation from Service due to the Involuntary Termination, provided and only if such Involuntary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07" w:name="page108"/>
    <w:bookmarkEnd w:id="107"/>
    <w:p>
      <w:pPr>
        <w:jc w:val="both"/>
        <w:spacing w:after="0" w:line="248" w:lineRule="auto"/>
        <w:rPr>
          <w:sz w:val="20"/>
          <w:szCs w:val="20"/>
          <w:color w:val="auto"/>
        </w:rPr>
      </w:pPr>
      <w:r>
        <w:rPr>
          <w:rFonts w:ascii="Arial" w:cs="Arial" w:eastAsia="Arial" w:hAnsi="Arial"/>
          <w:sz w:val="21"/>
          <w:szCs w:val="21"/>
          <w:color w:val="auto"/>
        </w:rPr>
        <w:t>occurs within twenty-four (24) months following the Change in Control. Such vested portion of the award shall be issued or distributed, as applicable, on the date of Participant’s Separation from Service, provided such Separation from Service occurs within twenty-four (24) months after a Qualifying Change in Control. Except for the number of Shares, or such equivalent award, distributed in accordance with the foregoing provisions of this Paragraph 5(c), Participant shall have no further right or entitlement to any additional Shares or other cash or property hereunder upon such Separation from Service.</w:t>
      </w:r>
    </w:p>
    <w:p>
      <w:pPr>
        <w:spacing w:after="0" w:line="177" w:lineRule="exact"/>
        <w:rPr>
          <w:sz w:val="20"/>
          <w:szCs w:val="20"/>
          <w:color w:val="auto"/>
        </w:rPr>
      </w:pPr>
    </w:p>
    <w:p>
      <w:pPr>
        <w:jc w:val="both"/>
        <w:ind w:firstLine="1952"/>
        <w:spacing w:after="0"/>
        <w:tabs>
          <w:tab w:leader="none" w:pos="2592" w:val="left"/>
        </w:tabs>
        <w:numPr>
          <w:ilvl w:val="1"/>
          <w:numId w:val="95"/>
        </w:numPr>
        <w:rPr>
          <w:rFonts w:ascii="Arial" w:cs="Arial" w:eastAsia="Arial" w:hAnsi="Arial"/>
          <w:sz w:val="22"/>
          <w:szCs w:val="22"/>
          <w:color w:val="auto"/>
        </w:rPr>
      </w:pPr>
      <w:r>
        <w:rPr>
          <w:rFonts w:ascii="Arial" w:cs="Arial" w:eastAsia="Arial" w:hAnsi="Arial"/>
          <w:sz w:val="22"/>
          <w:szCs w:val="22"/>
          <w:color w:val="auto"/>
        </w:rPr>
        <w:t>If the Award is not (1) assumed by the successor entity, (2) otherwise continued in effect or (3) replaced with a substitute equivalent award in accordance with Paragraph 5(a), then the following provisions shall apply:</w:t>
      </w:r>
    </w:p>
    <w:p>
      <w:pPr>
        <w:spacing w:after="0" w:line="186" w:lineRule="exact"/>
        <w:rPr>
          <w:rFonts w:ascii="Arial" w:cs="Arial" w:eastAsia="Arial" w:hAnsi="Arial"/>
          <w:sz w:val="22"/>
          <w:szCs w:val="22"/>
          <w:color w:val="auto"/>
        </w:rPr>
      </w:pPr>
    </w:p>
    <w:p>
      <w:pPr>
        <w:jc w:val="both"/>
        <w:ind w:left="660" w:firstLine="1859"/>
        <w:spacing w:after="0" w:line="269" w:lineRule="auto"/>
        <w:tabs>
          <w:tab w:leader="none" w:pos="3252" w:val="left"/>
        </w:tabs>
        <w:numPr>
          <w:ilvl w:val="2"/>
          <w:numId w:val="95"/>
        </w:numPr>
        <w:rPr>
          <w:rFonts w:ascii="Arial" w:cs="Arial" w:eastAsia="Arial" w:hAnsi="Arial"/>
          <w:sz w:val="19"/>
          <w:szCs w:val="19"/>
          <w:color w:val="auto"/>
        </w:rPr>
      </w:pPr>
      <w:r>
        <w:rPr>
          <w:rFonts w:ascii="Arial" w:cs="Arial" w:eastAsia="Arial" w:hAnsi="Arial"/>
          <w:sz w:val="19"/>
          <w:szCs w:val="19"/>
          <w:color w:val="auto"/>
        </w:rPr>
        <w:t xml:space="preserve">If Participant continues in Service through the effective date of the Change in Control, then Participant shall, upon the closing of such Change in Control, vest in that number of Shares equal to the Change in Control Shares. The Shares in which Participant so vests shall be converted into the right to receive the same consideration per share of Common Stock payable to the other stockholders of the Corporation in consummation of the Change in Control. Such consideration per Share shall be distributed to Participant on the </w:t>
      </w:r>
      <w:r>
        <w:rPr>
          <w:rFonts w:ascii="Arial" w:cs="Arial" w:eastAsia="Arial" w:hAnsi="Arial"/>
          <w:sz w:val="19"/>
          <w:szCs w:val="19"/>
          <w:b w:val="1"/>
          <w:bCs w:val="1"/>
          <w:i w:val="1"/>
          <w:iCs w:val="1"/>
          <w:color w:val="auto"/>
        </w:rPr>
        <w:t>earliest</w:t>
      </w:r>
      <w:r>
        <w:rPr>
          <w:rFonts w:ascii="Arial" w:cs="Arial" w:eastAsia="Arial" w:hAnsi="Arial"/>
          <w:sz w:val="19"/>
          <w:szCs w:val="19"/>
          <w:color w:val="auto"/>
        </w:rPr>
        <w:t xml:space="preserve"> to occur of (x) the date the Share would have otherwise been issued pursuant to the Service vesting and issuance provisions set forth in Paragraph 3(b)(i) in the absence of such Change in Control, (y) the date of Participant’s Separation from Service, provided such Separation from Service occurs within twenty-four (24) months after a Qualifying Change in Control, or</w:t>
      </w:r>
    </w:p>
    <w:p>
      <w:pPr>
        <w:spacing w:after="0" w:line="1" w:lineRule="exact"/>
        <w:rPr>
          <w:rFonts w:ascii="Arial" w:cs="Arial" w:eastAsia="Arial" w:hAnsi="Arial"/>
          <w:sz w:val="19"/>
          <w:szCs w:val="19"/>
          <w:color w:val="auto"/>
        </w:rPr>
      </w:pPr>
    </w:p>
    <w:p>
      <w:pPr>
        <w:jc w:val="both"/>
        <w:ind w:left="660" w:hanging="4"/>
        <w:spacing w:after="0" w:line="234" w:lineRule="auto"/>
        <w:tabs>
          <w:tab w:leader="none" w:pos="97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first date upon or following a Qualifying Change in Control transaction on which the distribution can be made without contravention of any applicable provisions of Section 409A of the Code (“Section 409A”).</w:t>
      </w:r>
    </w:p>
    <w:p>
      <w:pPr>
        <w:spacing w:after="0" w:line="187" w:lineRule="exact"/>
        <w:rPr>
          <w:rFonts w:ascii="Arial" w:cs="Arial" w:eastAsia="Arial" w:hAnsi="Arial"/>
          <w:sz w:val="22"/>
          <w:szCs w:val="22"/>
          <w:color w:val="auto"/>
        </w:rPr>
      </w:pPr>
    </w:p>
    <w:p>
      <w:pPr>
        <w:jc w:val="both"/>
        <w:ind w:left="660" w:firstLine="1859"/>
        <w:spacing w:after="0" w:line="272" w:lineRule="auto"/>
        <w:tabs>
          <w:tab w:leader="none" w:pos="3252" w:val="left"/>
        </w:tabs>
        <w:numPr>
          <w:ilvl w:val="2"/>
          <w:numId w:val="96"/>
        </w:numPr>
        <w:rPr>
          <w:rFonts w:ascii="Arial" w:cs="Arial" w:eastAsia="Arial" w:hAnsi="Arial"/>
          <w:sz w:val="19"/>
          <w:szCs w:val="19"/>
          <w:color w:val="auto"/>
        </w:rPr>
      </w:pPr>
      <w:r>
        <w:rPr>
          <w:rFonts w:ascii="Arial" w:cs="Arial" w:eastAsia="Arial" w:hAnsi="Arial"/>
          <w:sz w:val="19"/>
          <w:szCs w:val="19"/>
          <w:color w:val="auto"/>
        </w:rPr>
        <w:t xml:space="preserve">To the extent the consideration payable per share of Common Stock in the Change in Control is in the form of cash, a fully-vested cash retention account shall be established by the successor entity at the time of such Change in Control for each Share that vests on an accelerated basis in accordance with Paragraph 5(d)(i) above. Such account shall be credited with the amount of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by </w:t>
      </w:r>
      <w:r>
        <w:rPr>
          <w:rFonts w:ascii="Arial" w:cs="Arial" w:eastAsia="Arial" w:hAnsi="Arial"/>
          <w:sz w:val="19"/>
          <w:szCs w:val="19"/>
          <w:b w:val="1"/>
          <w:bCs w:val="1"/>
          <w:i w:val="1"/>
          <w:iCs w:val="1"/>
          <w:color w:val="auto"/>
        </w:rPr>
        <w:t>The Wall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Street Journal</w:t>
      </w:r>
      <w:r>
        <w:rPr>
          <w:rFonts w:ascii="Arial" w:cs="Arial" w:eastAsia="Arial" w:hAnsi="Arial"/>
          <w:sz w:val="19"/>
          <w:szCs w:val="19"/>
          <w:color w:val="auto"/>
        </w:rPr>
        <w:t>. The cash retention account, together with all accrued interest thereon through the actual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payment date, shall be distributed, as to each Share to which that cash retention accounts pertains, in accordance with the foregoing distribution provisions of Paragraph 5(d)(i) above. Participant’s interest in the account shall at all times be that of a general, unsecured creditor.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08" w:name="page109"/>
    <w:bookmarkEnd w:id="108"/>
    <w:p>
      <w:pPr>
        <w:jc w:val="both"/>
        <w:ind w:left="660" w:firstLine="1859"/>
        <w:spacing w:after="0" w:line="272" w:lineRule="auto"/>
        <w:tabs>
          <w:tab w:leader="none" w:pos="3252" w:val="left"/>
        </w:tabs>
        <w:numPr>
          <w:ilvl w:val="1"/>
          <w:numId w:val="97"/>
        </w:numPr>
        <w:rPr>
          <w:rFonts w:ascii="Arial" w:cs="Arial" w:eastAsia="Arial" w:hAnsi="Arial"/>
          <w:sz w:val="19"/>
          <w:szCs w:val="19"/>
          <w:color w:val="auto"/>
        </w:rPr>
      </w:pPr>
      <w:r>
        <w:rPr>
          <w:rFonts w:ascii="Arial" w:cs="Arial" w:eastAsia="Arial" w:hAnsi="Arial"/>
          <w:sz w:val="19"/>
          <w:szCs w:val="19"/>
          <w:color w:val="auto"/>
        </w:rPr>
        <w:t xml:space="preserve">If Participant ceases Service prior to the effective date of the Change in Control by reason of Early Retirement, Normal Retirement, death or Permanent Disability, then Participant shall, upon the closing of such Change in Control, vest in that number of Shares determined by multiplying (x) the number of Change in Control Shares by (y) a fraction, the numerator of which is the number of whole months of actual Service completed by Participant in such Performance Period, and the denominator of which is thirty-six (36) months. The Shares in which Participant so vests shall be converted into the right to receive the same consideration per share of Common Stock payable to the other stockholders of the Corporation in consummation of the Change in Control. Such consideration per Share shall be distributed to Participant on the </w:t>
      </w:r>
      <w:r>
        <w:rPr>
          <w:rFonts w:ascii="Arial" w:cs="Arial" w:eastAsia="Arial" w:hAnsi="Arial"/>
          <w:sz w:val="19"/>
          <w:szCs w:val="19"/>
          <w:b w:val="1"/>
          <w:bCs w:val="1"/>
          <w:i w:val="1"/>
          <w:iCs w:val="1"/>
          <w:color w:val="auto"/>
        </w:rPr>
        <w:t>earlier</w:t>
      </w:r>
      <w:r>
        <w:rPr>
          <w:rFonts w:ascii="Arial" w:cs="Arial" w:eastAsia="Arial" w:hAnsi="Arial"/>
          <w:sz w:val="19"/>
          <w:szCs w:val="19"/>
          <w:color w:val="auto"/>
        </w:rPr>
        <w:t xml:space="preserve"> of (A) the date the Share would have otherwise been issued pursuant to the provisions of Paragraph 3(b)(ii) in the absence of such Change in Control or (B) the first date upon or following a Qualifying Change in Control transaction on which the distribution can be made without contravention of any applicable provisions of Section 409A.</w:t>
      </w:r>
    </w:p>
    <w:p>
      <w:pPr>
        <w:spacing w:after="0" w:line="160" w:lineRule="exact"/>
        <w:rPr>
          <w:rFonts w:ascii="Arial" w:cs="Arial" w:eastAsia="Arial" w:hAnsi="Arial"/>
          <w:sz w:val="19"/>
          <w:szCs w:val="19"/>
          <w:color w:val="auto"/>
        </w:rPr>
      </w:pPr>
    </w:p>
    <w:p>
      <w:pPr>
        <w:ind w:left="660" w:firstLine="1859"/>
        <w:spacing w:after="0" w:line="274" w:lineRule="auto"/>
        <w:tabs>
          <w:tab w:leader="none" w:pos="3252" w:val="left"/>
        </w:tabs>
        <w:numPr>
          <w:ilvl w:val="1"/>
          <w:numId w:val="97"/>
        </w:numPr>
        <w:rPr>
          <w:rFonts w:ascii="Arial" w:cs="Arial" w:eastAsia="Arial" w:hAnsi="Arial"/>
          <w:sz w:val="21"/>
          <w:szCs w:val="21"/>
          <w:color w:val="auto"/>
        </w:rPr>
      </w:pPr>
      <w:r>
        <w:rPr>
          <w:rFonts w:ascii="Arial" w:cs="Arial" w:eastAsia="Arial" w:hAnsi="Arial"/>
          <w:sz w:val="21"/>
          <w:szCs w:val="21"/>
          <w:color w:val="auto"/>
        </w:rPr>
        <w:t>Except for the amount of consideration so calculated, Participant shall have no further right or entitlement to any additional Shares or consideration under this Award.</w:t>
      </w:r>
    </w:p>
    <w:p>
      <w:pPr>
        <w:spacing w:after="0" w:line="144" w:lineRule="exact"/>
        <w:rPr>
          <w:rFonts w:ascii="Arial" w:cs="Arial" w:eastAsia="Arial" w:hAnsi="Arial"/>
          <w:sz w:val="21"/>
          <w:szCs w:val="21"/>
          <w:color w:val="auto"/>
        </w:rPr>
      </w:pPr>
    </w:p>
    <w:p>
      <w:pPr>
        <w:jc w:val="both"/>
        <w:ind w:firstLine="1304"/>
        <w:spacing w:after="0" w:line="274" w:lineRule="auto"/>
        <w:tabs>
          <w:tab w:leader="none" w:pos="1944" w:val="left"/>
        </w:tabs>
        <w:numPr>
          <w:ilvl w:val="0"/>
          <w:numId w:val="98"/>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color w:val="auto"/>
        </w:rPr>
        <w:t>. Notwithstanding anything to the contrary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there is any conflict between the issuance or distribution provisions of this Agreement and the issuance or distribution provisions of the Change in Control Benefits Agreement, the issuance and distribution provisions of this Agreement shall be controlling.</w:t>
      </w:r>
    </w:p>
    <w:p>
      <w:pPr>
        <w:spacing w:after="0" w:line="151" w:lineRule="exact"/>
        <w:rPr>
          <w:rFonts w:ascii="Arial" w:cs="Arial" w:eastAsia="Arial" w:hAnsi="Arial"/>
          <w:sz w:val="19"/>
          <w:szCs w:val="19"/>
          <w:color w:val="auto"/>
        </w:rPr>
      </w:pPr>
    </w:p>
    <w:p>
      <w:pPr>
        <w:jc w:val="both"/>
        <w:ind w:firstLine="1304"/>
        <w:spacing w:after="0" w:line="273" w:lineRule="auto"/>
        <w:tabs>
          <w:tab w:leader="none" w:pos="1944" w:val="left"/>
        </w:tabs>
        <w:numPr>
          <w:ilvl w:val="0"/>
          <w:numId w:val="98"/>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in Shares</w:t>
      </w:r>
      <w:r>
        <w:rPr>
          <w:rFonts w:ascii="Arial" w:cs="Arial" w:eastAsia="Arial" w:hAnsi="Arial"/>
          <w:sz w:val="19"/>
          <w:szCs w:val="19"/>
          <w:color w:val="auto"/>
        </w:rPr>
        <w:t>. Should any change be made to the Common Stock by reason of</w:t>
      </w:r>
      <w:r>
        <w:rPr>
          <w:rFonts w:ascii="Arial" w:cs="Arial" w:eastAsia="Arial" w:hAnsi="Arial"/>
          <w:sz w:val="19"/>
          <w:szCs w:val="19"/>
          <w:b w:val="1"/>
          <w:bCs w:val="1"/>
          <w:color w:val="auto"/>
        </w:rPr>
        <w:t xml:space="preserve"> </w:t>
      </w:r>
      <w:r>
        <w:rPr>
          <w:rFonts w:ascii="Arial" w:cs="Arial" w:eastAsia="Arial" w:hAnsi="Arial"/>
          <w:sz w:val="19"/>
          <w:szCs w:val="19"/>
          <w:color w:val="auto"/>
        </w:rPr>
        <w:t>any 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5 in connection with the transaction, and the determination of the Plan Administrator shall be final, binding and conclusive as provided in Section III.C. of Article One of the Plan.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09" w:name="page110"/>
    <w:bookmarkEnd w:id="109"/>
    <w:p>
      <w:pPr>
        <w:spacing w:after="0"/>
        <w:rPr>
          <w:sz w:val="20"/>
          <w:szCs w:val="20"/>
          <w:color w:val="auto"/>
        </w:rPr>
      </w:pPr>
      <w:r>
        <w:rPr>
          <w:rFonts w:ascii="Arial" w:cs="Arial" w:eastAsia="Arial" w:hAnsi="Arial"/>
          <w:sz w:val="19"/>
          <w:szCs w:val="19"/>
          <w:color w:val="auto"/>
        </w:rPr>
        <w:t>the event of any Change in Control transaction, the adjustment provisions of Paragraph 5(b) shall be controlling.</w:t>
      </w:r>
    </w:p>
    <w:p>
      <w:pPr>
        <w:spacing w:after="0" w:line="235" w:lineRule="exact"/>
        <w:rPr>
          <w:sz w:val="20"/>
          <w:szCs w:val="20"/>
          <w:color w:val="auto"/>
        </w:rPr>
      </w:pPr>
    </w:p>
    <w:p>
      <w:pPr>
        <w:ind w:left="1960" w:hanging="656"/>
        <w:spacing w:after="0"/>
        <w:tabs>
          <w:tab w:leader="none" w:pos="1960" w:val="left"/>
        </w:tabs>
        <w:numPr>
          <w:ilvl w:val="0"/>
          <w:numId w:val="99"/>
        </w:numPr>
        <w:rPr>
          <w:rFonts w:ascii="Arial" w:cs="Arial" w:eastAsia="Arial" w:hAnsi="Arial"/>
          <w:sz w:val="22"/>
          <w:szCs w:val="22"/>
          <w:color w:val="auto"/>
        </w:rPr>
      </w:pPr>
      <w:r>
        <w:rPr>
          <w:rFonts w:ascii="Arial" w:cs="Arial" w:eastAsia="Arial" w:hAnsi="Arial"/>
          <w:sz w:val="22"/>
          <w:szCs w:val="22"/>
          <w:b w:val="1"/>
          <w:bCs w:val="1"/>
          <w:u w:val="single" w:color="auto"/>
          <w:color w:val="auto"/>
        </w:rPr>
        <w:t>Issuance of Vested Shares and Applicable Withholding Taxes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line="252" w:lineRule="auto"/>
        <w:tabs>
          <w:tab w:leader="none" w:pos="2592" w:val="left"/>
        </w:tabs>
        <w:numPr>
          <w:ilvl w:val="1"/>
          <w:numId w:val="99"/>
        </w:numPr>
        <w:rPr>
          <w:rFonts w:ascii="Arial" w:cs="Arial" w:eastAsia="Arial" w:hAnsi="Arial"/>
          <w:sz w:val="21"/>
          <w:szCs w:val="21"/>
          <w:color w:val="auto"/>
        </w:rPr>
      </w:pPr>
      <w:r>
        <w:rPr>
          <w:rFonts w:ascii="Arial" w:cs="Arial" w:eastAsia="Arial" w:hAnsi="Arial"/>
          <w:sz w:val="21"/>
          <w:szCs w:val="21"/>
          <w:color w:val="auto"/>
        </w:rPr>
        <w:t>Any Shares to be issued to Participant in accordance with the foregoing provisions of this Agreement shall be in the form of a book entry evidencing ownership of those Shares. Actual certificates for the vested Shares evidenced by book entry ownership shall be promptly delivered upon the request of Participant or any other person having an interest at the time in those Shares.</w:t>
      </w:r>
    </w:p>
    <w:p>
      <w:pPr>
        <w:spacing w:after="0" w:line="173" w:lineRule="exact"/>
        <w:rPr>
          <w:rFonts w:ascii="Arial" w:cs="Arial" w:eastAsia="Arial" w:hAnsi="Arial"/>
          <w:sz w:val="21"/>
          <w:szCs w:val="21"/>
          <w:color w:val="auto"/>
        </w:rPr>
      </w:pPr>
    </w:p>
    <w:p>
      <w:pPr>
        <w:jc w:val="both"/>
        <w:ind w:firstLine="1952"/>
        <w:spacing w:after="0" w:line="257" w:lineRule="auto"/>
        <w:tabs>
          <w:tab w:leader="none" w:pos="2592" w:val="left"/>
        </w:tabs>
        <w:numPr>
          <w:ilvl w:val="1"/>
          <w:numId w:val="99"/>
        </w:numPr>
        <w:rPr>
          <w:rFonts w:ascii="Arial" w:cs="Arial" w:eastAsia="Arial" w:hAnsi="Arial"/>
          <w:sz w:val="21"/>
          <w:szCs w:val="21"/>
          <w:color w:val="auto"/>
        </w:rPr>
      </w:pPr>
      <w:r>
        <w:rPr>
          <w:rFonts w:ascii="Arial" w:cs="Arial" w:eastAsia="Arial" w:hAnsi="Arial"/>
          <w:sz w:val="21"/>
          <w:szCs w:val="21"/>
          <w:color w:val="auto"/>
        </w:rPr>
        <w:t>The Corporation shall collect the Withholding Taxes with respect to each non-Share distribution by withholding a portion of that distribution equal to the amount of the applicable Withholding Taxes, with the cash portion of the distribution to be the first portion so withheld.</w:t>
      </w:r>
    </w:p>
    <w:p>
      <w:pPr>
        <w:spacing w:after="0" w:line="169" w:lineRule="exact"/>
        <w:rPr>
          <w:rFonts w:ascii="Arial" w:cs="Arial" w:eastAsia="Arial" w:hAnsi="Arial"/>
          <w:sz w:val="21"/>
          <w:szCs w:val="21"/>
          <w:color w:val="auto"/>
        </w:rPr>
      </w:pPr>
    </w:p>
    <w:p>
      <w:pPr>
        <w:jc w:val="both"/>
        <w:ind w:firstLine="1952"/>
        <w:spacing w:after="0"/>
        <w:tabs>
          <w:tab w:leader="none" w:pos="2592"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following provisions shall govern the US Withholding Taxes on the Shares (or any replacement or substitute securities, property or other amounts under Paragraphs 5 or 7 above) which vest in accordance with the provisions of this Agreement:</w:t>
      </w:r>
    </w:p>
    <w:p>
      <w:pPr>
        <w:spacing w:after="0" w:line="186" w:lineRule="exact"/>
        <w:rPr>
          <w:sz w:val="20"/>
          <w:szCs w:val="20"/>
          <w:color w:val="auto"/>
        </w:rPr>
      </w:pPr>
    </w:p>
    <w:p>
      <w:pPr>
        <w:jc w:val="both"/>
        <w:ind w:left="660" w:firstLine="1292"/>
        <w:spacing w:after="0" w:line="273" w:lineRule="auto"/>
        <w:tabs>
          <w:tab w:leader="none" w:pos="2604"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Corporation may, in its sole discretion and subject to the following sentence, establish a procedure to permit the satisfaction of the Withholding Taxes by the Participant in the form of cash and shall inform Participant of any such procedure (the “Alternate Arrangement”). In the event an Alternate Arrangement is approved, Participant shall (i) make satisfactory arrangements with the Corporation’s Human Resources Department, on or before the expiration of the notification period designated by the Corporation preceding the applicable issuance date of the Shares, to pay the applicable Withholding Taxes through the delivery of cash or a cash equivalent to the Corporation in the amount of such Withholding Taxes and (ii) deliver such payment to the Corporation not later than that issuance date. Otherwise the Corporation shall collect the Withholding Taxes applicable to the Share issuance through the automatic share withholding method set forth in Section 8(c)(ii).</w:t>
      </w:r>
    </w:p>
    <w:p>
      <w:pPr>
        <w:spacing w:after="0" w:line="154" w:lineRule="exact"/>
        <w:rPr>
          <w:rFonts w:ascii="Arial" w:cs="Arial" w:eastAsia="Arial" w:hAnsi="Arial"/>
          <w:sz w:val="19"/>
          <w:szCs w:val="19"/>
          <w:color w:val="auto"/>
        </w:rPr>
      </w:pPr>
    </w:p>
    <w:p>
      <w:pPr>
        <w:jc w:val="both"/>
        <w:ind w:left="660" w:firstLine="1292"/>
        <w:spacing w:after="0" w:line="278" w:lineRule="auto"/>
        <w:tabs>
          <w:tab w:leader="none" w:pos="2604" w:val="left"/>
        </w:tabs>
        <w:numPr>
          <w:ilvl w:val="0"/>
          <w:numId w:val="100"/>
        </w:numPr>
        <w:rPr>
          <w:rFonts w:ascii="Arial" w:cs="Arial" w:eastAsia="Arial" w:hAnsi="Arial"/>
          <w:sz w:val="19"/>
          <w:szCs w:val="19"/>
          <w:color w:val="auto"/>
        </w:rPr>
      </w:pPr>
      <w:r>
        <w:rPr>
          <w:rFonts w:ascii="Arial" w:cs="Arial" w:eastAsia="Arial" w:hAnsi="Arial"/>
          <w:sz w:val="19"/>
          <w:szCs w:val="19"/>
          <w:b w:val="1"/>
          <w:bCs w:val="1"/>
          <w:color w:val="auto"/>
        </w:rPr>
        <w:t>Automatic Share Withholding</w:t>
      </w:r>
      <w:r>
        <w:rPr>
          <w:rFonts w:ascii="Arial" w:cs="Arial" w:eastAsia="Arial" w:hAnsi="Arial"/>
          <w:sz w:val="19"/>
          <w:szCs w:val="19"/>
          <w:color w:val="auto"/>
        </w:rPr>
        <w:t>. On the applicable issuance date, the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withhold, from the vested Shares otherwise issuable to Participant at that time, a portion of those Shares with a Fair Market Value (measured as of the issuance date) equal to the applicable Withholding Taxes as determined by the Corporation;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number of Shares which the Corporation shall be required to so withhold shall not exceed in Fair Market Value the amount necessary to satisfy the Corporation’s required tax withholding obligations using the minimum statutory withholding rates, except as provided in Section 8(c)(iii) below (the “Applicable Withholding Rate”).</w:t>
      </w:r>
    </w:p>
    <w:p>
      <w:pPr>
        <w:spacing w:after="0" w:line="145" w:lineRule="exact"/>
        <w:rPr>
          <w:rFonts w:ascii="Arial" w:cs="Arial" w:eastAsia="Arial" w:hAnsi="Arial"/>
          <w:sz w:val="19"/>
          <w:szCs w:val="19"/>
          <w:color w:val="auto"/>
        </w:rPr>
      </w:pPr>
    </w:p>
    <w:p>
      <w:pPr>
        <w:jc w:val="both"/>
        <w:ind w:left="660" w:firstLine="1292"/>
        <w:spacing w:after="0" w:line="239" w:lineRule="auto"/>
        <w:tabs>
          <w:tab w:leader="none" w:pos="2604" w:val="left"/>
        </w:tabs>
        <w:numPr>
          <w:ilvl w:val="0"/>
          <w:numId w:val="100"/>
        </w:numPr>
        <w:rPr>
          <w:rFonts w:ascii="Arial" w:cs="Arial" w:eastAsia="Arial" w:hAnsi="Arial"/>
          <w:sz w:val="22"/>
          <w:szCs w:val="22"/>
          <w:color w:val="auto"/>
        </w:rPr>
      </w:pPr>
      <w:r>
        <w:rPr>
          <w:rFonts w:ascii="Arial" w:cs="Arial" w:eastAsia="Arial" w:hAnsi="Arial"/>
          <w:sz w:val="22"/>
          <w:szCs w:val="22"/>
          <w:b w:val="1"/>
          <w:bCs w:val="1"/>
          <w:color w:val="auto"/>
        </w:rPr>
        <w:t>Amount of Withholding</w:t>
      </w:r>
      <w:r>
        <w:rPr>
          <w:rFonts w:ascii="Arial" w:cs="Arial" w:eastAsia="Arial" w:hAnsi="Arial"/>
          <w:sz w:val="22"/>
          <w:szCs w:val="22"/>
          <w:color w:val="auto"/>
        </w:rPr>
        <w:t>. The amount which the Corporation shall be required to</w:t>
      </w:r>
      <w:r>
        <w:rPr>
          <w:rFonts w:ascii="Arial" w:cs="Arial" w:eastAsia="Arial" w:hAnsi="Arial"/>
          <w:sz w:val="22"/>
          <w:szCs w:val="22"/>
          <w:b w:val="1"/>
          <w:bCs w:val="1"/>
          <w:color w:val="auto"/>
        </w:rPr>
        <w:t xml:space="preserve"> </w:t>
      </w:r>
      <w:r>
        <w:rPr>
          <w:rFonts w:ascii="Arial" w:cs="Arial" w:eastAsia="Arial" w:hAnsi="Arial"/>
          <w:sz w:val="22"/>
          <w:szCs w:val="22"/>
          <w:color w:val="auto"/>
        </w:rPr>
        <w:t>so withhold shall not exceed in Fair Market Value the amount necessary to satisfy the Corporation’s required tax withholding obligations using the minimum statutory withholding rates for federal and state tax purposes, including payroll taxes,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10" w:name="page111"/>
    <w:bookmarkEnd w:id="110"/>
    <w:p>
      <w:pPr>
        <w:jc w:val="both"/>
        <w:ind w:left="660"/>
        <w:spacing w:after="0" w:line="271" w:lineRule="auto"/>
        <w:rPr>
          <w:sz w:val="20"/>
          <w:szCs w:val="20"/>
          <w:color w:val="auto"/>
        </w:rPr>
      </w:pPr>
      <w:r>
        <w:rPr>
          <w:rFonts w:ascii="Arial" w:cs="Arial" w:eastAsia="Arial" w:hAnsi="Arial"/>
          <w:sz w:val="19"/>
          <w:szCs w:val="19"/>
          <w:color w:val="auto"/>
        </w:rPr>
        <w:t>applicable to supplemental taxable income. However, Participant may elect an alternate Applicable Withholding Rate equal to the maximum statutory tax rate for the applicable withholding tax in Participant’s applicable jurisdictions (the “Alternate Withholding Rate”). To request an Alternate Withholding Rate, the Participant must complete and return to the Corporation the appropriate Corporation’s Form of Alternate Withholding Rate (the “Alternate Rate Form”) within the required timeframe provided for by the Corporation. The Alternate Rate Form can be obtained from the Corporation’s Human Resources Department. Any election of an Alternate Withholding Rate under an Alternate Rate Form will become the default Applicable Withholding Rate with respect to all of Participant’s outstanding equity awards (including options exercised during the applicable period) until a new Alternate Rate Form is filed with the Corporation in accordance with the administrative procedures provided for by the Corporation. An Alternate Withholding Rate is subject to the Corporation’s approval and can be approved or denied in its sole discretion. Notwithstanding Sections 8(c)(ii) and 8(c)(iii), in the event Participant is determined to be subject to Section 16 of the 1934 Act at the time of settlement, the Alternate Withholding Rate must be approved by the Corporation’s Compensation Committee.</w:t>
      </w:r>
    </w:p>
    <w:p>
      <w:pPr>
        <w:spacing w:after="0" w:line="200" w:lineRule="exact"/>
        <w:rPr>
          <w:sz w:val="20"/>
          <w:szCs w:val="20"/>
          <w:color w:val="auto"/>
        </w:rPr>
      </w:pPr>
    </w:p>
    <w:p>
      <w:pPr>
        <w:spacing w:after="0" w:line="211" w:lineRule="exact"/>
        <w:rPr>
          <w:sz w:val="20"/>
          <w:szCs w:val="20"/>
          <w:color w:val="auto"/>
        </w:rPr>
      </w:pPr>
    </w:p>
    <w:p>
      <w:pPr>
        <w:jc w:val="both"/>
        <w:ind w:firstLine="1952"/>
        <w:spacing w:after="0" w:line="273" w:lineRule="auto"/>
        <w:tabs>
          <w:tab w:leader="none" w:pos="2592" w:val="left"/>
        </w:tabs>
        <w:numPr>
          <w:ilvl w:val="1"/>
          <w:numId w:val="101"/>
        </w:numPr>
        <w:rPr>
          <w:rFonts w:ascii="Arial" w:cs="Arial" w:eastAsia="Arial" w:hAnsi="Arial"/>
          <w:sz w:val="19"/>
          <w:szCs w:val="19"/>
          <w:color w:val="auto"/>
        </w:rPr>
      </w:pPr>
      <w:r>
        <w:rPr>
          <w:rFonts w:ascii="Arial" w:cs="Arial" w:eastAsia="Arial" w:hAnsi="Arial"/>
          <w:sz w:val="19"/>
          <w:szCs w:val="19"/>
          <w:color w:val="auto"/>
        </w:rPr>
        <w:t>Notwithstanding the foregoing provisions of this Paragraph 8,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8(d) shall be applicable only to the extent necessary to comply with the applicable tax withholding requirements of Section 3121(v) of the Code.</w:t>
      </w:r>
    </w:p>
    <w:p>
      <w:pPr>
        <w:spacing w:after="0" w:line="155" w:lineRule="exact"/>
        <w:rPr>
          <w:rFonts w:ascii="Arial" w:cs="Arial" w:eastAsia="Arial" w:hAnsi="Arial"/>
          <w:sz w:val="19"/>
          <w:szCs w:val="19"/>
          <w:color w:val="auto"/>
        </w:rPr>
      </w:pPr>
    </w:p>
    <w:p>
      <w:pPr>
        <w:jc w:val="both"/>
        <w:ind w:firstLine="1952"/>
        <w:spacing w:after="0" w:line="236" w:lineRule="auto"/>
        <w:tabs>
          <w:tab w:leader="none" w:pos="2592" w:val="left"/>
        </w:tabs>
        <w:numPr>
          <w:ilvl w:val="1"/>
          <w:numId w:val="101"/>
        </w:numPr>
        <w:rPr>
          <w:rFonts w:ascii="Arial" w:cs="Arial" w:eastAsia="Arial" w:hAnsi="Arial"/>
          <w:sz w:val="22"/>
          <w:szCs w:val="22"/>
          <w:color w:val="auto"/>
        </w:rPr>
      </w:pPr>
      <w:r>
        <w:rPr>
          <w:rFonts w:ascii="Arial" w:cs="Arial" w:eastAsia="Arial" w:hAnsi="Arial"/>
          <w:sz w:val="22"/>
          <w:szCs w:val="22"/>
          <w:color w:val="auto"/>
        </w:rPr>
        <w:t>Except as otherwise provided in Paragraph 5 or this Paragraph 8, the settlement of all restricted stock units which vest under the Award shall be made solely in shares of Common Stock. In no event, however, shall any fractional shares be issued. Accordingly, the total number of shares of Common Stock to be issued at the time the Award vests shall, to the extent necessary, be rounded up to the next whole share in order to avoid the issuance of a fractional share.</w:t>
      </w:r>
    </w:p>
    <w:p>
      <w:pPr>
        <w:spacing w:after="0" w:line="181" w:lineRule="exact"/>
        <w:rPr>
          <w:rFonts w:ascii="Arial" w:cs="Arial" w:eastAsia="Arial" w:hAnsi="Arial"/>
          <w:sz w:val="22"/>
          <w:szCs w:val="22"/>
          <w:color w:val="auto"/>
        </w:rPr>
      </w:pPr>
    </w:p>
    <w:p>
      <w:pPr>
        <w:jc w:val="both"/>
        <w:ind w:firstLine="1304"/>
        <w:spacing w:after="0" w:line="243" w:lineRule="auto"/>
        <w:tabs>
          <w:tab w:leader="none" w:pos="1944" w:val="left"/>
        </w:tabs>
        <w:numPr>
          <w:ilvl w:val="0"/>
          <w:numId w:val="102"/>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 Notwithstanding any provision to the contrary in this Agreement,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extent this Award may be deemed to create a deferred compensation arrangement under Section 409A, then the following limitation and provisions shall apply:</w:t>
      </w:r>
    </w:p>
    <w:p>
      <w:pPr>
        <w:spacing w:after="0" w:line="182" w:lineRule="exact"/>
        <w:rPr>
          <w:rFonts w:ascii="Arial" w:cs="Arial" w:eastAsia="Arial" w:hAnsi="Arial"/>
          <w:sz w:val="22"/>
          <w:szCs w:val="22"/>
          <w:color w:val="auto"/>
        </w:rPr>
      </w:pPr>
    </w:p>
    <w:p>
      <w:pPr>
        <w:jc w:val="both"/>
        <w:ind w:firstLine="1952"/>
        <w:spacing w:after="0" w:line="238" w:lineRule="auto"/>
        <w:tabs>
          <w:tab w:leader="none" w:pos="2592" w:val="left"/>
        </w:tabs>
        <w:numPr>
          <w:ilvl w:val="1"/>
          <w:numId w:val="102"/>
        </w:numPr>
        <w:rPr>
          <w:rFonts w:ascii="Arial" w:cs="Arial" w:eastAsia="Arial" w:hAnsi="Arial"/>
          <w:sz w:val="22"/>
          <w:szCs w:val="22"/>
          <w:color w:val="auto"/>
        </w:rPr>
      </w:pPr>
      <w:r>
        <w:rPr>
          <w:rFonts w:ascii="Arial" w:cs="Arial" w:eastAsia="Arial" w:hAnsi="Arial"/>
          <w:sz w:val="22"/>
          <w:szCs w:val="22"/>
          <w:color w:val="auto"/>
        </w:rPr>
        <w:t xml:space="preserve">No Shares or other amounts which become issuable or distributable under this Agreement upon Participant’s Separation from Service shall actually be issued or distributed to Participant prior to the </w:t>
      </w:r>
      <w:r>
        <w:rPr>
          <w:rFonts w:ascii="Arial" w:cs="Arial" w:eastAsia="Arial" w:hAnsi="Arial"/>
          <w:sz w:val="22"/>
          <w:szCs w:val="22"/>
          <w:b w:val="1"/>
          <w:bCs w:val="1"/>
          <w:i w:val="1"/>
          <w:iCs w:val="1"/>
          <w:color w:val="auto"/>
        </w:rPr>
        <w:t>earlier</w:t>
      </w:r>
      <w:r>
        <w:rPr>
          <w:rFonts w:ascii="Arial" w:cs="Arial" w:eastAsia="Arial" w:hAnsi="Arial"/>
          <w:sz w:val="22"/>
          <w:szCs w:val="22"/>
          <w:color w:val="auto"/>
        </w:rPr>
        <w:t xml:space="preserve"> of (i) the first (1st) day of the seventh (7th) month following the date of such Separation from Service or (ii) the date of Participant’s death,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11" w:name="page112"/>
    <w:bookmarkEnd w:id="111"/>
    <w:p>
      <w:pPr>
        <w:jc w:val="both"/>
        <w:spacing w:after="0" w:line="234" w:lineRule="auto"/>
        <w:rPr>
          <w:sz w:val="20"/>
          <w:szCs w:val="20"/>
          <w:color w:val="auto"/>
        </w:rPr>
      </w:pPr>
      <w:r>
        <w:rPr>
          <w:rFonts w:ascii="Arial" w:cs="Arial" w:eastAsia="Arial" w:hAnsi="Arial"/>
          <w:sz w:val="22"/>
          <w:szCs w:val="22"/>
          <w:color w:val="auto"/>
        </w:rPr>
        <w:t>Participant is deemed at the time of such Separation from Service to be a specified employee under Section 1.409A-1(i) of the Treasury Regulations issued under Section 409A, as determined by the Plan Administrator in accordance with consistent and uniform standards applied to all other Section 409A arrangements of the Corporation, and such delayed commencement is otherwise required in order to avoid a prohibited distribution under Section 409A(a)(2) of the Code. The deferred Shares or other distributable amount shall be issued or distributed in a lump sum on the first (1st) day of the seventh (7th) month following the date of Participant’s Separation from Service or, if earlier, the first day of the month immediately following the date the Corporation receives proof of Participant’s death.</w:t>
      </w:r>
    </w:p>
    <w:p>
      <w:pPr>
        <w:spacing w:after="0" w:line="187" w:lineRule="exact"/>
        <w:rPr>
          <w:sz w:val="20"/>
          <w:szCs w:val="20"/>
          <w:color w:val="auto"/>
        </w:rPr>
      </w:pPr>
    </w:p>
    <w:p>
      <w:pPr>
        <w:jc w:val="both"/>
        <w:ind w:firstLine="1952"/>
        <w:spacing w:after="0"/>
        <w:tabs>
          <w:tab w:leader="none" w:pos="2592" w:val="left"/>
        </w:tabs>
        <w:numPr>
          <w:ilvl w:val="1"/>
          <w:numId w:val="103"/>
        </w:numPr>
        <w:rPr>
          <w:rFonts w:ascii="Arial" w:cs="Arial" w:eastAsia="Arial" w:hAnsi="Arial"/>
          <w:sz w:val="22"/>
          <w:szCs w:val="22"/>
          <w:color w:val="auto"/>
        </w:rPr>
      </w:pPr>
      <w:r>
        <w:rPr>
          <w:rFonts w:ascii="Arial" w:cs="Arial" w:eastAsia="Arial" w:hAnsi="Arial"/>
          <w:sz w:val="22"/>
          <w:szCs w:val="22"/>
          <w:color w:val="auto"/>
        </w:rPr>
        <w:t>Participant’s right to receive each installment of Shares or other installment distribution pursuant to the terms of this Agreement shall, for purposes of Section 409A, be treated as a right to receive a series of separate payments.</w:t>
      </w:r>
    </w:p>
    <w:p>
      <w:pPr>
        <w:spacing w:after="0" w:line="180" w:lineRule="exact"/>
        <w:rPr>
          <w:rFonts w:ascii="Arial" w:cs="Arial" w:eastAsia="Arial" w:hAnsi="Arial"/>
          <w:sz w:val="22"/>
          <w:szCs w:val="22"/>
          <w:color w:val="auto"/>
        </w:rPr>
      </w:pPr>
    </w:p>
    <w:p>
      <w:pPr>
        <w:jc w:val="both"/>
        <w:ind w:firstLine="1304"/>
        <w:spacing w:after="0" w:line="239" w:lineRule="auto"/>
        <w:tabs>
          <w:tab w:leader="none" w:pos="1944" w:val="left"/>
        </w:tabs>
        <w:numPr>
          <w:ilvl w:val="0"/>
          <w:numId w:val="104"/>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Laws and Regulations</w:t>
      </w:r>
      <w:r>
        <w:rPr>
          <w:rFonts w:ascii="Arial" w:cs="Arial" w:eastAsia="Arial" w:hAnsi="Arial"/>
          <w:sz w:val="22"/>
          <w:szCs w:val="22"/>
          <w:color w:val="auto"/>
        </w:rPr>
        <w:t>. The issuance of shares of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80" w:lineRule="exact"/>
        <w:rPr>
          <w:rFonts w:ascii="Arial" w:cs="Arial" w:eastAsia="Arial" w:hAnsi="Arial"/>
          <w:sz w:val="22"/>
          <w:szCs w:val="22"/>
          <w:color w:val="auto"/>
        </w:rPr>
      </w:pPr>
    </w:p>
    <w:p>
      <w:pPr>
        <w:jc w:val="both"/>
        <w:ind w:firstLine="1304"/>
        <w:spacing w:after="0" w:line="283" w:lineRule="auto"/>
        <w:tabs>
          <w:tab w:leader="none" w:pos="1944" w:val="left"/>
        </w:tabs>
        <w:numPr>
          <w:ilvl w:val="0"/>
          <w:numId w:val="104"/>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required to be given or delivered to the Corporation under the terms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in writing and addressed to the Corporation at its principal corporate offices. Any notice required to be given or delivered to Participant shall be in writing and addressed to Participant at the address on file with the Corporation’s Human Resources Department. All notices shall be deemed effective upon personal delivery or upon deposit in the U.S. mail, postage prepaid and properly addressed to the party to be notified.</w:t>
      </w:r>
    </w:p>
    <w:p>
      <w:pPr>
        <w:spacing w:after="0" w:line="142" w:lineRule="exact"/>
        <w:rPr>
          <w:rFonts w:ascii="Arial" w:cs="Arial" w:eastAsia="Arial" w:hAnsi="Arial"/>
          <w:sz w:val="19"/>
          <w:szCs w:val="19"/>
          <w:color w:val="auto"/>
        </w:rPr>
      </w:pPr>
    </w:p>
    <w:p>
      <w:pPr>
        <w:jc w:val="both"/>
        <w:ind w:firstLine="1304"/>
        <w:spacing w:after="0" w:line="289" w:lineRule="auto"/>
        <w:tabs>
          <w:tab w:leader="none" w:pos="1944" w:val="left"/>
        </w:tabs>
        <w:numPr>
          <w:ilvl w:val="0"/>
          <w:numId w:val="104"/>
        </w:numPr>
        <w:rPr>
          <w:rFonts w:ascii="Arial" w:cs="Arial" w:eastAsia="Arial" w:hAnsi="Arial"/>
          <w:sz w:val="19"/>
          <w:szCs w:val="19"/>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color w:val="auto"/>
        </w:rPr>
        <w:t>. Except to the extent otherwise provided in this Agreement,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35" w:lineRule="exact"/>
        <w:rPr>
          <w:rFonts w:ascii="Arial" w:cs="Arial" w:eastAsia="Arial" w:hAnsi="Arial"/>
          <w:sz w:val="19"/>
          <w:szCs w:val="19"/>
          <w:color w:val="auto"/>
        </w:rPr>
      </w:pPr>
    </w:p>
    <w:p>
      <w:pPr>
        <w:ind w:left="1960" w:hanging="656"/>
        <w:spacing w:after="0"/>
        <w:tabs>
          <w:tab w:leader="none" w:pos="1960" w:val="left"/>
        </w:tabs>
        <w:numPr>
          <w:ilvl w:val="0"/>
          <w:numId w:val="104"/>
        </w:numPr>
        <w:rPr>
          <w:rFonts w:ascii="Arial" w:cs="Arial" w:eastAsia="Arial" w:hAnsi="Arial"/>
          <w:sz w:val="22"/>
          <w:szCs w:val="22"/>
          <w:color w:val="auto"/>
        </w:rPr>
      </w:pPr>
      <w:r>
        <w:rPr>
          <w:rFonts w:ascii="Arial" w:cs="Arial" w:eastAsia="Arial" w:hAnsi="Arial"/>
          <w:sz w:val="22"/>
          <w:szCs w:val="22"/>
          <w:b w:val="1"/>
          <w:bCs w:val="1"/>
          <w:u w:val="single" w:color="auto"/>
          <w:color w:val="auto"/>
        </w:rPr>
        <w:t>Construction</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line="287" w:lineRule="auto"/>
        <w:tabs>
          <w:tab w:leader="none" w:pos="2592" w:val="left"/>
        </w:tabs>
        <w:numPr>
          <w:ilvl w:val="1"/>
          <w:numId w:val="104"/>
        </w:numPr>
        <w:rPr>
          <w:rFonts w:ascii="Arial" w:cs="Arial" w:eastAsia="Arial" w:hAnsi="Arial"/>
          <w:sz w:val="19"/>
          <w:szCs w:val="19"/>
          <w:color w:val="auto"/>
        </w:rPr>
      </w:pPr>
      <w:r>
        <w:rPr>
          <w:rFonts w:ascii="Arial" w:cs="Arial" w:eastAsia="Arial" w:hAnsi="Arial"/>
          <w:sz w:val="19"/>
          <w:szCs w:val="19"/>
          <w:color w:val="auto"/>
        </w:rPr>
        <w:t>This Agreement and the Award evidenced hereby are made and granted pursuant to the Plan and are in all respects limited by and subject to the terms of the Plan and any applicable Change in Control Benefits Agreement. All decisions of the Plan Administrator with respect to any question or issue arising under the Plan or this Agreement shall be conclusive and binding on all persons having an interest in the Award.</w:t>
      </w:r>
    </w:p>
    <w:p>
      <w:pPr>
        <w:spacing w:after="0" w:line="142" w:lineRule="exact"/>
        <w:rPr>
          <w:rFonts w:ascii="Arial" w:cs="Arial" w:eastAsia="Arial" w:hAnsi="Arial"/>
          <w:sz w:val="19"/>
          <w:szCs w:val="19"/>
          <w:color w:val="auto"/>
        </w:rPr>
      </w:pPr>
    </w:p>
    <w:p>
      <w:pPr>
        <w:jc w:val="both"/>
        <w:ind w:firstLine="1952"/>
        <w:spacing w:after="0" w:line="287" w:lineRule="auto"/>
        <w:tabs>
          <w:tab w:leader="none" w:pos="2652" w:val="left"/>
        </w:tabs>
        <w:numPr>
          <w:ilvl w:val="1"/>
          <w:numId w:val="104"/>
        </w:numPr>
        <w:rPr>
          <w:rFonts w:ascii="Arial" w:cs="Arial" w:eastAsia="Arial" w:hAnsi="Arial"/>
          <w:sz w:val="19"/>
          <w:szCs w:val="19"/>
          <w:color w:val="auto"/>
        </w:rPr>
      </w:pPr>
      <w:r>
        <w:rPr>
          <w:rFonts w:ascii="Arial" w:cs="Arial" w:eastAsia="Arial" w:hAnsi="Arial"/>
          <w:sz w:val="19"/>
          <w:szCs w:val="19"/>
          <w:color w:val="auto"/>
        </w:rPr>
        <w:t>To the extent there is any ambiguity as to whether any provision of this Agreement would otherwise contravene one or more applicable requirements or limitations of Section 409A and the Treasury Regulations thereunder, such provision shall be interpreted and applied in a manner that complies with the applicable requirements of Section 409A and the Treasury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12" w:name="page113"/>
    <w:bookmarkEnd w:id="112"/>
    <w:p>
      <w:pPr>
        <w:jc w:val="both"/>
        <w:ind w:firstLine="1952"/>
        <w:spacing w:after="0"/>
        <w:tabs>
          <w:tab w:leader="none" w:pos="2592" w:val="left"/>
        </w:tabs>
        <w:numPr>
          <w:ilvl w:val="1"/>
          <w:numId w:val="105"/>
        </w:numPr>
        <w:rPr>
          <w:rFonts w:ascii="Arial" w:cs="Arial" w:eastAsia="Arial" w:hAnsi="Arial"/>
          <w:sz w:val="22"/>
          <w:szCs w:val="22"/>
          <w:color w:val="auto"/>
        </w:rPr>
      </w:pPr>
      <w:r>
        <w:rPr>
          <w:rFonts w:ascii="Arial" w:cs="Arial" w:eastAsia="Arial" w:hAnsi="Arial"/>
          <w:sz w:val="22"/>
          <w:szCs w:val="22"/>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80" w:lineRule="exact"/>
        <w:rPr>
          <w:rFonts w:ascii="Arial" w:cs="Arial" w:eastAsia="Arial" w:hAnsi="Arial"/>
          <w:sz w:val="22"/>
          <w:szCs w:val="22"/>
          <w:color w:val="auto"/>
        </w:rPr>
      </w:pPr>
    </w:p>
    <w:p>
      <w:pPr>
        <w:ind w:firstLine="1304"/>
        <w:spacing w:after="0" w:line="280" w:lineRule="auto"/>
        <w:tabs>
          <w:tab w:leader="none" w:pos="1944" w:val="left"/>
        </w:tabs>
        <w:numPr>
          <w:ilvl w:val="0"/>
          <w:numId w:val="106"/>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The interpretation, performance and enforcement of this Agreement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 governed by the laws of the State of Hawaii without regard to that State’s conflict-of-laws rules.</w:t>
      </w:r>
    </w:p>
    <w:p>
      <w:pPr>
        <w:spacing w:after="0" w:line="138" w:lineRule="exact"/>
        <w:rPr>
          <w:rFonts w:ascii="Arial" w:cs="Arial" w:eastAsia="Arial" w:hAnsi="Arial"/>
          <w:sz w:val="21"/>
          <w:szCs w:val="21"/>
          <w:color w:val="auto"/>
        </w:rPr>
      </w:pPr>
    </w:p>
    <w:p>
      <w:pPr>
        <w:ind w:left="1960" w:hanging="656"/>
        <w:spacing w:after="0"/>
        <w:tabs>
          <w:tab w:leader="none" w:pos="1960" w:val="left"/>
        </w:tabs>
        <w:numPr>
          <w:ilvl w:val="0"/>
          <w:numId w:val="106"/>
        </w:numPr>
        <w:rPr>
          <w:rFonts w:ascii="Arial" w:cs="Arial" w:eastAsia="Arial" w:hAnsi="Arial"/>
          <w:sz w:val="22"/>
          <w:szCs w:val="22"/>
          <w:color w:val="auto"/>
        </w:rPr>
      </w:pPr>
      <w:r>
        <w:rPr>
          <w:rFonts w:ascii="Arial" w:cs="Arial" w:eastAsia="Arial" w:hAnsi="Arial"/>
          <w:sz w:val="22"/>
          <w:szCs w:val="22"/>
          <w:b w:val="1"/>
          <w:bCs w:val="1"/>
          <w:u w:val="single" w:color="auto"/>
          <w:color w:val="auto"/>
        </w:rPr>
        <w:t>Arbitration.</w:t>
      </w:r>
    </w:p>
    <w:p>
      <w:pPr>
        <w:spacing w:after="0" w:line="212" w:lineRule="exact"/>
        <w:rPr>
          <w:rFonts w:ascii="Arial" w:cs="Arial" w:eastAsia="Arial" w:hAnsi="Arial"/>
          <w:sz w:val="22"/>
          <w:szCs w:val="22"/>
          <w:color w:val="auto"/>
        </w:rPr>
      </w:pPr>
    </w:p>
    <w:p>
      <w:pPr>
        <w:jc w:val="both"/>
        <w:ind w:firstLine="1952"/>
        <w:spacing w:after="0" w:line="269" w:lineRule="auto"/>
        <w:tabs>
          <w:tab w:leader="none" w:pos="2592" w:val="left"/>
        </w:tabs>
        <w:numPr>
          <w:ilvl w:val="1"/>
          <w:numId w:val="106"/>
        </w:numPr>
        <w:rPr>
          <w:rFonts w:ascii="Arial" w:cs="Arial" w:eastAsia="Arial" w:hAnsi="Arial"/>
          <w:sz w:val="19"/>
          <w:szCs w:val="19"/>
          <w:color w:val="auto"/>
        </w:rPr>
      </w:pPr>
      <w:r>
        <w:rPr>
          <w:rFonts w:ascii="Arial" w:cs="Arial" w:eastAsia="Arial" w:hAnsi="Arial"/>
          <w:sz w:val="19"/>
          <w:szCs w:val="19"/>
          <w:color w:val="auto"/>
        </w:rPr>
        <w:t>Any dispute or controversy arising under or in connection with this Agreement shall be settled exclusively by arbitration, conducted before a single arbitrator who is an attorney or retired judge with expertise and experience in the field of employment law. The arbitration shall be held under the auspices of JAMS in accordance with JAMS then-current Employment Arbitration Rules and Procedures (available at http://www.jamsadr.com/rules-employment-arbitration/) and subject to JAMS Policy on Employment Arbitration Minimum Standards of Procedural Fairness. The arbitration shall take place in or near the city in which Participant is employed by the Corporation or was last employed by the Corporation. The arbitrator shall make a written award and shall prepare a written opinion containing the findings and conclusions on which the award was based. The decision of the arbitrator will be final and binding upon the parties hereto. Judgment may be entered on the arbitrator’s award in any court having jurisdiction. The parties acknowledge and agree that in connection with any such arbitration and regardless of outcome, (a) each party shall pay all of its own costs and expenses, including, without limitation, its own legal fees and expenses, and (b) the arbitration costs shall be borne entirely by the Corporation. The arbitration shall be confidential and no details concerning such arbitration shall be disclosed or released to any third party without the specific written consent of the non-disclosing party, unless required by law or court order, as necessary to prosecute or defend the arbitration, or in connection with enforcement of any decision in such arbitration. This agreement to arbitrate is mutually entered into between the parties. Each party fully understands and agrees that they are giving up certain rights otherwise afforded to them by civil court actions, including but not limited to the right to a jury trial. Nothing in this Agreement shall prevent Participant from filing charges or claims with the Equal Employment Opportunity Commission, the U.S. Department of Labor, or any other federal, state or local government agency. However, Participant may seek individual monetary relief only through arbitration under this Agreement. The Corporation and Participant further agree that any claim submitted to arbitration must be brought in the party’s individual capacity, and not as a plaintiff or class member in any purported class, representative or consolidated proceeding.</w:t>
      </w:r>
    </w:p>
    <w:p>
      <w:pPr>
        <w:spacing w:after="0" w:line="166" w:lineRule="exact"/>
        <w:rPr>
          <w:rFonts w:ascii="Arial" w:cs="Arial" w:eastAsia="Arial" w:hAnsi="Arial"/>
          <w:sz w:val="19"/>
          <w:szCs w:val="19"/>
          <w:color w:val="auto"/>
        </w:rPr>
      </w:pPr>
    </w:p>
    <w:p>
      <w:pPr>
        <w:ind w:firstLine="1952"/>
        <w:spacing w:after="0" w:line="334" w:lineRule="auto"/>
        <w:tabs>
          <w:tab w:leader="none" w:pos="2592" w:val="left"/>
        </w:tabs>
        <w:numPr>
          <w:ilvl w:val="1"/>
          <w:numId w:val="106"/>
        </w:numPr>
        <w:rPr>
          <w:rFonts w:ascii="Arial" w:cs="Arial" w:eastAsia="Arial" w:hAnsi="Arial"/>
          <w:sz w:val="19"/>
          <w:szCs w:val="19"/>
          <w:color w:val="auto"/>
        </w:rPr>
      </w:pPr>
      <w:r>
        <w:rPr>
          <w:rFonts w:ascii="Arial" w:cs="Arial" w:eastAsia="Arial" w:hAnsi="Arial"/>
          <w:sz w:val="19"/>
          <w:szCs w:val="19"/>
          <w:b w:val="1"/>
          <w:bCs w:val="1"/>
          <w:color w:val="auto"/>
        </w:rPr>
        <w:t>Each party fully understands and agrees that they are giving up certain rights otherwise afforded to them by civil court actions, including but not limited to the right to a jury trial.</w:t>
      </w:r>
    </w:p>
    <w:p>
      <w:pPr>
        <w:spacing w:after="0" w:line="93" w:lineRule="exact"/>
        <w:rPr>
          <w:rFonts w:ascii="Arial" w:cs="Arial" w:eastAsia="Arial" w:hAnsi="Arial"/>
          <w:sz w:val="19"/>
          <w:szCs w:val="19"/>
          <w:color w:val="auto"/>
        </w:rPr>
      </w:pPr>
    </w:p>
    <w:p>
      <w:pPr>
        <w:jc w:val="both"/>
        <w:ind w:firstLine="1304"/>
        <w:spacing w:after="0" w:line="239" w:lineRule="auto"/>
        <w:tabs>
          <w:tab w:leader="none" w:pos="1944" w:val="left"/>
        </w:tabs>
        <w:numPr>
          <w:ilvl w:val="0"/>
          <w:numId w:val="106"/>
        </w:numPr>
        <w:rPr>
          <w:rFonts w:ascii="Arial" w:cs="Arial" w:eastAsia="Arial" w:hAnsi="Arial"/>
          <w:sz w:val="22"/>
          <w:szCs w:val="22"/>
          <w:color w:val="auto"/>
        </w:rPr>
      </w:pPr>
      <w:r>
        <w:rPr>
          <w:rFonts w:ascii="Arial" w:cs="Arial" w:eastAsia="Arial" w:hAnsi="Arial"/>
          <w:sz w:val="22"/>
          <w:szCs w:val="22"/>
          <w:b w:val="1"/>
          <w:bCs w:val="1"/>
          <w:u w:val="single" w:color="auto"/>
          <w:color w:val="auto"/>
        </w:rPr>
        <w:t>Coverage under Recoupment Policy</w:t>
      </w:r>
      <w:r>
        <w:rPr>
          <w:rFonts w:ascii="Arial" w:cs="Arial" w:eastAsia="Arial" w:hAnsi="Arial"/>
          <w:sz w:val="22"/>
          <w:szCs w:val="22"/>
          <w:color w:val="auto"/>
        </w:rPr>
        <w:t>. If Participant is on the Award Date, or at any time</w:t>
      </w:r>
      <w:r>
        <w:rPr>
          <w:rFonts w:ascii="Arial" w:cs="Arial" w:eastAsia="Arial" w:hAnsi="Arial"/>
          <w:sz w:val="22"/>
          <w:szCs w:val="22"/>
          <w:b w:val="1"/>
          <w:bCs w:val="1"/>
          <w:color w:val="auto"/>
        </w:rPr>
        <w:t xml:space="preserve"> </w:t>
      </w:r>
      <w:r>
        <w:rPr>
          <w:rFonts w:ascii="Arial" w:cs="Arial" w:eastAsia="Arial" w:hAnsi="Arial"/>
          <w:sz w:val="22"/>
          <w:szCs w:val="22"/>
          <w:color w:val="auto"/>
        </w:rPr>
        <w:t>thereafter becomes, an executive officer of the Corporation subject to Section 16 of the 1934 Act, then Participant shall be subject to the Matson, Inc. Policy Regarding Recoupment of Certain Compensation (as amended from time to time, the “Recoupment Policy”), the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13" w:name="page114"/>
    <w:bookmarkEnd w:id="113"/>
    <w:p>
      <w:pPr>
        <w:spacing w:after="0" w:line="328" w:lineRule="auto"/>
        <w:rPr>
          <w:sz w:val="20"/>
          <w:szCs w:val="20"/>
          <w:color w:val="auto"/>
        </w:rPr>
      </w:pPr>
      <w:r>
        <w:rPr>
          <w:rFonts w:ascii="Arial" w:cs="Arial" w:eastAsia="Arial" w:hAnsi="Arial"/>
          <w:sz w:val="19"/>
          <w:szCs w:val="19"/>
          <w:color w:val="auto"/>
        </w:rPr>
        <w:t>which are hereby incorporated herein by reference and receipt of a copy of which Participant hereby acknowledges. A copy of the Recoupment Policy is available upon request made to the Corporate Secretary.</w:t>
      </w:r>
    </w:p>
    <w:p>
      <w:pPr>
        <w:spacing w:after="0" w:line="99" w:lineRule="exact"/>
        <w:rPr>
          <w:sz w:val="20"/>
          <w:szCs w:val="20"/>
          <w:color w:val="auto"/>
        </w:rPr>
      </w:pPr>
    </w:p>
    <w:p>
      <w:pPr>
        <w:ind w:left="1880" w:hanging="576"/>
        <w:spacing w:after="0"/>
        <w:tabs>
          <w:tab w:leader="none" w:pos="1880" w:val="left"/>
        </w:tabs>
        <w:numPr>
          <w:ilvl w:val="0"/>
          <w:numId w:val="107"/>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line="238" w:lineRule="auto"/>
        <w:tabs>
          <w:tab w:leader="none" w:pos="2592" w:val="left"/>
        </w:tabs>
        <w:numPr>
          <w:ilvl w:val="1"/>
          <w:numId w:val="107"/>
        </w:numPr>
        <w:rPr>
          <w:rFonts w:ascii="Arial" w:cs="Arial" w:eastAsia="Arial" w:hAnsi="Arial"/>
          <w:sz w:val="22"/>
          <w:szCs w:val="22"/>
          <w:color w:val="auto"/>
        </w:rPr>
      </w:pPr>
      <w:r>
        <w:rPr>
          <w:rFonts w:ascii="Arial" w:cs="Arial" w:eastAsia="Arial" w:hAnsi="Arial"/>
          <w:sz w:val="22"/>
          <w:szCs w:val="22"/>
          <w:color w:val="auto"/>
        </w:rPr>
        <w:t>Participant hereby explicitly and unambiguously consents to the collection, use and transfer, in electronic or other form, of Participant’s personal data as described in this Agreement by the Corporation for the exclusive purpose of implementing, administering and managing Participant’s participation in the Plan.</w:t>
      </w:r>
    </w:p>
    <w:p>
      <w:pPr>
        <w:spacing w:after="0" w:line="184" w:lineRule="exact"/>
        <w:rPr>
          <w:rFonts w:ascii="Arial" w:cs="Arial" w:eastAsia="Arial" w:hAnsi="Arial"/>
          <w:sz w:val="22"/>
          <w:szCs w:val="22"/>
          <w:color w:val="auto"/>
        </w:rPr>
      </w:pPr>
    </w:p>
    <w:p>
      <w:pPr>
        <w:jc w:val="both"/>
        <w:ind w:firstLine="1952"/>
        <w:spacing w:after="0" w:line="271" w:lineRule="auto"/>
        <w:tabs>
          <w:tab w:leader="none" w:pos="2592" w:val="left"/>
        </w:tabs>
        <w:numPr>
          <w:ilvl w:val="1"/>
          <w:numId w:val="107"/>
        </w:numPr>
        <w:rPr>
          <w:rFonts w:ascii="Arial" w:cs="Arial" w:eastAsia="Arial" w:hAnsi="Arial"/>
          <w:sz w:val="19"/>
          <w:szCs w:val="19"/>
          <w:color w:val="auto"/>
        </w:rPr>
      </w:pPr>
      <w:r>
        <w:rPr>
          <w:rFonts w:ascii="Arial" w:cs="Arial" w:eastAsia="Arial" w:hAnsi="Arial"/>
          <w:sz w:val="19"/>
          <w:szCs w:val="19"/>
          <w:color w:val="auto"/>
        </w:rPr>
        <w:t>Participant understands that the Corporation holds certain personal 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 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 in electronic or other form, for the purposes of implementing, administering and managing 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spacing w:after="0" w:line="158" w:lineRule="exact"/>
        <w:rPr>
          <w:rFonts w:ascii="Arial" w:cs="Arial" w:eastAsia="Arial" w:hAnsi="Arial"/>
          <w:sz w:val="19"/>
          <w:szCs w:val="19"/>
          <w:color w:val="auto"/>
        </w:rPr>
      </w:pPr>
    </w:p>
    <w:p>
      <w:pPr>
        <w:jc w:val="both"/>
        <w:ind w:right="20" w:firstLine="1304"/>
        <w:spacing w:after="0" w:line="239" w:lineRule="auto"/>
        <w:tabs>
          <w:tab w:leader="none" w:pos="1944" w:val="left"/>
        </w:tabs>
        <w:numPr>
          <w:ilvl w:val="0"/>
          <w:numId w:val="107"/>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This Agreement may not be altered, modified, or amended except by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instrument signed by the parties hereto; provided that the Corporation may alter, modify or amend this Agreement unilaterally if such change is not materially adverse to Participant or to cause this Agreement to comply with applicable law.</w:t>
      </w:r>
    </w:p>
    <w:p>
      <w:pPr>
        <w:spacing w:after="0" w:line="180" w:lineRule="exact"/>
        <w:rPr>
          <w:rFonts w:ascii="Arial" w:cs="Arial" w:eastAsia="Arial" w:hAnsi="Arial"/>
          <w:sz w:val="22"/>
          <w:szCs w:val="22"/>
          <w:color w:val="auto"/>
        </w:rPr>
      </w:pPr>
    </w:p>
    <w:p>
      <w:pPr>
        <w:jc w:val="both"/>
        <w:ind w:firstLine="1304"/>
        <w:spacing w:after="0" w:line="243" w:lineRule="auto"/>
        <w:tabs>
          <w:tab w:leader="none" w:pos="1944" w:val="left"/>
        </w:tabs>
        <w:numPr>
          <w:ilvl w:val="0"/>
          <w:numId w:val="107"/>
        </w:numPr>
        <w:rPr>
          <w:rFonts w:ascii="Arial" w:cs="Arial" w:eastAsia="Arial" w:hAnsi="Arial"/>
          <w:sz w:val="22"/>
          <w:szCs w:val="22"/>
          <w:color w:val="auto"/>
        </w:rPr>
      </w:pPr>
      <w:r>
        <w:rPr>
          <w:rFonts w:ascii="Arial" w:cs="Arial" w:eastAsia="Arial" w:hAnsi="Arial"/>
          <w:sz w:val="22"/>
          <w:szCs w:val="22"/>
          <w:b w:val="1"/>
          <w:bCs w:val="1"/>
          <w:u w:val="single" w:color="auto"/>
          <w:color w:val="auto"/>
        </w:rPr>
        <w:t>Other Agreements Superseded</w:t>
      </w:r>
      <w:r>
        <w:rPr>
          <w:rFonts w:ascii="Arial" w:cs="Arial" w:eastAsia="Arial" w:hAnsi="Arial"/>
          <w:sz w:val="22"/>
          <w:szCs w:val="22"/>
          <w:color w:val="auto"/>
        </w:rPr>
        <w:t>. The Award Notice, this Agreement,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the entire understanding between Participant and the Corporation regarding the Award. Any prior agreements, commitments or negotiations concerning the Award are superseded.</w:t>
      </w:r>
    </w:p>
    <w:p>
      <w:pPr>
        <w:spacing w:after="0" w:line="176" w:lineRule="exact"/>
        <w:rPr>
          <w:rFonts w:ascii="Arial" w:cs="Arial" w:eastAsia="Arial" w:hAnsi="Arial"/>
          <w:sz w:val="22"/>
          <w:szCs w:val="22"/>
          <w:color w:val="auto"/>
        </w:rPr>
      </w:pPr>
    </w:p>
    <w:p>
      <w:pPr>
        <w:jc w:val="both"/>
        <w:ind w:firstLine="1304"/>
        <w:spacing w:after="0" w:line="300" w:lineRule="auto"/>
        <w:tabs>
          <w:tab w:leader="none" w:pos="1944" w:val="left"/>
        </w:tabs>
        <w:numPr>
          <w:ilvl w:val="0"/>
          <w:numId w:val="107"/>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Plan Document</w:t>
      </w:r>
      <w:r>
        <w:rPr>
          <w:rFonts w:ascii="Arial" w:cs="Arial" w:eastAsia="Arial" w:hAnsi="Arial"/>
          <w:sz w:val="19"/>
          <w:szCs w:val="19"/>
          <w:color w:val="auto"/>
        </w:rPr>
        <w:t>. The Award is subject to all the provisions of the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which are hereby made a part of the Award, and is further subject to all interpretations, amendments, rules and regulations, which may from time to time be promulgated and adopted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2"/>
          <w:szCs w:val="22"/>
          <w:b w:val="1"/>
          <w:bCs w:val="1"/>
          <w:color w:val="auto"/>
        </w:rPr>
        <w:t>APPENDIX A</w:t>
      </w:r>
    </w:p>
    <w:p>
      <w:pPr>
        <w:spacing w:after="0" w:line="233" w:lineRule="exact"/>
        <w:rPr>
          <w:sz w:val="20"/>
          <w:szCs w:val="20"/>
          <w:color w:val="auto"/>
        </w:rPr>
      </w:pPr>
    </w:p>
    <w:p>
      <w:pPr>
        <w:ind w:left="424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following definitions shall be in effect under the Agreement:</w:t>
      </w:r>
    </w:p>
    <w:p>
      <w:pPr>
        <w:spacing w:after="0" w:line="200" w:lineRule="exact"/>
        <w:rPr>
          <w:sz w:val="20"/>
          <w:szCs w:val="20"/>
          <w:color w:val="auto"/>
        </w:rPr>
      </w:pPr>
    </w:p>
    <w:p>
      <w:pPr>
        <w:ind w:left="1960" w:hanging="656"/>
        <w:spacing w:after="0"/>
        <w:tabs>
          <w:tab w:leader="none" w:pos="1960" w:val="left"/>
        </w:tabs>
        <w:numPr>
          <w:ilvl w:val="1"/>
          <w:numId w:val="108"/>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this Performance Share Award Agreement.</w:t>
      </w:r>
    </w:p>
    <w:p>
      <w:pPr>
        <w:spacing w:after="0" w:line="206" w:lineRule="exact"/>
        <w:rPr>
          <w:rFonts w:ascii="Arial" w:cs="Arial" w:eastAsia="Arial" w:hAnsi="Arial"/>
          <w:sz w:val="22"/>
          <w:szCs w:val="22"/>
          <w:color w:val="auto"/>
        </w:rPr>
      </w:pPr>
    </w:p>
    <w:p>
      <w:pPr>
        <w:ind w:firstLine="1304"/>
        <w:spacing w:after="0" w:line="256" w:lineRule="auto"/>
        <w:tabs>
          <w:tab w:leader="none" w:pos="1944" w:val="left"/>
        </w:tabs>
        <w:numPr>
          <w:ilvl w:val="1"/>
          <w:numId w:val="108"/>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award of Performance Shares made to Participant pursuant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of this Agreement.</w:t>
      </w:r>
    </w:p>
    <w:p>
      <w:pPr>
        <w:spacing w:after="0" w:line="162" w:lineRule="exact"/>
        <w:rPr>
          <w:rFonts w:ascii="Arial" w:cs="Arial" w:eastAsia="Arial" w:hAnsi="Arial"/>
          <w:sz w:val="22"/>
          <w:szCs w:val="22"/>
          <w:color w:val="auto"/>
        </w:rPr>
      </w:pPr>
    </w:p>
    <w:p>
      <w:pPr>
        <w:ind w:right="20" w:firstLine="1304"/>
        <w:spacing w:after="0" w:line="280" w:lineRule="auto"/>
        <w:tabs>
          <w:tab w:leader="none" w:pos="1944" w:val="left"/>
        </w:tabs>
        <w:numPr>
          <w:ilvl w:val="1"/>
          <w:numId w:val="108"/>
        </w:numPr>
        <w:rPr>
          <w:rFonts w:ascii="Arial" w:cs="Arial" w:eastAsia="Arial" w:hAnsi="Arial"/>
          <w:sz w:val="21"/>
          <w:szCs w:val="21"/>
          <w:color w:val="auto"/>
        </w:rPr>
      </w:pPr>
      <w:r>
        <w:rPr>
          <w:rFonts w:ascii="Arial" w:cs="Arial" w:eastAsia="Arial" w:hAnsi="Arial"/>
          <w:sz w:val="21"/>
          <w:szCs w:val="21"/>
          <w:b w:val="1"/>
          <w:bCs w:val="1"/>
          <w:u w:val="single" w:color="auto"/>
          <w:color w:val="auto"/>
        </w:rPr>
        <w:t>Award Date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date the Performance Shares are awarded to Participant</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the Agreement and shall be the date specified in Paragraph 1 of the Award Notice.</w:t>
      </w:r>
    </w:p>
    <w:p>
      <w:pPr>
        <w:spacing w:after="0" w:line="138" w:lineRule="exact"/>
        <w:rPr>
          <w:rFonts w:ascii="Arial" w:cs="Arial" w:eastAsia="Arial" w:hAnsi="Arial"/>
          <w:sz w:val="21"/>
          <w:szCs w:val="21"/>
          <w:color w:val="auto"/>
        </w:rPr>
      </w:pPr>
    </w:p>
    <w:p>
      <w:pPr>
        <w:ind w:firstLine="1304"/>
        <w:spacing w:after="0" w:line="280" w:lineRule="auto"/>
        <w:tabs>
          <w:tab w:leader="none" w:pos="1944" w:val="left"/>
        </w:tabs>
        <w:numPr>
          <w:ilvl w:val="1"/>
          <w:numId w:val="108"/>
        </w:numPr>
        <w:rPr>
          <w:rFonts w:ascii="Arial" w:cs="Arial" w:eastAsia="Arial" w:hAnsi="Arial"/>
          <w:sz w:val="21"/>
          <w:szCs w:val="21"/>
          <w:color w:val="auto"/>
        </w:rPr>
      </w:pPr>
      <w:r>
        <w:rPr>
          <w:rFonts w:ascii="Arial" w:cs="Arial" w:eastAsia="Arial" w:hAnsi="Arial"/>
          <w:sz w:val="21"/>
          <w:szCs w:val="21"/>
          <w:b w:val="1"/>
          <w:bCs w:val="1"/>
          <w:u w:val="single" w:color="auto"/>
          <w:color w:val="auto"/>
        </w:rPr>
        <w:t>Award Notice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Notice of Award of Performance Shares delivered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in which there is set forth the basic terms of the Performance Shares subject to this Agreement.</w:t>
      </w:r>
    </w:p>
    <w:p>
      <w:pPr>
        <w:spacing w:after="0" w:line="138" w:lineRule="exact"/>
        <w:rPr>
          <w:rFonts w:ascii="Arial" w:cs="Arial" w:eastAsia="Arial" w:hAnsi="Arial"/>
          <w:sz w:val="21"/>
          <w:szCs w:val="21"/>
          <w:color w:val="auto"/>
        </w:rPr>
      </w:pPr>
    </w:p>
    <w:p>
      <w:pPr>
        <w:jc w:val="both"/>
        <w:ind w:firstLine="1304"/>
        <w:spacing w:after="0" w:line="289" w:lineRule="auto"/>
        <w:tabs>
          <w:tab w:leader="none" w:pos="1944" w:val="left"/>
        </w:tabs>
        <w:numPr>
          <w:ilvl w:val="1"/>
          <w:numId w:val="108"/>
        </w:numPr>
        <w:rPr>
          <w:rFonts w:ascii="Arial" w:cs="Arial" w:eastAsia="Arial" w:hAnsi="Arial"/>
          <w:sz w:val="19"/>
          <w:szCs w:val="19"/>
          <w:color w:val="auto"/>
        </w:rPr>
      </w:pPr>
      <w:r>
        <w:rPr>
          <w:rFonts w:ascii="Arial" w:cs="Arial" w:eastAsia="Arial" w:hAnsi="Arial"/>
          <w:sz w:val="19"/>
          <w:szCs w:val="19"/>
          <w:b w:val="1"/>
          <w:bCs w:val="1"/>
          <w:u w:val="single" w:color="auto"/>
          <w:color w:val="auto"/>
        </w:rPr>
        <w:t>Cause</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set forth in the Plan document;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event Participant is, at the time the Corporation (or any Parent or Subsidiary) purports to terminate Participant’s Employee status for Cause, a party to a Change in Control Benefits Agreement applicable to the Award, the term Cause shall have the meaning ascribed to that term in such Change in Control Benefits Agreement.</w:t>
      </w:r>
    </w:p>
    <w:p>
      <w:pPr>
        <w:spacing w:after="0" w:line="135" w:lineRule="exact"/>
        <w:rPr>
          <w:rFonts w:ascii="Arial" w:cs="Arial" w:eastAsia="Arial" w:hAnsi="Arial"/>
          <w:sz w:val="19"/>
          <w:szCs w:val="19"/>
          <w:color w:val="auto"/>
        </w:rPr>
      </w:pPr>
    </w:p>
    <w:p>
      <w:pPr>
        <w:jc w:val="both"/>
        <w:ind w:firstLine="1304"/>
        <w:spacing w:after="0" w:line="300" w:lineRule="auto"/>
        <w:tabs>
          <w:tab w:leader="none" w:pos="1944" w:val="left"/>
        </w:tabs>
        <w:numPr>
          <w:ilvl w:val="1"/>
          <w:numId w:val="108"/>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set forth in the Plan;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w:t>
      </w:r>
      <w:r>
        <w:rPr>
          <w:rFonts w:ascii="Arial" w:cs="Arial" w:eastAsia="Arial" w:hAnsi="Arial"/>
          <w:sz w:val="19"/>
          <w:szCs w:val="19"/>
          <w:b w:val="1"/>
          <w:bCs w:val="1"/>
          <w:color w:val="auto"/>
        </w:rPr>
        <w:t xml:space="preserve"> </w:t>
      </w:r>
      <w:r>
        <w:rPr>
          <w:rFonts w:ascii="Arial" w:cs="Arial" w:eastAsia="Arial" w:hAnsi="Arial"/>
          <w:sz w:val="19"/>
          <w:szCs w:val="19"/>
          <w:color w:val="auto"/>
        </w:rPr>
        <w:t>the event Participant is a party to a Change in Control Benefits Agreement applicable to the Award, the term Change in Control shall have the meaning ascribed to that term in such Change in Control Benefits Agreement.</w:t>
      </w:r>
    </w:p>
    <w:p>
      <w:pPr>
        <w:spacing w:after="0" w:line="125" w:lineRule="exact"/>
        <w:rPr>
          <w:rFonts w:ascii="Arial" w:cs="Arial" w:eastAsia="Arial" w:hAnsi="Arial"/>
          <w:sz w:val="19"/>
          <w:szCs w:val="19"/>
          <w:color w:val="auto"/>
        </w:rPr>
      </w:pPr>
    </w:p>
    <w:p>
      <w:pPr>
        <w:jc w:val="both"/>
        <w:ind w:firstLine="1304"/>
        <w:spacing w:after="0" w:line="283" w:lineRule="auto"/>
        <w:tabs>
          <w:tab w:leader="none" w:pos="1944" w:val="left"/>
        </w:tabs>
        <w:numPr>
          <w:ilvl w:val="1"/>
          <w:numId w:val="108"/>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any separate agreement between</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and the 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spacing w:after="0" w:line="142" w:lineRule="exact"/>
        <w:rPr>
          <w:rFonts w:ascii="Arial" w:cs="Arial" w:eastAsia="Arial" w:hAnsi="Arial"/>
          <w:sz w:val="19"/>
          <w:szCs w:val="19"/>
          <w:color w:val="auto"/>
        </w:rPr>
      </w:pPr>
    </w:p>
    <w:p>
      <w:pPr>
        <w:jc w:val="both"/>
        <w:ind w:firstLine="1304"/>
        <w:spacing w:after="0" w:line="239" w:lineRule="auto"/>
        <w:tabs>
          <w:tab w:leader="none" w:pos="1944" w:val="left"/>
        </w:tabs>
        <w:numPr>
          <w:ilvl w:val="1"/>
          <w:numId w:val="108"/>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 Shares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number of Shares obtained by multiplying the</w:t>
      </w:r>
      <w:r>
        <w:rPr>
          <w:rFonts w:ascii="Arial" w:cs="Arial" w:eastAsia="Arial" w:hAnsi="Arial"/>
          <w:sz w:val="22"/>
          <w:szCs w:val="22"/>
          <w:b w:val="1"/>
          <w:bCs w:val="1"/>
          <w:color w:val="auto"/>
        </w:rPr>
        <w:t xml:space="preserve"> </w:t>
      </w:r>
      <w:r>
        <w:rPr>
          <w:rFonts w:ascii="Arial" w:cs="Arial" w:eastAsia="Arial" w:hAnsi="Arial"/>
          <w:sz w:val="22"/>
          <w:szCs w:val="22"/>
          <w:color w:val="auto"/>
        </w:rPr>
        <w:t>Vested Percentage by the greater of (i) the number of Designated Shares, or (ii) the number of Performance-Qualified Shares issuable under the Award based on actual performance of the Performance Goal through the date of the Change in Control.</w:t>
      </w:r>
    </w:p>
    <w:p>
      <w:pPr>
        <w:spacing w:after="0" w:line="180" w:lineRule="exact"/>
        <w:rPr>
          <w:rFonts w:ascii="Arial" w:cs="Arial" w:eastAsia="Arial" w:hAnsi="Arial"/>
          <w:sz w:val="22"/>
          <w:szCs w:val="22"/>
          <w:color w:val="auto"/>
        </w:rPr>
      </w:pPr>
    </w:p>
    <w:p>
      <w:pPr>
        <w:jc w:val="both"/>
        <w:ind w:firstLine="1304"/>
        <w:spacing w:after="0" w:line="280" w:lineRule="auto"/>
        <w:tabs>
          <w:tab w:leader="none" w:pos="1944" w:val="left"/>
        </w:tabs>
        <w:numPr>
          <w:ilvl w:val="1"/>
          <w:numId w:val="108"/>
        </w:numPr>
        <w:rPr>
          <w:rFonts w:ascii="Arial" w:cs="Arial" w:eastAsia="Arial" w:hAnsi="Arial"/>
          <w:sz w:val="19"/>
          <w:szCs w:val="19"/>
          <w:color w:val="auto"/>
        </w:rPr>
      </w:pPr>
      <w:r>
        <w:rPr>
          <w:rFonts w:ascii="Arial" w:cs="Arial" w:eastAsia="Arial" w:hAnsi="Arial"/>
          <w:sz w:val="19"/>
          <w:szCs w:val="19"/>
          <w:b w:val="1"/>
          <w:bCs w:val="1"/>
          <w:u w:val="single" w:color="auto"/>
          <w:color w:val="auto"/>
        </w:rPr>
        <w:t>Early Retirement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Participant’s retirement from Service, with the prior approval</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Corporation (or the Parent or Subsidiary employing Participant), on or after the attainment of age fifty-five</w:t>
      </w:r>
    </w:p>
    <w:p>
      <w:pPr>
        <w:ind w:left="420" w:hanging="412"/>
        <w:spacing w:after="0"/>
        <w:tabs>
          <w:tab w:leader="none" w:pos="42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and the completion of at least five (5)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5" w:name="page116"/>
    <w:bookmarkEnd w:id="115"/>
    <w:p>
      <w:pPr>
        <w:jc w:val="both"/>
        <w:ind w:firstLine="1304"/>
        <w:spacing w:after="0" w:line="243" w:lineRule="auto"/>
        <w:tabs>
          <w:tab w:leader="none" w:pos="1944" w:val="left"/>
        </w:tabs>
        <w:numPr>
          <w:ilvl w:val="0"/>
          <w:numId w:val="110"/>
        </w:numPr>
        <w:rPr>
          <w:rFonts w:ascii="Arial" w:cs="Arial" w:eastAsia="Arial" w:hAnsi="Arial"/>
          <w:sz w:val="22"/>
          <w:szCs w:val="22"/>
          <w:color w:val="auto"/>
        </w:rPr>
      </w:pPr>
      <w:r>
        <w:rPr>
          <w:rFonts w:ascii="Arial" w:cs="Arial" w:eastAsia="Arial" w:hAnsi="Arial"/>
          <w:sz w:val="22"/>
          <w:szCs w:val="22"/>
          <w:b w:val="1"/>
          <w:bCs w:val="1"/>
          <w:u w:val="single" w:color="auto"/>
          <w:color w:val="auto"/>
        </w:rPr>
        <w:t>Extraordinary Level Attainment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Corporation’s achievement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Goal set forth in Schedule I of the Award Notice at the level designated as Extraordinary Level attainment for that goal.</w:t>
      </w:r>
    </w:p>
    <w:p>
      <w:pPr>
        <w:spacing w:after="0" w:line="176" w:lineRule="exact"/>
        <w:rPr>
          <w:rFonts w:ascii="Arial" w:cs="Arial" w:eastAsia="Arial" w:hAnsi="Arial"/>
          <w:sz w:val="22"/>
          <w:szCs w:val="22"/>
          <w:color w:val="auto"/>
        </w:rPr>
      </w:pPr>
    </w:p>
    <w:p>
      <w:pPr>
        <w:jc w:val="both"/>
        <w:ind w:firstLine="1304"/>
        <w:spacing w:after="0" w:line="239" w:lineRule="auto"/>
        <w:tabs>
          <w:tab w:leader="none" w:pos="1944" w:val="left"/>
        </w:tabs>
        <w:numPr>
          <w:ilvl w:val="0"/>
          <w:numId w:val="110"/>
        </w:numPr>
        <w:rPr>
          <w:rFonts w:ascii="Arial" w:cs="Arial" w:eastAsia="Arial" w:hAnsi="Arial"/>
          <w:sz w:val="22"/>
          <w:szCs w:val="22"/>
          <w:color w:val="auto"/>
        </w:rPr>
      </w:pPr>
      <w:r>
        <w:rPr>
          <w:rFonts w:ascii="Arial" w:cs="Arial" w:eastAsia="Arial" w:hAnsi="Arial"/>
          <w:sz w:val="22"/>
          <w:szCs w:val="22"/>
          <w:b w:val="1"/>
          <w:bCs w:val="1"/>
          <w:u w:val="single" w:color="auto"/>
          <w:color w:val="auto"/>
        </w:rPr>
        <w:t>Good Reason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the Plan; provided however, in the event</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is at the time of his or her cessation of Employee status a party to a Change in Control Benefits Agreement applicable to the Award evidenced by this Agreement, the term Good Reason shall have the meaning ascribed to that term in such Change in Control Benefits Agreement.</w:t>
      </w:r>
    </w:p>
    <w:p>
      <w:pPr>
        <w:spacing w:after="0" w:line="180" w:lineRule="exact"/>
        <w:rPr>
          <w:rFonts w:ascii="Arial" w:cs="Arial" w:eastAsia="Arial" w:hAnsi="Arial"/>
          <w:sz w:val="22"/>
          <w:szCs w:val="22"/>
          <w:color w:val="auto"/>
        </w:rPr>
      </w:pPr>
    </w:p>
    <w:p>
      <w:pPr>
        <w:ind w:firstLine="1304"/>
        <w:spacing w:after="0" w:line="256" w:lineRule="auto"/>
        <w:tabs>
          <w:tab w:leader="none" w:pos="1944" w:val="left"/>
        </w:tabs>
        <w:numPr>
          <w:ilvl w:val="0"/>
          <w:numId w:val="110"/>
        </w:numPr>
        <w:rPr>
          <w:rFonts w:ascii="Arial" w:cs="Arial" w:eastAsia="Arial" w:hAnsi="Arial"/>
          <w:sz w:val="22"/>
          <w:szCs w:val="22"/>
          <w:color w:val="auto"/>
        </w:rPr>
      </w:pPr>
      <w:r>
        <w:rPr>
          <w:rFonts w:ascii="Arial" w:cs="Arial" w:eastAsia="Arial" w:hAnsi="Arial"/>
          <w:sz w:val="22"/>
          <w:szCs w:val="22"/>
          <w:b w:val="1"/>
          <w:bCs w:val="1"/>
          <w:u w:val="single" w:color="auto"/>
          <w:color w:val="auto"/>
        </w:rPr>
        <w:t>Normal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shall mean the cessation of Service by reason of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at or after the attainment of age sixty-five (65).</w:t>
      </w:r>
    </w:p>
    <w:p>
      <w:pPr>
        <w:spacing w:after="0" w:line="162" w:lineRule="exact"/>
        <w:rPr>
          <w:rFonts w:ascii="Arial" w:cs="Arial" w:eastAsia="Arial" w:hAnsi="Arial"/>
          <w:sz w:val="22"/>
          <w:szCs w:val="22"/>
          <w:color w:val="auto"/>
        </w:rPr>
      </w:pPr>
    </w:p>
    <w:p>
      <w:pPr>
        <w:ind w:left="1960" w:hanging="656"/>
        <w:spacing w:after="0"/>
        <w:tabs>
          <w:tab w:leader="none" w:pos="1960" w:val="left"/>
        </w:tabs>
        <w:numPr>
          <w:ilvl w:val="0"/>
          <w:numId w:val="110"/>
        </w:numPr>
        <w:rPr>
          <w:rFonts w:ascii="Arial" w:cs="Arial" w:eastAsia="Arial" w:hAnsi="Arial"/>
          <w:sz w:val="19"/>
          <w:szCs w:val="19"/>
          <w:color w:val="auto"/>
        </w:rPr>
      </w:pPr>
      <w:r>
        <w:rPr>
          <w:rFonts w:ascii="Arial" w:cs="Arial" w:eastAsia="Arial" w:hAnsi="Arial"/>
          <w:sz w:val="19"/>
          <w:szCs w:val="19"/>
          <w:b w:val="1"/>
          <w:bCs w:val="1"/>
          <w:u w:val="single" w:color="auto"/>
          <w:color w:val="auto"/>
        </w:rPr>
        <w:t>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person to whom the Award is made pursuant to the Agreement.</w:t>
      </w:r>
    </w:p>
    <w:p>
      <w:pPr>
        <w:spacing w:after="0" w:line="240" w:lineRule="exact"/>
        <w:rPr>
          <w:rFonts w:ascii="Arial" w:cs="Arial" w:eastAsia="Arial" w:hAnsi="Arial"/>
          <w:sz w:val="19"/>
          <w:szCs w:val="19"/>
          <w:color w:val="auto"/>
        </w:rPr>
      </w:pPr>
    </w:p>
    <w:p>
      <w:pPr>
        <w:ind w:left="1960" w:hanging="656"/>
        <w:spacing w:after="0"/>
        <w:tabs>
          <w:tab w:leader="none" w:pos="1960" w:val="left"/>
        </w:tabs>
        <w:numPr>
          <w:ilvl w:val="0"/>
          <w:numId w:val="110"/>
        </w:numPr>
        <w:rPr>
          <w:rFonts w:ascii="Arial" w:cs="Arial" w:eastAsia="Arial" w:hAnsi="Arial"/>
          <w:sz w:val="19"/>
          <w:szCs w:val="19"/>
          <w:color w:val="auto"/>
        </w:rPr>
      </w:pPr>
      <w:r>
        <w:rPr>
          <w:rFonts w:ascii="Arial" w:cs="Arial" w:eastAsia="Arial" w:hAnsi="Arial"/>
          <w:sz w:val="19"/>
          <w:szCs w:val="19"/>
          <w:b w:val="1"/>
          <w:bCs w:val="1"/>
          <w:u w:val="single" w:color="auto"/>
          <w:color w:val="auto"/>
        </w:rPr>
        <w:t>Performance Goal</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performance goal specified on Schedule I of the Award</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Notice.</w:t>
      </w:r>
    </w:p>
    <w:p>
      <w:pPr>
        <w:spacing w:after="0" w:line="182" w:lineRule="exact"/>
        <w:rPr>
          <w:rFonts w:ascii="Arial" w:cs="Arial" w:eastAsia="Arial" w:hAnsi="Arial"/>
          <w:sz w:val="19"/>
          <w:szCs w:val="19"/>
          <w:color w:val="auto"/>
        </w:rPr>
      </w:pPr>
    </w:p>
    <w:p>
      <w:pPr>
        <w:ind w:firstLine="1304"/>
        <w:spacing w:after="0" w:line="256" w:lineRule="auto"/>
        <w:tabs>
          <w:tab w:leader="none" w:pos="1944" w:val="left"/>
        </w:tabs>
        <w:numPr>
          <w:ilvl w:val="0"/>
          <w:numId w:val="110"/>
        </w:numPr>
        <w:rPr>
          <w:rFonts w:ascii="Arial" w:cs="Arial" w:eastAsia="Arial" w:hAnsi="Arial"/>
          <w:sz w:val="22"/>
          <w:szCs w:val="22"/>
          <w:color w:val="auto"/>
        </w:rPr>
      </w:pPr>
      <w:r>
        <w:rPr>
          <w:rFonts w:ascii="Arial" w:cs="Arial" w:eastAsia="Arial" w:hAnsi="Arial"/>
          <w:sz w:val="22"/>
          <w:szCs w:val="22"/>
          <w:b w:val="1"/>
          <w:bCs w:val="1"/>
          <w:u w:val="single" w:color="auto"/>
          <w:color w:val="auto"/>
        </w:rPr>
        <w:t>Performance Period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period specified on Schedule I of the Award Notice</w:t>
      </w:r>
      <w:r>
        <w:rPr>
          <w:rFonts w:ascii="Arial" w:cs="Arial" w:eastAsia="Arial" w:hAnsi="Arial"/>
          <w:sz w:val="22"/>
          <w:szCs w:val="22"/>
          <w:b w:val="1"/>
          <w:bCs w:val="1"/>
          <w:color w:val="auto"/>
        </w:rPr>
        <w:t xml:space="preserve"> </w:t>
      </w:r>
      <w:r>
        <w:rPr>
          <w:rFonts w:ascii="Arial" w:cs="Arial" w:eastAsia="Arial" w:hAnsi="Arial"/>
          <w:sz w:val="22"/>
          <w:szCs w:val="22"/>
          <w:color w:val="auto"/>
        </w:rPr>
        <w:t>over which the attainment of the Performance Goal is to be measured.</w:t>
      </w:r>
    </w:p>
    <w:p>
      <w:pPr>
        <w:spacing w:after="0" w:line="162" w:lineRule="exact"/>
        <w:rPr>
          <w:rFonts w:ascii="Arial" w:cs="Arial" w:eastAsia="Arial" w:hAnsi="Arial"/>
          <w:sz w:val="22"/>
          <w:szCs w:val="22"/>
          <w:color w:val="auto"/>
        </w:rPr>
      </w:pPr>
    </w:p>
    <w:p>
      <w:pPr>
        <w:jc w:val="both"/>
        <w:ind w:firstLine="1304"/>
        <w:spacing w:after="0" w:line="280" w:lineRule="auto"/>
        <w:tabs>
          <w:tab w:leader="none" w:pos="1944" w:val="left"/>
        </w:tabs>
        <w:numPr>
          <w:ilvl w:val="0"/>
          <w:numId w:val="110"/>
        </w:numPr>
        <w:rPr>
          <w:rFonts w:ascii="Arial" w:cs="Arial" w:eastAsia="Arial" w:hAnsi="Arial"/>
          <w:sz w:val="19"/>
          <w:szCs w:val="19"/>
          <w:color w:val="auto"/>
        </w:rPr>
      </w:pPr>
      <w:r>
        <w:rPr>
          <w:rFonts w:ascii="Arial" w:cs="Arial" w:eastAsia="Arial" w:hAnsi="Arial"/>
          <w:sz w:val="19"/>
          <w:szCs w:val="19"/>
          <w:b w:val="1"/>
          <w:bCs w:val="1"/>
          <w:u w:val="single" w:color="auto"/>
          <w:color w:val="auto"/>
        </w:rPr>
        <w:t>Performance-Qualified Shares</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maximum number of Shares in which</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can vest based on the level at which the Performance Goal for the Performance Period is attained and shall be calculated in accordance with the provisions of the Award Notice. In no event shall the number of such Performance-Qualified Shares exceed two hundred and fifty percent (250%) of the designated number of Performance Shares set forth in the Performance Shares section of the Award Notice. Each Performance-Qualified Share that vests pursuant to the terms of the Award shall entitle Participant to receive one Share.</w:t>
      </w:r>
    </w:p>
    <w:p>
      <w:pPr>
        <w:spacing w:after="0" w:line="144" w:lineRule="exact"/>
        <w:rPr>
          <w:rFonts w:ascii="Arial" w:cs="Arial" w:eastAsia="Arial" w:hAnsi="Arial"/>
          <w:sz w:val="19"/>
          <w:szCs w:val="19"/>
          <w:color w:val="auto"/>
        </w:rPr>
      </w:pPr>
    </w:p>
    <w:p>
      <w:pPr>
        <w:jc w:val="both"/>
        <w:ind w:firstLine="1304"/>
        <w:spacing w:after="0" w:line="239" w:lineRule="auto"/>
        <w:tabs>
          <w:tab w:leader="none" w:pos="1944" w:val="left"/>
        </w:tabs>
        <w:numPr>
          <w:ilvl w:val="0"/>
          <w:numId w:val="110"/>
        </w:numPr>
        <w:rPr>
          <w:rFonts w:ascii="Arial" w:cs="Arial" w:eastAsia="Arial" w:hAnsi="Arial"/>
          <w:sz w:val="22"/>
          <w:szCs w:val="22"/>
          <w:color w:val="auto"/>
        </w:rPr>
      </w:pPr>
      <w:r>
        <w:rPr>
          <w:rFonts w:ascii="Arial" w:cs="Arial" w:eastAsia="Arial" w:hAnsi="Arial"/>
          <w:sz w:val="22"/>
          <w:szCs w:val="22"/>
          <w:b w:val="1"/>
          <w:bCs w:val="1"/>
          <w:u w:val="single" w:color="auto"/>
          <w:color w:val="auto"/>
        </w:rPr>
        <w:t>Performance Shares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number of phantom shares of Common Stock awarded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this Agreement that shall be applied to the calculation of the maximum number of Performance-Qualified Shares (if any) based on the level at which the Performance Goal is in fact attained over the applicable Performance Period.</w:t>
      </w:r>
    </w:p>
    <w:p>
      <w:pPr>
        <w:spacing w:after="0" w:line="180" w:lineRule="exact"/>
        <w:rPr>
          <w:rFonts w:ascii="Arial" w:cs="Arial" w:eastAsia="Arial" w:hAnsi="Arial"/>
          <w:sz w:val="22"/>
          <w:szCs w:val="22"/>
          <w:color w:val="auto"/>
        </w:rPr>
      </w:pPr>
    </w:p>
    <w:p>
      <w:pPr>
        <w:ind w:left="1960" w:hanging="656"/>
        <w:spacing w:after="0"/>
        <w:tabs>
          <w:tab w:leader="none" w:pos="1960" w:val="left"/>
        </w:tabs>
        <w:numPr>
          <w:ilvl w:val="0"/>
          <w:numId w:val="110"/>
        </w:numPr>
        <w:rPr>
          <w:rFonts w:ascii="Arial" w:cs="Arial" w:eastAsia="Arial" w:hAnsi="Arial"/>
          <w:sz w:val="19"/>
          <w:szCs w:val="19"/>
          <w:color w:val="auto"/>
        </w:rPr>
      </w:pPr>
      <w:r>
        <w:rPr>
          <w:rFonts w:ascii="Arial" w:cs="Arial" w:eastAsia="Arial" w:hAnsi="Arial"/>
          <w:sz w:val="19"/>
          <w:szCs w:val="19"/>
          <w:b w:val="1"/>
          <w:bCs w:val="1"/>
          <w:u w:val="single" w:color="auto"/>
          <w:color w:val="auto"/>
        </w:rPr>
        <w:t>Plan</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Corporation’s 2016 Incentive Compensation Plan, as amended from</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time to time.</w:t>
      </w:r>
    </w:p>
    <w:p>
      <w:pPr>
        <w:spacing w:after="0" w:line="182" w:lineRule="exact"/>
        <w:rPr>
          <w:rFonts w:ascii="Arial" w:cs="Arial" w:eastAsia="Arial" w:hAnsi="Arial"/>
          <w:sz w:val="19"/>
          <w:szCs w:val="19"/>
          <w:color w:val="auto"/>
        </w:rPr>
      </w:pPr>
    </w:p>
    <w:p>
      <w:pPr>
        <w:jc w:val="both"/>
        <w:ind w:firstLine="1304"/>
        <w:spacing w:after="0" w:line="249" w:lineRule="auto"/>
        <w:tabs>
          <w:tab w:leader="none" w:pos="1944" w:val="left"/>
        </w:tabs>
        <w:numPr>
          <w:ilvl w:val="0"/>
          <w:numId w:val="110"/>
        </w:numPr>
        <w:rPr>
          <w:rFonts w:ascii="Arial" w:cs="Arial" w:eastAsia="Arial" w:hAnsi="Arial"/>
          <w:sz w:val="21"/>
          <w:szCs w:val="21"/>
          <w:color w:val="auto"/>
        </w:rPr>
      </w:pPr>
      <w:r>
        <w:rPr>
          <w:rFonts w:ascii="Arial" w:cs="Arial" w:eastAsia="Arial" w:hAnsi="Arial"/>
          <w:sz w:val="21"/>
          <w:szCs w:val="21"/>
          <w:b w:val="1"/>
          <w:bCs w:val="1"/>
          <w:u w:val="single" w:color="auto"/>
          <w:color w:val="auto"/>
        </w:rPr>
        <w:t>Qualifying Change in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date on which there occurs a Change in</w:t>
      </w:r>
      <w:r>
        <w:rPr>
          <w:rFonts w:ascii="Arial" w:cs="Arial" w:eastAsia="Arial" w:hAnsi="Arial"/>
          <w:sz w:val="21"/>
          <w:szCs w:val="21"/>
          <w:b w:val="1"/>
          <w:bCs w:val="1"/>
          <w:color w:val="auto"/>
        </w:rPr>
        <w:t xml:space="preserve"> </w:t>
      </w:r>
      <w:r>
        <w:rPr>
          <w:rFonts w:ascii="Arial" w:cs="Arial" w:eastAsia="Arial" w:hAnsi="Arial"/>
          <w:sz w:val="21"/>
          <w:szCs w:val="21"/>
          <w:color w:val="auto"/>
        </w:rPr>
        <w:t>Control that also qualifies as: (i) a change in the ownership of the Corporation, as determined in accordance with Section 1.409A-3(i)((5)(v) of the Treasury Regulations, (ii) a change in the effective control of the Corporation, as determined in accordance with Section 1.409A-3(i)((5)(vi) of the Treasury Regulations, or (iii) a change in the ownership of a substantial portion of the assets of the Corporation, as determined in accordance with Section 1.409A-3(i)((5)(vii) of the Treasury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6" w:name="page117"/>
    <w:bookmarkEnd w:id="116"/>
    <w:p>
      <w:pPr>
        <w:jc w:val="both"/>
        <w:ind w:firstLine="1304"/>
        <w:spacing w:after="0" w:line="270" w:lineRule="auto"/>
        <w:tabs>
          <w:tab w:leader="none" w:pos="1944" w:val="left"/>
        </w:tabs>
        <w:numPr>
          <w:ilvl w:val="0"/>
          <w:numId w:val="111"/>
        </w:numPr>
        <w:rPr>
          <w:rFonts w:ascii="Arial" w:cs="Arial" w:eastAsia="Arial" w:hAnsi="Arial"/>
          <w:sz w:val="19"/>
          <w:szCs w:val="19"/>
          <w:color w:val="auto"/>
        </w:rPr>
      </w:pPr>
      <w:r>
        <w:rPr>
          <w:rFonts w:ascii="Arial" w:cs="Arial" w:eastAsia="Arial" w:hAnsi="Arial"/>
          <w:sz w:val="19"/>
          <w:szCs w:val="19"/>
          <w:b w:val="1"/>
          <w:bCs w:val="1"/>
          <w:u w:val="single" w:color="auto"/>
          <w:color w:val="auto"/>
        </w:rPr>
        <w:t>Separation from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Participant’s cessation of Employee status by</w:t>
      </w:r>
      <w:r>
        <w:rPr>
          <w:rFonts w:ascii="Arial" w:cs="Arial" w:eastAsia="Arial" w:hAnsi="Arial"/>
          <w:sz w:val="19"/>
          <w:szCs w:val="19"/>
          <w:b w:val="1"/>
          <w:bCs w:val="1"/>
          <w:color w:val="auto"/>
        </w:rPr>
        <w:t xml:space="preserve"> </w:t>
      </w:r>
      <w:r>
        <w:rPr>
          <w:rFonts w:ascii="Arial" w:cs="Arial" w:eastAsia="Arial" w:hAnsi="Arial"/>
          <w:sz w:val="19"/>
          <w:szCs w:val="19"/>
          <w:color w:val="auto"/>
        </w:rPr>
        <w:t>reason of his or her death, retirement or termination of employment. The Participant shall be deemed to have terminated employment for such purpose at such time as the level of his or her bona fide services to be performed as an Employee (or as a consultant or independent contractor) permanently decreases to a level that is less than fifty percent (50%) of the average level of services 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jc w:val="both"/>
        <w:ind w:firstLine="1304"/>
        <w:spacing w:after="0" w:line="239" w:lineRule="auto"/>
        <w:tabs>
          <w:tab w:leader="none" w:pos="1944" w:val="left"/>
        </w:tabs>
        <w:numPr>
          <w:ilvl w:val="0"/>
          <w:numId w:val="111"/>
        </w:numPr>
        <w:rPr>
          <w:rFonts w:ascii="Arial" w:cs="Arial" w:eastAsia="Arial" w:hAnsi="Arial"/>
          <w:sz w:val="22"/>
          <w:szCs w:val="22"/>
          <w:color w:val="auto"/>
        </w:rPr>
      </w:pPr>
      <w:r>
        <w:rPr>
          <w:rFonts w:ascii="Arial" w:cs="Arial" w:eastAsia="Arial" w:hAnsi="Arial"/>
          <w:sz w:val="22"/>
          <w:szCs w:val="22"/>
          <w:b w:val="1"/>
          <w:bCs w:val="1"/>
          <w:u w:val="single" w:color="auto"/>
          <w:color w:val="auto"/>
        </w:rPr>
        <w:t>Service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Participant’s performance of services for the Corporation (or any Parent</w:t>
      </w:r>
      <w:r>
        <w:rPr>
          <w:rFonts w:ascii="Arial" w:cs="Arial" w:eastAsia="Arial" w:hAnsi="Arial"/>
          <w:sz w:val="22"/>
          <w:szCs w:val="22"/>
          <w:b w:val="1"/>
          <w:bCs w:val="1"/>
          <w:color w:val="auto"/>
        </w:rPr>
        <w:t xml:space="preserve"> </w:t>
      </w:r>
      <w:r>
        <w:rPr>
          <w:rFonts w:ascii="Arial" w:cs="Arial" w:eastAsia="Arial" w:hAnsi="Arial"/>
          <w:sz w:val="22"/>
          <w:szCs w:val="22"/>
          <w:color w:val="auto"/>
        </w:rPr>
        <w:t>or Subsidiary) in the capacity of an Employee, a non-employee member of the board of directors or a consultant or independent advisor. In addition, the following provisions shall govern the determination of Participant’s period of Service:</w:t>
      </w:r>
    </w:p>
    <w:p>
      <w:pPr>
        <w:spacing w:after="0" w:line="186" w:lineRule="exact"/>
        <w:rPr>
          <w:rFonts w:ascii="Arial" w:cs="Arial" w:eastAsia="Arial" w:hAnsi="Arial"/>
          <w:sz w:val="22"/>
          <w:szCs w:val="22"/>
          <w:color w:val="auto"/>
        </w:rPr>
      </w:pPr>
    </w:p>
    <w:p>
      <w:pPr>
        <w:jc w:val="both"/>
        <w:ind w:left="820" w:right="20" w:firstLine="1294"/>
        <w:spacing w:after="0" w:line="297" w:lineRule="auto"/>
        <w:tabs>
          <w:tab w:leader="none" w:pos="2860" w:val="left"/>
        </w:tabs>
        <w:numPr>
          <w:ilvl w:val="1"/>
          <w:numId w:val="111"/>
        </w:numPr>
        <w:rPr>
          <w:rFonts w:ascii="Arial" w:cs="Arial" w:eastAsia="Arial" w:hAnsi="Arial"/>
          <w:sz w:val="19"/>
          <w:szCs w:val="19"/>
          <w:color w:val="auto"/>
        </w:rPr>
      </w:pPr>
      <w:r>
        <w:rPr>
          <w:rFonts w:ascii="Arial" w:cs="Arial" w:eastAsia="Arial" w:hAnsi="Arial"/>
          <w:sz w:val="19"/>
          <w:szCs w:val="19"/>
          <w:color w:val="auto"/>
        </w:rPr>
        <w:t>Participant shall be deemed to continue in Service for so long as Participant performs services for the Corporation (or any Parent or Subsidiary) in the capacity of an Employee, a non-employee member of the board of directors or a consultant or independent advisor.</w:t>
      </w:r>
    </w:p>
    <w:p>
      <w:pPr>
        <w:spacing w:after="0" w:line="133" w:lineRule="exact"/>
        <w:rPr>
          <w:rFonts w:ascii="Arial" w:cs="Arial" w:eastAsia="Arial" w:hAnsi="Arial"/>
          <w:sz w:val="19"/>
          <w:szCs w:val="19"/>
          <w:color w:val="auto"/>
        </w:rPr>
      </w:pPr>
    </w:p>
    <w:p>
      <w:pPr>
        <w:jc w:val="both"/>
        <w:ind w:left="820" w:firstLine="1294"/>
        <w:spacing w:after="0" w:line="282" w:lineRule="auto"/>
        <w:tabs>
          <w:tab w:leader="none" w:pos="2764" w:val="left"/>
        </w:tabs>
        <w:numPr>
          <w:ilvl w:val="1"/>
          <w:numId w:val="111"/>
        </w:numPr>
        <w:rPr>
          <w:rFonts w:ascii="Arial" w:cs="Arial" w:eastAsia="Arial" w:hAnsi="Arial"/>
          <w:sz w:val="19"/>
          <w:szCs w:val="19"/>
          <w:color w:val="auto"/>
        </w:rPr>
      </w:pPr>
      <w:r>
        <w:rPr>
          <w:rFonts w:ascii="Arial" w:cs="Arial" w:eastAsia="Arial" w:hAnsi="Arial"/>
          <w:sz w:val="19"/>
          <w:szCs w:val="19"/>
          <w:color w:val="auto"/>
        </w:rPr>
        <w:t>Participant shall be deemed to cease Service immediately upon the occurrence of the either of the following events: (a) Participant no longer performs services in any of the foregoing capacities for the Corporation (or any Parent or Subsidiary) or (b) the entity for which Participant performs such services ceases to remain a Parent or Subsidiary of the Corporation, even though Participant may subsequently continue to perform services for that entity.</w:t>
      </w:r>
    </w:p>
    <w:p>
      <w:pPr>
        <w:spacing w:after="0" w:line="147" w:lineRule="exact"/>
        <w:rPr>
          <w:rFonts w:ascii="Arial" w:cs="Arial" w:eastAsia="Arial" w:hAnsi="Arial"/>
          <w:sz w:val="19"/>
          <w:szCs w:val="19"/>
          <w:color w:val="auto"/>
        </w:rPr>
      </w:pPr>
    </w:p>
    <w:p>
      <w:pPr>
        <w:jc w:val="both"/>
        <w:ind w:left="820" w:firstLine="1294"/>
        <w:spacing w:after="0"/>
        <w:tabs>
          <w:tab w:leader="none" w:pos="2764" w:val="left"/>
        </w:tabs>
        <w:numPr>
          <w:ilvl w:val="1"/>
          <w:numId w:val="111"/>
        </w:numPr>
        <w:rPr>
          <w:rFonts w:ascii="Arial" w:cs="Arial" w:eastAsia="Arial" w:hAnsi="Arial"/>
          <w:sz w:val="22"/>
          <w:szCs w:val="22"/>
          <w:color w:val="auto"/>
        </w:rPr>
      </w:pPr>
      <w:r>
        <w:rPr>
          <w:rFonts w:ascii="Arial" w:cs="Arial" w:eastAsia="Arial" w:hAnsi="Arial"/>
          <w:sz w:val="22"/>
          <w:szCs w:val="22"/>
          <w:color w:val="auto"/>
        </w:rPr>
        <w:t xml:space="preserve">Service as an Employee shall not be deemed to cease during a period of military leave, sick leave or other personal leave approved by the Plan Administrator;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following special provisions shall be in effect for any such leave: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7" w:name="page118"/>
    <w:bookmarkEnd w:id="117"/>
    <w:p>
      <w:pPr>
        <w:jc w:val="both"/>
        <w:ind w:left="820" w:firstLine="1861"/>
        <w:spacing w:after="0" w:line="287" w:lineRule="auto"/>
        <w:tabs>
          <w:tab w:leader="none" w:pos="3250" w:val="left"/>
        </w:tabs>
        <w:numPr>
          <w:ilvl w:val="2"/>
          <w:numId w:val="112"/>
        </w:numPr>
        <w:rPr>
          <w:rFonts w:ascii="Arial" w:cs="Arial" w:eastAsia="Arial" w:hAnsi="Arial"/>
          <w:sz w:val="19"/>
          <w:szCs w:val="19"/>
          <w:color w:val="auto"/>
        </w:rPr>
      </w:pPr>
      <w:r>
        <w:rPr>
          <w:rFonts w:ascii="Arial" w:cs="Arial" w:eastAsia="Arial" w:hAnsi="Arial"/>
          <w:sz w:val="19"/>
          <w:szCs w:val="19"/>
          <w:color w:val="auto"/>
        </w:rPr>
        <w:t>Should the period of such leave (other than a disability leave) exceed six (6) months, then Participant shall be deemed to cease Service and to incur a Separation from Service upon the expiration of the initial six (6)-month period of that leave, unless Participant retains a right to re-employment under applicable law or by contract with the Corporation (or any Parent or Subsidiary).</w:t>
      </w:r>
    </w:p>
    <w:p>
      <w:pPr>
        <w:spacing w:after="0" w:line="142" w:lineRule="exact"/>
        <w:rPr>
          <w:rFonts w:ascii="Arial" w:cs="Arial" w:eastAsia="Arial" w:hAnsi="Arial"/>
          <w:sz w:val="19"/>
          <w:szCs w:val="19"/>
          <w:color w:val="auto"/>
        </w:rPr>
      </w:pPr>
    </w:p>
    <w:p>
      <w:pPr>
        <w:jc w:val="both"/>
        <w:ind w:left="820" w:firstLine="1861"/>
        <w:spacing w:after="0" w:line="271" w:lineRule="auto"/>
        <w:tabs>
          <w:tab w:leader="none" w:pos="3250" w:val="left"/>
        </w:tabs>
        <w:numPr>
          <w:ilvl w:val="2"/>
          <w:numId w:val="112"/>
        </w:numPr>
        <w:rPr>
          <w:rFonts w:ascii="Arial" w:cs="Arial" w:eastAsia="Arial" w:hAnsi="Arial"/>
          <w:sz w:val="19"/>
          <w:szCs w:val="19"/>
          <w:color w:val="auto"/>
        </w:rPr>
      </w:pPr>
      <w:r>
        <w:rPr>
          <w:rFonts w:ascii="Arial" w:cs="Arial" w:eastAsia="Arial" w:hAnsi="Arial"/>
          <w:sz w:val="19"/>
          <w:szCs w:val="19"/>
          <w:color w:val="auto"/>
        </w:rPr>
        <w:t>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w:t>
      </w:r>
    </w:p>
    <w:p>
      <w:pPr>
        <w:spacing w:after="0" w:line="3" w:lineRule="exact"/>
        <w:rPr>
          <w:rFonts w:ascii="Arial" w:cs="Arial" w:eastAsia="Arial" w:hAnsi="Arial"/>
          <w:sz w:val="19"/>
          <w:szCs w:val="19"/>
          <w:color w:val="auto"/>
        </w:rPr>
      </w:pPr>
    </w:p>
    <w:p>
      <w:pPr>
        <w:jc w:val="both"/>
        <w:ind w:left="820"/>
        <w:spacing w:after="0" w:line="233" w:lineRule="auto"/>
        <w:rPr>
          <w:rFonts w:ascii="Arial" w:cs="Arial" w:eastAsia="Arial" w:hAnsi="Arial"/>
          <w:sz w:val="19"/>
          <w:szCs w:val="19"/>
          <w:color w:val="auto"/>
        </w:rPr>
      </w:pPr>
      <w:r>
        <w:rPr>
          <w:rFonts w:ascii="Arial" w:cs="Arial" w:eastAsia="Arial" w:hAnsi="Arial"/>
          <w:sz w:val="22"/>
          <w:szCs w:val="22"/>
          <w:color w:val="auto"/>
        </w:rPr>
        <w:t>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spacing w:after="0" w:line="185" w:lineRule="exact"/>
        <w:rPr>
          <w:rFonts w:ascii="Arial" w:cs="Arial" w:eastAsia="Arial" w:hAnsi="Arial"/>
          <w:sz w:val="19"/>
          <w:szCs w:val="19"/>
          <w:color w:val="auto"/>
        </w:rPr>
      </w:pPr>
    </w:p>
    <w:p>
      <w:pPr>
        <w:jc w:val="both"/>
        <w:ind w:left="820" w:right="20" w:firstLine="1861"/>
        <w:spacing w:after="0" w:line="257" w:lineRule="auto"/>
        <w:tabs>
          <w:tab w:leader="none" w:pos="3250" w:val="left"/>
        </w:tabs>
        <w:numPr>
          <w:ilvl w:val="2"/>
          <w:numId w:val="112"/>
        </w:numPr>
        <w:rPr>
          <w:rFonts w:ascii="Arial" w:cs="Arial" w:eastAsia="Arial" w:hAnsi="Arial"/>
          <w:sz w:val="21"/>
          <w:szCs w:val="21"/>
          <w:color w:val="auto"/>
        </w:rPr>
      </w:pPr>
      <w:r>
        <w:rPr>
          <w:rFonts w:ascii="Arial" w:cs="Arial" w:eastAsia="Arial" w:hAnsi="Arial"/>
          <w:sz w:val="21"/>
          <w:szCs w:val="21"/>
          <w:color w:val="auto"/>
        </w:rPr>
        <w:t>Except to the extent otherwise required by law or expressly authorized by the Plan Administrator or by the Corporation’s written policy on leaves of absence, no Service credit shall be given for vesting purposes for any period Participant is on a leave of absence.</w:t>
      </w:r>
    </w:p>
    <w:p>
      <w:pPr>
        <w:spacing w:after="0" w:line="169" w:lineRule="exact"/>
        <w:rPr>
          <w:rFonts w:ascii="Arial" w:cs="Arial" w:eastAsia="Arial" w:hAnsi="Arial"/>
          <w:sz w:val="21"/>
          <w:szCs w:val="21"/>
          <w:color w:val="auto"/>
        </w:rPr>
      </w:pPr>
    </w:p>
    <w:p>
      <w:pPr>
        <w:jc w:val="both"/>
        <w:ind w:left="820" w:firstLine="1294"/>
        <w:spacing w:after="0" w:line="257" w:lineRule="auto"/>
        <w:tabs>
          <w:tab w:leader="none" w:pos="2764" w:val="left"/>
        </w:tabs>
        <w:numPr>
          <w:ilvl w:val="1"/>
          <w:numId w:val="113"/>
        </w:numPr>
        <w:rPr>
          <w:rFonts w:ascii="Arial" w:cs="Arial" w:eastAsia="Arial" w:hAnsi="Arial"/>
          <w:sz w:val="21"/>
          <w:szCs w:val="21"/>
          <w:color w:val="auto"/>
        </w:rPr>
      </w:pPr>
      <w:r>
        <w:rPr>
          <w:rFonts w:ascii="Arial" w:cs="Arial" w:eastAsia="Arial" w:hAnsi="Arial"/>
          <w:sz w:val="21"/>
          <w:szCs w:val="21"/>
          <w:color w:val="auto"/>
        </w:rPr>
        <w:t>Notwithstanding anything to the contrary in the foregoing provisions of this Service definition, the Participant shall in all events be deemed to cease Service for all purposes of this Award immediately upon Participant’s incurrence of a Separation from Service.</w:t>
      </w:r>
    </w:p>
    <w:p>
      <w:pPr>
        <w:spacing w:after="0" w:line="163" w:lineRule="exact"/>
        <w:rPr>
          <w:rFonts w:ascii="Arial" w:cs="Arial" w:eastAsia="Arial" w:hAnsi="Arial"/>
          <w:sz w:val="21"/>
          <w:szCs w:val="21"/>
          <w:color w:val="auto"/>
        </w:rPr>
      </w:pPr>
    </w:p>
    <w:p>
      <w:pPr>
        <w:ind w:left="1960" w:hanging="656"/>
        <w:spacing w:after="0"/>
        <w:tabs>
          <w:tab w:leader="none" w:pos="1960" w:val="left"/>
        </w:tabs>
        <w:numPr>
          <w:ilvl w:val="0"/>
          <w:numId w:val="114"/>
        </w:numPr>
        <w:rPr>
          <w:rFonts w:ascii="Arial" w:cs="Arial" w:eastAsia="Arial" w:hAnsi="Arial"/>
          <w:sz w:val="21"/>
          <w:szCs w:val="21"/>
          <w:color w:val="auto"/>
        </w:rPr>
      </w:pPr>
      <w:r>
        <w:rPr>
          <w:rFonts w:ascii="Arial" w:cs="Arial" w:eastAsia="Arial" w:hAnsi="Arial"/>
          <w:sz w:val="21"/>
          <w:szCs w:val="21"/>
          <w:b w:val="1"/>
          <w:bCs w:val="1"/>
          <w:u w:val="single" w:color="auto"/>
          <w:color w:val="auto"/>
        </w:rPr>
        <w:t>Service Vesting Date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three (3)-year anniversary of the Award Date.</w:t>
      </w:r>
    </w:p>
    <w:p>
      <w:pPr>
        <w:spacing w:after="0" w:line="217" w:lineRule="exact"/>
        <w:rPr>
          <w:rFonts w:ascii="Arial" w:cs="Arial" w:eastAsia="Arial" w:hAnsi="Arial"/>
          <w:sz w:val="21"/>
          <w:szCs w:val="21"/>
          <w:color w:val="auto"/>
        </w:rPr>
      </w:pPr>
    </w:p>
    <w:p>
      <w:pPr>
        <w:ind w:firstLine="1304"/>
        <w:spacing w:after="0" w:line="256" w:lineRule="auto"/>
        <w:tabs>
          <w:tab w:leader="none" w:pos="1944" w:val="left"/>
        </w:tabs>
        <w:numPr>
          <w:ilvl w:val="0"/>
          <w:numId w:val="114"/>
        </w:numPr>
        <w:rPr>
          <w:rFonts w:ascii="Arial" w:cs="Arial" w:eastAsia="Arial" w:hAnsi="Arial"/>
          <w:sz w:val="22"/>
          <w:szCs w:val="22"/>
          <w:color w:val="auto"/>
        </w:rPr>
      </w:pPr>
      <w:r>
        <w:rPr>
          <w:rFonts w:ascii="Arial" w:cs="Arial" w:eastAsia="Arial" w:hAnsi="Arial"/>
          <w:sz w:val="22"/>
          <w:szCs w:val="22"/>
          <w:b w:val="1"/>
          <w:bCs w:val="1"/>
          <w:u w:val="single" w:color="auto"/>
          <w:color w:val="auto"/>
        </w:rPr>
        <w:t>Shares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shares of Common Stock which may vest and become issuable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Award pursuant to the terms of this Agreement and the Award Notice.</w:t>
      </w:r>
    </w:p>
    <w:p>
      <w:pPr>
        <w:spacing w:after="0" w:line="162" w:lineRule="exact"/>
        <w:rPr>
          <w:rFonts w:ascii="Arial" w:cs="Arial" w:eastAsia="Arial" w:hAnsi="Arial"/>
          <w:sz w:val="22"/>
          <w:szCs w:val="22"/>
          <w:color w:val="auto"/>
        </w:rPr>
      </w:pPr>
    </w:p>
    <w:p>
      <w:pPr>
        <w:ind w:firstLine="1304"/>
        <w:spacing w:after="0" w:line="334" w:lineRule="auto"/>
        <w:tabs>
          <w:tab w:leader="none" w:pos="1944" w:val="left"/>
        </w:tabs>
        <w:numPr>
          <w:ilvl w:val="0"/>
          <w:numId w:val="114"/>
        </w:numPr>
        <w:rPr>
          <w:rFonts w:ascii="Arial" w:cs="Arial" w:eastAsia="Arial" w:hAnsi="Arial"/>
          <w:sz w:val="19"/>
          <w:szCs w:val="19"/>
          <w:color w:val="auto"/>
        </w:rPr>
      </w:pPr>
      <w:r>
        <w:rPr>
          <w:rFonts w:ascii="Arial" w:cs="Arial" w:eastAsia="Arial" w:hAnsi="Arial"/>
          <w:sz w:val="19"/>
          <w:szCs w:val="19"/>
          <w:b w:val="1"/>
          <w:bCs w:val="1"/>
          <w:u w:val="single" w:color="auto"/>
          <w:color w:val="auto"/>
        </w:rPr>
        <w:t>Target Level Attainment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Corporation’s achievement of the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Goal set forth in Schedule I to the Award Notice at the level designated as Target Level attainment for that goal.</w:t>
      </w:r>
    </w:p>
    <w:p>
      <w:pPr>
        <w:spacing w:after="0" w:line="93" w:lineRule="exact"/>
        <w:rPr>
          <w:rFonts w:ascii="Arial" w:cs="Arial" w:eastAsia="Arial" w:hAnsi="Arial"/>
          <w:sz w:val="19"/>
          <w:szCs w:val="19"/>
          <w:color w:val="auto"/>
        </w:rPr>
      </w:pPr>
    </w:p>
    <w:p>
      <w:pPr>
        <w:jc w:val="both"/>
        <w:ind w:firstLine="1304"/>
        <w:spacing w:after="0" w:line="239" w:lineRule="auto"/>
        <w:tabs>
          <w:tab w:leader="none" w:pos="1944" w:val="left"/>
        </w:tabs>
        <w:numPr>
          <w:ilvl w:val="0"/>
          <w:numId w:val="114"/>
        </w:numPr>
        <w:rPr>
          <w:rFonts w:ascii="Arial" w:cs="Arial" w:eastAsia="Arial" w:hAnsi="Arial"/>
          <w:sz w:val="22"/>
          <w:szCs w:val="22"/>
          <w:color w:val="auto"/>
        </w:rPr>
      </w:pPr>
      <w:r>
        <w:rPr>
          <w:rFonts w:ascii="Arial" w:cs="Arial" w:eastAsia="Arial" w:hAnsi="Arial"/>
          <w:sz w:val="22"/>
          <w:szCs w:val="22"/>
          <w:b w:val="1"/>
          <w:bCs w:val="1"/>
          <w:u w:val="single" w:color="auto"/>
          <w:color w:val="auto"/>
        </w:rPr>
        <w:t>Vested Percentage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(i) fifty percent (50%) if the Change in Control is</w:t>
      </w:r>
      <w:r>
        <w:rPr>
          <w:rFonts w:ascii="Arial" w:cs="Arial" w:eastAsia="Arial" w:hAnsi="Arial"/>
          <w:sz w:val="22"/>
          <w:szCs w:val="22"/>
          <w:b w:val="1"/>
          <w:bCs w:val="1"/>
          <w:color w:val="auto"/>
        </w:rPr>
        <w:t xml:space="preserve"> </w:t>
      </w:r>
      <w:r>
        <w:rPr>
          <w:rFonts w:ascii="Arial" w:cs="Arial" w:eastAsia="Arial" w:hAnsi="Arial"/>
          <w:sz w:val="22"/>
          <w:szCs w:val="22"/>
          <w:color w:val="auto"/>
        </w:rPr>
        <w:t>consummated during the first eighteen (18) months of the Performance Period and (ii) one hundred percent (100%) if the Change in Control is consummated after the first eighteen (18) months of the Performance Period, but prior to the completion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18" w:name="page119"/>
    <w:bookmarkEnd w:id="118"/>
    <w:p>
      <w:pPr>
        <w:ind w:left="4300"/>
        <w:spacing w:after="0"/>
        <w:rPr>
          <w:sz w:val="20"/>
          <w:szCs w:val="20"/>
          <w:color w:val="auto"/>
        </w:rPr>
      </w:pPr>
      <w:r>
        <w:rPr>
          <w:rFonts w:ascii="Arial" w:cs="Arial" w:eastAsia="Arial" w:hAnsi="Arial"/>
          <w:sz w:val="22"/>
          <w:szCs w:val="22"/>
          <w:b w:val="1"/>
          <w:bCs w:val="1"/>
          <w:color w:val="auto"/>
        </w:rPr>
        <w:t>APPENDIX B</w:t>
      </w:r>
    </w:p>
    <w:p>
      <w:pPr>
        <w:spacing w:after="0" w:line="206" w:lineRule="exact"/>
        <w:rPr>
          <w:sz w:val="20"/>
          <w:szCs w:val="20"/>
          <w:color w:val="auto"/>
        </w:rPr>
      </w:pPr>
    </w:p>
    <w:p>
      <w:pPr>
        <w:ind w:left="2560"/>
        <w:spacing w:after="0"/>
        <w:rPr>
          <w:sz w:val="20"/>
          <w:szCs w:val="20"/>
          <w:color w:val="auto"/>
        </w:rPr>
      </w:pPr>
      <w:r>
        <w:rPr>
          <w:rFonts w:ascii="Arial" w:cs="Arial" w:eastAsia="Arial" w:hAnsi="Arial"/>
          <w:sz w:val="22"/>
          <w:szCs w:val="22"/>
          <w:b w:val="1"/>
          <w:bCs w:val="1"/>
          <w:color w:val="auto"/>
        </w:rPr>
        <w:t>ILLUSTRATION OF VESTING CALCULATIONS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examples are for illustration purposes only:</w:t>
      </w:r>
    </w:p>
    <w:p>
      <w:pPr>
        <w:spacing w:after="0" w:line="206" w:lineRule="exact"/>
        <w:rPr>
          <w:sz w:val="20"/>
          <w:szCs w:val="20"/>
          <w:color w:val="auto"/>
        </w:rPr>
      </w:pPr>
    </w:p>
    <w:p>
      <w:pPr>
        <w:jc w:val="both"/>
        <w:ind w:firstLine="8"/>
        <w:spacing w:after="0" w:line="236" w:lineRule="auto"/>
        <w:tabs>
          <w:tab w:leader="none" w:pos="32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Participant receives an Award for 100 Shares at Target Level and Participant continues in Service until the expiration of the requisite three (3)-year Service vesting period. If the Performance Goal is attained at the Target Level, Participant shall vest in 100 Shares upon the Service Vesting Date. If the Performance Goal is attained at the Extraordinary Level, Participant shall vest in an additional 150 Shares for a total of 250 Shares following the completion of the Performance Period..</w:t>
      </w:r>
    </w:p>
    <w:p>
      <w:pPr>
        <w:spacing w:after="0" w:line="187" w:lineRule="exact"/>
        <w:rPr>
          <w:rFonts w:ascii="Arial" w:cs="Arial" w:eastAsia="Arial" w:hAnsi="Arial"/>
          <w:sz w:val="22"/>
          <w:szCs w:val="22"/>
          <w:color w:val="auto"/>
        </w:rPr>
      </w:pPr>
    </w:p>
    <w:p>
      <w:pPr>
        <w:jc w:val="both"/>
        <w:ind w:firstLine="8"/>
        <w:spacing w:after="0" w:line="287" w:lineRule="auto"/>
        <w:tabs>
          <w:tab w:leader="none" w:pos="324" w:val="left"/>
        </w:tabs>
        <w:numPr>
          <w:ilvl w:val="0"/>
          <w:numId w:val="115"/>
        </w:numPr>
        <w:rPr>
          <w:rFonts w:ascii="Arial" w:cs="Arial" w:eastAsia="Arial" w:hAnsi="Arial"/>
          <w:sz w:val="19"/>
          <w:szCs w:val="19"/>
          <w:color w:val="auto"/>
        </w:rPr>
      </w:pPr>
      <w:r>
        <w:rPr>
          <w:rFonts w:ascii="Arial" w:cs="Arial" w:eastAsia="Arial" w:hAnsi="Arial"/>
          <w:sz w:val="19"/>
          <w:szCs w:val="19"/>
          <w:color w:val="auto"/>
        </w:rPr>
        <w:t>Participant receives an Award for 100 Shares at Target Level and Participant ceases Service due to Permanent Disability halfway through the Performance Period. If the Performance Goal is attained at the Target Level, Participant shall vest in 50 of the Shares. On the other hand, if the Performance Goal is attained at the Extraordinary Level, Participant shall vest in an additional 75 Shares for a total of 125 Shares.</w:t>
      </w:r>
    </w:p>
    <w:p>
      <w:pPr>
        <w:spacing w:after="0" w:line="142" w:lineRule="exact"/>
        <w:rPr>
          <w:rFonts w:ascii="Arial" w:cs="Arial" w:eastAsia="Arial" w:hAnsi="Arial"/>
          <w:sz w:val="19"/>
          <w:szCs w:val="19"/>
          <w:color w:val="auto"/>
        </w:rPr>
      </w:pPr>
    </w:p>
    <w:p>
      <w:pPr>
        <w:jc w:val="both"/>
        <w:ind w:firstLine="8"/>
        <w:spacing w:after="0" w:line="235" w:lineRule="auto"/>
        <w:tabs>
          <w:tab w:leader="none" w:pos="32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Participant receives an Award for 100 Shares at Target Level and Participant continues in Service until the Service Vesting Date. If the Performance Goal is attained at a point halfway between the Threshold and Target Levels, Participant would vest in 63 of the Shares following the completion of the Performance Period upon the Service Vesting Date. On the other hand, if the Performance Goal is attained at a point halfway between the Target and Extraordinary Levels, Participant would vest in 175 of the Shares following the completion of the Performance Period.</w:t>
      </w:r>
    </w:p>
    <w:p>
      <w:pPr>
        <w:spacing w:after="0" w:line="187" w:lineRule="exact"/>
        <w:rPr>
          <w:rFonts w:ascii="Arial" w:cs="Arial" w:eastAsia="Arial" w:hAnsi="Arial"/>
          <w:sz w:val="22"/>
          <w:szCs w:val="22"/>
          <w:color w:val="auto"/>
        </w:rPr>
      </w:pPr>
    </w:p>
    <w:p>
      <w:pPr>
        <w:jc w:val="both"/>
        <w:ind w:firstLine="8"/>
        <w:spacing w:after="0" w:line="235" w:lineRule="auto"/>
        <w:tabs>
          <w:tab w:leader="none" w:pos="381" w:val="left"/>
        </w:tabs>
        <w:numPr>
          <w:ilvl w:val="0"/>
          <w:numId w:val="115"/>
        </w:numPr>
        <w:rPr>
          <w:rFonts w:ascii="Arial" w:cs="Arial" w:eastAsia="Arial" w:hAnsi="Arial"/>
          <w:sz w:val="22"/>
          <w:szCs w:val="22"/>
          <w:color w:val="auto"/>
        </w:rPr>
      </w:pPr>
      <w:r>
        <w:rPr>
          <w:rFonts w:ascii="Arial" w:cs="Arial" w:eastAsia="Arial" w:hAnsi="Arial"/>
          <w:sz w:val="22"/>
          <w:szCs w:val="22"/>
          <w:color w:val="auto"/>
        </w:rPr>
        <w:t>Participant receives an Award for 100 Shares at Target Level and Participant ceases Service due to Permanent Disability halfway through the Performance Period. If the Performance Goal is attained at a point halfway between the Threshold and Target Levels, Participant would vest in 32 of the Shares following the completion of the Performance Period. On the other hand, if the Performance Goal is attained at a point halfway between the Target and Extraordinary Levels, Participant would vest in 88 of the Shares following the completion of the Performance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b w:val="1"/>
          <w:bCs w:val="1"/>
          <w:color w:val="auto"/>
        </w:rPr>
        <w:t>Exhibit 10.48</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Performance Share Award Package – Executives, TSR metric</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MATSON,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EXECUTIVE NOTICE OF AWARD OF PERFORMANCE SHARES</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Corporation hereby awards to Participant, as of the Award Date indicated below, an award (the “Award”) of Performance Shares under the Corporation’s 2016 Incentive Compensation Plan (as amended from time to time, the “Plan”). Each Performance Share represents the right to receive one or more shares of Common Stock on the applicable issuance date following the vesting of that Performance Share. The number of Performance Shares subject to this Award and the applicable performance vesting requirements for those Performance Shares and the underlying shares are set forth below. The remaining terms and conditions governing the Award, including the applicable service vesting requirements and the applicable issuance date or dates for the shares of Common Stock that vest under the Award, shall be as set forth in the form Performance Share Award Agreement for Awards with combined performance and service vesting requirements.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60" w:type="dxa"/>
            <w:vAlign w:val="bottom"/>
          </w:tcPr>
          <w:p>
            <w:pPr>
              <w:ind w:left="300"/>
              <w:spacing w:after="0"/>
              <w:rPr>
                <w:sz w:val="20"/>
                <w:szCs w:val="20"/>
                <w:color w:val="auto"/>
              </w:rPr>
            </w:pPr>
            <w:r>
              <w:rPr>
                <w:rFonts w:ascii="Arial" w:cs="Arial" w:eastAsia="Arial" w:hAnsi="Arial"/>
                <w:sz w:val="22"/>
                <w:szCs w:val="22"/>
                <w:b w:val="1"/>
                <w:bCs w:val="1"/>
                <w:color w:val="auto"/>
              </w:rPr>
              <w:t>AWARD SUMMARY</w:t>
            </w:r>
          </w:p>
        </w:tc>
      </w:tr>
      <w:tr>
        <w:trPr>
          <w:trHeight w:val="408"/>
        </w:trPr>
        <w:tc>
          <w:tcPr>
            <w:tcW w:w="100" w:type="dxa"/>
            <w:vAlign w:val="bottom"/>
          </w:tcPr>
          <w:p>
            <w:pPr>
              <w:spacing w:after="0"/>
              <w:rPr>
                <w:sz w:val="24"/>
                <w:szCs w:val="24"/>
                <w:color w:val="auto"/>
              </w:rPr>
            </w:pPr>
          </w:p>
        </w:tc>
        <w:tc>
          <w:tcPr>
            <w:tcW w:w="1980" w:type="dxa"/>
            <w:vAlign w:val="bottom"/>
            <w:gridSpan w:val="5"/>
          </w:tcPr>
          <w:p>
            <w:pPr>
              <w:spacing w:after="0"/>
              <w:rPr>
                <w:sz w:val="20"/>
                <w:szCs w:val="20"/>
                <w:color w:val="auto"/>
              </w:rPr>
            </w:pPr>
            <w:r>
              <w:rPr>
                <w:rFonts w:ascii="Arial" w:cs="Arial" w:eastAsia="Arial" w:hAnsi="Arial"/>
                <w:sz w:val="22"/>
                <w:szCs w:val="22"/>
                <w:color w:val="auto"/>
              </w:rPr>
              <w:t>Participant</w:t>
            </w:r>
          </w:p>
        </w:tc>
        <w:tc>
          <w:tcPr>
            <w:tcW w:w="158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r>
        <w:trPr>
          <w:trHeight w:val="466"/>
        </w:trPr>
        <w:tc>
          <w:tcPr>
            <w:tcW w:w="100" w:type="dxa"/>
            <w:vAlign w:val="bottom"/>
          </w:tcPr>
          <w:p>
            <w:pPr>
              <w:spacing w:after="0"/>
              <w:rPr>
                <w:sz w:val="24"/>
                <w:szCs w:val="24"/>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9"/>
              </w:rPr>
              <w:t>Award Date:</w:t>
            </w:r>
          </w:p>
        </w:tc>
        <w:tc>
          <w:tcPr>
            <w:tcW w:w="880" w:type="dxa"/>
            <w:vAlign w:val="bottom"/>
            <w:gridSpan w:val="2"/>
          </w:tcPr>
          <w:p>
            <w:pPr>
              <w:spacing w:after="0"/>
              <w:rPr>
                <w:sz w:val="24"/>
                <w:szCs w:val="24"/>
                <w:color w:val="auto"/>
              </w:rPr>
            </w:pPr>
          </w:p>
        </w:tc>
        <w:tc>
          <w:tcPr>
            <w:tcW w:w="158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466"/>
        </w:trPr>
        <w:tc>
          <w:tcPr>
            <w:tcW w:w="100" w:type="dxa"/>
            <w:vAlign w:val="bottom"/>
          </w:tcPr>
          <w:p>
            <w:pPr>
              <w:spacing w:after="0"/>
              <w:rPr>
                <w:sz w:val="24"/>
                <w:szCs w:val="24"/>
                <w:color w:val="auto"/>
              </w:rPr>
            </w:pPr>
          </w:p>
        </w:tc>
        <w:tc>
          <w:tcPr>
            <w:tcW w:w="1980" w:type="dxa"/>
            <w:vAlign w:val="bottom"/>
            <w:gridSpan w:val="5"/>
          </w:tcPr>
          <w:p>
            <w:pPr>
              <w:spacing w:after="0"/>
              <w:rPr>
                <w:sz w:val="20"/>
                <w:szCs w:val="20"/>
                <w:color w:val="auto"/>
              </w:rPr>
            </w:pPr>
            <w:r>
              <w:rPr>
                <w:rFonts w:ascii="Arial" w:cs="Arial" w:eastAsia="Arial" w:hAnsi="Arial"/>
                <w:sz w:val="22"/>
                <w:szCs w:val="22"/>
                <w:color w:val="auto"/>
              </w:rPr>
              <w:t>Performance</w:t>
            </w:r>
          </w:p>
        </w:tc>
        <w:tc>
          <w:tcPr>
            <w:tcW w:w="7840" w:type="dxa"/>
            <w:vAlign w:val="bottom"/>
            <w:gridSpan w:val="2"/>
          </w:tcPr>
          <w:p>
            <w:pPr>
              <w:spacing w:after="0"/>
              <w:rPr>
                <w:sz w:val="20"/>
                <w:szCs w:val="20"/>
                <w:color w:val="auto"/>
              </w:rPr>
            </w:pPr>
            <w:r>
              <w:rPr>
                <w:rFonts w:ascii="Arial" w:cs="Arial" w:eastAsia="Arial" w:hAnsi="Arial"/>
                <w:sz w:val="22"/>
                <w:szCs w:val="22"/>
                <w:color w:val="auto"/>
                <w:w w:val="99"/>
              </w:rPr>
              <w:t>The number of shares of Common Stock issuable pursuant to the Award shall be</w:t>
            </w:r>
          </w:p>
        </w:tc>
      </w:tr>
      <w:tr>
        <w:trPr>
          <w:trHeight w:val="223"/>
        </w:trPr>
        <w:tc>
          <w:tcPr>
            <w:tcW w:w="100" w:type="dxa"/>
            <w:vAlign w:val="bottom"/>
          </w:tcPr>
          <w:p>
            <w:pPr>
              <w:spacing w:after="0"/>
              <w:rPr>
                <w:sz w:val="19"/>
                <w:szCs w:val="19"/>
                <w:color w:val="auto"/>
              </w:rPr>
            </w:pPr>
          </w:p>
        </w:tc>
        <w:tc>
          <w:tcPr>
            <w:tcW w:w="1100" w:type="dxa"/>
            <w:vAlign w:val="bottom"/>
            <w:tcBorders>
              <w:top w:val="single" w:sz="8" w:color="auto"/>
            </w:tcBorders>
            <w:gridSpan w:val="3"/>
          </w:tcPr>
          <w:p>
            <w:pPr>
              <w:spacing w:after="0" w:line="223" w:lineRule="exact"/>
              <w:rPr>
                <w:sz w:val="20"/>
                <w:szCs w:val="20"/>
                <w:color w:val="auto"/>
              </w:rPr>
            </w:pPr>
            <w:r>
              <w:rPr>
                <w:rFonts w:ascii="Arial" w:cs="Arial" w:eastAsia="Arial" w:hAnsi="Arial"/>
                <w:sz w:val="22"/>
                <w:szCs w:val="22"/>
                <w:color w:val="auto"/>
              </w:rPr>
              <w:t>Shares:</w:t>
            </w:r>
          </w:p>
        </w:tc>
        <w:tc>
          <w:tcPr>
            <w:tcW w:w="880" w:type="dxa"/>
            <w:vAlign w:val="bottom"/>
            <w:gridSpan w:val="2"/>
          </w:tcPr>
          <w:p>
            <w:pPr>
              <w:spacing w:after="0"/>
              <w:rPr>
                <w:sz w:val="19"/>
                <w:szCs w:val="19"/>
                <w:color w:val="auto"/>
              </w:rPr>
            </w:pPr>
          </w:p>
        </w:tc>
        <w:tc>
          <w:tcPr>
            <w:tcW w:w="7840" w:type="dxa"/>
            <w:vAlign w:val="bottom"/>
            <w:gridSpan w:val="2"/>
          </w:tcPr>
          <w:p>
            <w:pPr>
              <w:spacing w:after="0" w:line="223" w:lineRule="exact"/>
              <w:rPr>
                <w:sz w:val="20"/>
                <w:szCs w:val="20"/>
                <w:color w:val="auto"/>
              </w:rPr>
            </w:pPr>
            <w:r>
              <w:rPr>
                <w:rFonts w:ascii="Arial" w:cs="Arial" w:eastAsia="Arial" w:hAnsi="Arial"/>
                <w:sz w:val="22"/>
                <w:szCs w:val="22"/>
                <w:color w:val="auto"/>
              </w:rPr>
              <w:t>determined in accordance with the Vesting Schedule below. For purposes of the</w:t>
            </w:r>
          </w:p>
        </w:tc>
      </w:tr>
      <w:tr>
        <w:trPr>
          <w:trHeight w:val="242"/>
        </w:trPr>
        <w:tc>
          <w:tcPr>
            <w:tcW w:w="10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40" w:type="dxa"/>
            <w:vAlign w:val="bottom"/>
            <w:gridSpan w:val="2"/>
          </w:tcPr>
          <w:p>
            <w:pPr>
              <w:spacing w:after="0" w:line="242" w:lineRule="exact"/>
              <w:rPr>
                <w:sz w:val="20"/>
                <w:szCs w:val="20"/>
                <w:color w:val="auto"/>
              </w:rPr>
            </w:pPr>
            <w:r>
              <w:rPr>
                <w:rFonts w:ascii="Arial" w:cs="Arial" w:eastAsia="Arial" w:hAnsi="Arial"/>
                <w:sz w:val="22"/>
                <w:szCs w:val="22"/>
                <w:color w:val="auto"/>
                <w:w w:val="89"/>
              </w:rPr>
              <w:t>percentage calculations set forth in the performance vesting section of such schedule, the</w:t>
            </w:r>
          </w:p>
        </w:tc>
      </w:tr>
      <w:tr>
        <w:trPr>
          <w:trHeight w:val="243"/>
        </w:trPr>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40" w:type="dxa"/>
            <w:vAlign w:val="bottom"/>
            <w:gridSpan w:val="2"/>
          </w:tcPr>
          <w:p>
            <w:pPr>
              <w:spacing w:after="0" w:line="243" w:lineRule="exact"/>
              <w:rPr>
                <w:sz w:val="20"/>
                <w:szCs w:val="20"/>
                <w:color w:val="auto"/>
              </w:rPr>
            </w:pPr>
            <w:r>
              <w:rPr>
                <w:rFonts w:ascii="Arial" w:cs="Arial" w:eastAsia="Arial" w:hAnsi="Arial"/>
                <w:sz w:val="22"/>
                <w:szCs w:val="22"/>
                <w:color w:val="auto"/>
                <w:w w:val="96"/>
              </w:rPr>
              <w:t>number of shares of Common Stock to be utilized is ____ shares (the “Performance</w:t>
            </w:r>
          </w:p>
        </w:tc>
      </w:tr>
      <w:tr>
        <w:trPr>
          <w:trHeight w:val="243"/>
        </w:trPr>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40" w:type="dxa"/>
            <w:vAlign w:val="bottom"/>
            <w:gridSpan w:val="2"/>
          </w:tcPr>
          <w:p>
            <w:pPr>
              <w:spacing w:after="0" w:line="243" w:lineRule="exact"/>
              <w:rPr>
                <w:sz w:val="20"/>
                <w:szCs w:val="20"/>
                <w:color w:val="auto"/>
              </w:rPr>
            </w:pPr>
            <w:r>
              <w:rPr>
                <w:rFonts w:ascii="Arial" w:cs="Arial" w:eastAsia="Arial" w:hAnsi="Arial"/>
                <w:sz w:val="22"/>
                <w:szCs w:val="22"/>
                <w:color w:val="auto"/>
                <w:w w:val="90"/>
              </w:rPr>
              <w:t>Shares”). The specific number of Performance Shares set forth in this paragraph shall be</w:t>
            </w:r>
          </w:p>
        </w:tc>
      </w:tr>
      <w:tr>
        <w:trPr>
          <w:trHeight w:val="274"/>
        </w:trPr>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40" w:type="dxa"/>
            <w:vAlign w:val="bottom"/>
            <w:gridSpan w:val="2"/>
          </w:tcPr>
          <w:p>
            <w:pPr>
              <w:spacing w:after="0"/>
              <w:rPr>
                <w:sz w:val="20"/>
                <w:szCs w:val="20"/>
                <w:color w:val="auto"/>
              </w:rPr>
            </w:pPr>
            <w:r>
              <w:rPr>
                <w:rFonts w:ascii="Arial" w:cs="Arial" w:eastAsia="Arial" w:hAnsi="Arial"/>
                <w:sz w:val="22"/>
                <w:szCs w:val="22"/>
                <w:color w:val="auto"/>
              </w:rPr>
              <w:t>referred to as the “Designated Shares”.</w:t>
            </w:r>
          </w:p>
        </w:tc>
      </w:tr>
      <w:tr>
        <w:trPr>
          <w:trHeight w:val="435"/>
        </w:trPr>
        <w:tc>
          <w:tcPr>
            <w:tcW w:w="100" w:type="dxa"/>
            <w:vAlign w:val="bottom"/>
          </w:tcPr>
          <w:p>
            <w:pPr>
              <w:spacing w:after="0"/>
              <w:rPr>
                <w:sz w:val="24"/>
                <w:szCs w:val="24"/>
                <w:color w:val="auto"/>
              </w:rPr>
            </w:pPr>
          </w:p>
        </w:tc>
        <w:tc>
          <w:tcPr>
            <w:tcW w:w="1980" w:type="dxa"/>
            <w:vAlign w:val="bottom"/>
            <w:gridSpan w:val="5"/>
          </w:tcPr>
          <w:p>
            <w:pPr>
              <w:spacing w:after="0"/>
              <w:rPr>
                <w:sz w:val="20"/>
                <w:szCs w:val="20"/>
                <w:color w:val="auto"/>
              </w:rPr>
            </w:pPr>
            <w:r>
              <w:rPr>
                <w:rFonts w:ascii="Arial" w:cs="Arial" w:eastAsia="Arial" w:hAnsi="Arial"/>
                <w:sz w:val="22"/>
                <w:szCs w:val="22"/>
                <w:color w:val="auto"/>
              </w:rPr>
              <w:t>Vesting Schedule:</w:t>
            </w:r>
          </w:p>
        </w:tc>
        <w:tc>
          <w:tcPr>
            <w:tcW w:w="7840" w:type="dxa"/>
            <w:vAlign w:val="bottom"/>
            <w:gridSpan w:val="2"/>
          </w:tcPr>
          <w:p>
            <w:pPr>
              <w:spacing w:after="0"/>
              <w:rPr>
                <w:sz w:val="20"/>
                <w:szCs w:val="20"/>
                <w:color w:val="auto"/>
              </w:rPr>
            </w:pPr>
            <w:r>
              <w:rPr>
                <w:rFonts w:ascii="Arial" w:cs="Arial" w:eastAsia="Arial" w:hAnsi="Arial"/>
                <w:sz w:val="22"/>
                <w:szCs w:val="22"/>
                <w:color w:val="auto"/>
                <w:w w:val="92"/>
              </w:rPr>
              <w:t>The number of shares of Common Stock which may actually vest and become issuable</w:t>
            </w:r>
          </w:p>
        </w:tc>
      </w:tr>
      <w:tr>
        <w:trPr>
          <w:trHeight w:val="242"/>
        </w:trPr>
        <w:tc>
          <w:tcPr>
            <w:tcW w:w="10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7840" w:type="dxa"/>
            <w:vAlign w:val="bottom"/>
            <w:gridSpan w:val="2"/>
          </w:tcPr>
          <w:p>
            <w:pPr>
              <w:spacing w:after="0" w:line="242" w:lineRule="exact"/>
              <w:rPr>
                <w:sz w:val="20"/>
                <w:szCs w:val="20"/>
                <w:color w:val="auto"/>
              </w:rPr>
            </w:pPr>
            <w:r>
              <w:rPr>
                <w:rFonts w:ascii="Arial" w:cs="Arial" w:eastAsia="Arial" w:hAnsi="Arial"/>
                <w:sz w:val="22"/>
                <w:szCs w:val="22"/>
                <w:color w:val="auto"/>
                <w:w w:val="92"/>
              </w:rPr>
              <w:t>pursuant to the Award shall be determined pursuant to a two-step process: (i) first there</w:t>
            </w:r>
          </w:p>
        </w:tc>
      </w:tr>
      <w:tr>
        <w:trPr>
          <w:trHeight w:val="243"/>
        </w:trPr>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40" w:type="dxa"/>
            <w:vAlign w:val="bottom"/>
            <w:gridSpan w:val="2"/>
          </w:tcPr>
          <w:p>
            <w:pPr>
              <w:spacing w:after="0" w:line="243" w:lineRule="exact"/>
              <w:rPr>
                <w:sz w:val="20"/>
                <w:szCs w:val="20"/>
                <w:color w:val="auto"/>
              </w:rPr>
            </w:pPr>
            <w:r>
              <w:rPr>
                <w:rFonts w:ascii="Arial" w:cs="Arial" w:eastAsia="Arial" w:hAnsi="Arial"/>
                <w:sz w:val="22"/>
                <w:szCs w:val="22"/>
                <w:color w:val="auto"/>
              </w:rPr>
              <w:t>shall be calculated the maximum number of shares of Common Stock in which</w:t>
            </w:r>
          </w:p>
        </w:tc>
      </w:tr>
      <w:tr>
        <w:trPr>
          <w:trHeight w:val="243"/>
        </w:trPr>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40" w:type="dxa"/>
            <w:vAlign w:val="bottom"/>
            <w:gridSpan w:val="2"/>
          </w:tcPr>
          <w:p>
            <w:pPr>
              <w:spacing w:after="0" w:line="243" w:lineRule="exact"/>
              <w:rPr>
                <w:sz w:val="20"/>
                <w:szCs w:val="20"/>
                <w:color w:val="auto"/>
              </w:rPr>
            </w:pPr>
            <w:r>
              <w:rPr>
                <w:rFonts w:ascii="Arial" w:cs="Arial" w:eastAsia="Arial" w:hAnsi="Arial"/>
                <w:sz w:val="22"/>
                <w:szCs w:val="22"/>
                <w:color w:val="auto"/>
                <w:w w:val="91"/>
              </w:rPr>
              <w:t>Participant can vest under the performance vesting section below based upon the actual</w:t>
            </w:r>
          </w:p>
        </w:tc>
      </w:tr>
      <w:tr>
        <w:trPr>
          <w:trHeight w:val="243"/>
        </w:trPr>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40" w:type="dxa"/>
            <w:vAlign w:val="bottom"/>
            <w:gridSpan w:val="2"/>
          </w:tcPr>
          <w:p>
            <w:pPr>
              <w:spacing w:after="0" w:line="243" w:lineRule="exact"/>
              <w:rPr>
                <w:sz w:val="20"/>
                <w:szCs w:val="20"/>
                <w:color w:val="auto"/>
              </w:rPr>
            </w:pPr>
            <w:r>
              <w:rPr>
                <w:rFonts w:ascii="Arial" w:cs="Arial" w:eastAsia="Arial" w:hAnsi="Arial"/>
                <w:sz w:val="22"/>
                <w:szCs w:val="22"/>
                <w:color w:val="auto"/>
                <w:w w:val="91"/>
              </w:rPr>
              <w:t>level at which the Performance Goal specified on attached Schedule I is attained and (ii)</w:t>
            </w:r>
          </w:p>
        </w:tc>
      </w:tr>
      <w:tr>
        <w:trPr>
          <w:trHeight w:val="243"/>
        </w:trPr>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40" w:type="dxa"/>
            <w:vAlign w:val="bottom"/>
            <w:gridSpan w:val="2"/>
          </w:tcPr>
          <w:p>
            <w:pPr>
              <w:spacing w:after="0" w:line="243" w:lineRule="exact"/>
              <w:rPr>
                <w:sz w:val="20"/>
                <w:szCs w:val="20"/>
                <w:color w:val="auto"/>
              </w:rPr>
            </w:pPr>
            <w:r>
              <w:rPr>
                <w:rFonts w:ascii="Arial" w:cs="Arial" w:eastAsia="Arial" w:hAnsi="Arial"/>
                <w:sz w:val="22"/>
                <w:szCs w:val="22"/>
                <w:color w:val="auto"/>
                <w:w w:val="92"/>
              </w:rPr>
              <w:t>then the number of shares calculated under clause (i) in which Participant may actually</w:t>
            </w:r>
          </w:p>
        </w:tc>
      </w:tr>
      <w:tr>
        <w:trPr>
          <w:trHeight w:val="243"/>
        </w:trPr>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40" w:type="dxa"/>
            <w:vAlign w:val="bottom"/>
            <w:gridSpan w:val="2"/>
          </w:tcPr>
          <w:p>
            <w:pPr>
              <w:spacing w:after="0" w:line="243" w:lineRule="exact"/>
              <w:rPr>
                <w:sz w:val="20"/>
                <w:szCs w:val="20"/>
                <w:color w:val="auto"/>
              </w:rPr>
            </w:pPr>
            <w:r>
              <w:rPr>
                <w:rFonts w:ascii="Arial" w:cs="Arial" w:eastAsia="Arial" w:hAnsi="Arial"/>
                <w:sz w:val="22"/>
                <w:szCs w:val="22"/>
                <w:color w:val="auto"/>
                <w:w w:val="92"/>
              </w:rPr>
              <w:t>vest shall be determined on the basis of his or her satisfaction of the applicable Service</w:t>
            </w:r>
          </w:p>
        </w:tc>
      </w:tr>
      <w:tr>
        <w:trPr>
          <w:trHeight w:val="274"/>
        </w:trPr>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40" w:type="dxa"/>
            <w:vAlign w:val="bottom"/>
            <w:gridSpan w:val="2"/>
          </w:tcPr>
          <w:p>
            <w:pPr>
              <w:spacing w:after="0"/>
              <w:rPr>
                <w:sz w:val="20"/>
                <w:szCs w:val="20"/>
                <w:color w:val="auto"/>
              </w:rPr>
            </w:pPr>
            <w:r>
              <w:rPr>
                <w:rFonts w:ascii="Arial" w:cs="Arial" w:eastAsia="Arial" w:hAnsi="Arial"/>
                <w:sz w:val="22"/>
                <w:szCs w:val="22"/>
                <w:color w:val="auto"/>
                <w:w w:val="99"/>
              </w:rPr>
              <w:t>vesting requirements set forth in the form Performance Share Award Agreement.</w:t>
            </w:r>
          </w:p>
        </w:tc>
      </w:tr>
      <w:tr>
        <w:trPr>
          <w:trHeight w:val="428"/>
        </w:trPr>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22"/>
                <w:szCs w:val="22"/>
                <w:b w:val="1"/>
                <w:bCs w:val="1"/>
                <w:i w:val="1"/>
                <w:iCs w:val="1"/>
                <w:color w:val="auto"/>
                <w:w w:val="98"/>
              </w:rPr>
              <w:t>Performance Vesting</w:t>
            </w:r>
            <w:r>
              <w:rPr>
                <w:rFonts w:ascii="Arial" w:cs="Arial" w:eastAsia="Arial" w:hAnsi="Arial"/>
                <w:sz w:val="22"/>
                <w:szCs w:val="22"/>
                <w:color w:val="auto"/>
                <w:w w:val="98"/>
              </w:rPr>
              <w:t>:   Attached Schedule I specifies the Performance Goal and</w:t>
            </w:r>
          </w:p>
        </w:tc>
      </w:tr>
      <w:tr>
        <w:trPr>
          <w:trHeight w:val="274"/>
        </w:trPr>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40" w:type="dxa"/>
            <w:vAlign w:val="bottom"/>
            <w:gridSpan w:val="2"/>
          </w:tcPr>
          <w:p>
            <w:pPr>
              <w:spacing w:after="0"/>
              <w:rPr>
                <w:sz w:val="20"/>
                <w:szCs w:val="20"/>
                <w:color w:val="auto"/>
              </w:rPr>
            </w:pPr>
            <w:r>
              <w:rPr>
                <w:rFonts w:ascii="Arial" w:cs="Arial" w:eastAsia="Arial" w:hAnsi="Arial"/>
                <w:sz w:val="22"/>
                <w:szCs w:val="22"/>
                <w:color w:val="auto"/>
              </w:rPr>
              <w:t>Performance Period established for the Award.</w:t>
            </w:r>
          </w:p>
        </w:tc>
      </w:tr>
      <w:tr>
        <w:trPr>
          <w:trHeight w:val="408"/>
        </w:trPr>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22"/>
                <w:szCs w:val="22"/>
                <w:color w:val="auto"/>
                <w:w w:val="91"/>
              </w:rPr>
              <w:t>Performance Goal: There are three designated levels of attainment set forth in Schedule</w:t>
            </w:r>
          </w:p>
        </w:tc>
      </w:tr>
      <w:tr>
        <w:trPr>
          <w:trHeight w:val="20"/>
        </w:trPr>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r>
        <w:trPr>
          <w:trHeight w:val="242"/>
        </w:trPr>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40" w:type="dxa"/>
            <w:vAlign w:val="bottom"/>
            <w:gridSpan w:val="2"/>
          </w:tcPr>
          <w:p>
            <w:pPr>
              <w:spacing w:after="0" w:line="242" w:lineRule="exact"/>
              <w:rPr>
                <w:sz w:val="20"/>
                <w:szCs w:val="20"/>
                <w:color w:val="auto"/>
              </w:rPr>
            </w:pPr>
            <w:r>
              <w:rPr>
                <w:rFonts w:ascii="Arial" w:cs="Arial" w:eastAsia="Arial" w:hAnsi="Arial"/>
                <w:sz w:val="22"/>
                <w:szCs w:val="22"/>
                <w:color w:val="auto"/>
              </w:rPr>
              <w:t>I for the Performance Goal: Threshold, Target and Extraordinary.  Following the</w:t>
            </w:r>
          </w:p>
        </w:tc>
      </w:tr>
      <w:tr>
        <w:trPr>
          <w:trHeight w:val="243"/>
        </w:trPr>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40" w:type="dxa"/>
            <w:vAlign w:val="bottom"/>
            <w:gridSpan w:val="2"/>
          </w:tcPr>
          <w:p>
            <w:pPr>
              <w:spacing w:after="0" w:line="243" w:lineRule="exact"/>
              <w:rPr>
                <w:sz w:val="20"/>
                <w:szCs w:val="20"/>
                <w:color w:val="auto"/>
              </w:rPr>
            </w:pPr>
            <w:r>
              <w:rPr>
                <w:rFonts w:ascii="Arial" w:cs="Arial" w:eastAsia="Arial" w:hAnsi="Arial"/>
                <w:sz w:val="22"/>
                <w:szCs w:val="22"/>
                <w:color w:val="auto"/>
                <w:w w:val="98"/>
              </w:rPr>
              <w:t>completion of the Performance Period, the Plan Administrator shall determine and</w:t>
            </w:r>
          </w:p>
        </w:tc>
      </w:tr>
      <w:tr>
        <w:trPr>
          <w:trHeight w:val="243"/>
        </w:trPr>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40" w:type="dxa"/>
            <w:vAlign w:val="bottom"/>
            <w:gridSpan w:val="2"/>
          </w:tcPr>
          <w:p>
            <w:pPr>
              <w:spacing w:after="0" w:line="243" w:lineRule="exact"/>
              <w:rPr>
                <w:sz w:val="20"/>
                <w:szCs w:val="20"/>
                <w:color w:val="auto"/>
              </w:rPr>
            </w:pPr>
            <w:r>
              <w:rPr>
                <w:rFonts w:ascii="Arial" w:cs="Arial" w:eastAsia="Arial" w:hAnsi="Arial"/>
                <w:sz w:val="22"/>
                <w:szCs w:val="22"/>
                <w:color w:val="auto"/>
                <w:w w:val="93"/>
              </w:rPr>
              <w:t>certify the actual level of attainment for the Performance Goal and shall then measure</w:t>
            </w:r>
          </w:p>
        </w:tc>
      </w:tr>
      <w:tr>
        <w:trPr>
          <w:trHeight w:val="274"/>
        </w:trPr>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40" w:type="dxa"/>
            <w:vAlign w:val="bottom"/>
            <w:gridSpan w:val="2"/>
          </w:tcPr>
          <w:p>
            <w:pPr>
              <w:spacing w:after="0"/>
              <w:rPr>
                <w:sz w:val="20"/>
                <w:szCs w:val="20"/>
                <w:color w:val="auto"/>
              </w:rPr>
            </w:pPr>
            <w:r>
              <w:rPr>
                <w:rFonts w:ascii="Arial" w:cs="Arial" w:eastAsia="Arial" w:hAnsi="Arial"/>
                <w:sz w:val="22"/>
                <w:szCs w:val="22"/>
                <w:color w:val="auto"/>
              </w:rPr>
              <w:t>that level of attainment</w:t>
            </w:r>
          </w:p>
        </w:tc>
      </w:tr>
      <w:tr>
        <w:trPr>
          <w:trHeight w:val="1441"/>
        </w:trPr>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1" w:right="999" w:bottom="1440" w:gutter="0" w:footer="0" w:header="0"/>
        </w:sectPr>
      </w:pPr>
    </w:p>
    <w:bookmarkStart w:id="120" w:name="page121"/>
    <w:bookmarkEnd w:id="120"/>
    <w:p>
      <w:pPr>
        <w:jc w:val="both"/>
        <w:ind w:left="2080" w:right="100"/>
        <w:spacing w:after="0" w:line="246" w:lineRule="auto"/>
        <w:rPr>
          <w:sz w:val="20"/>
          <w:szCs w:val="20"/>
          <w:color w:val="auto"/>
        </w:rPr>
      </w:pPr>
      <w:r>
        <w:rPr>
          <w:rFonts w:ascii="Arial" w:cs="Arial" w:eastAsia="Arial" w:hAnsi="Arial"/>
          <w:sz w:val="21"/>
          <w:szCs w:val="21"/>
          <w:color w:val="auto"/>
        </w:rPr>
        <w:t>against the Threshold, Target and Extraordinary Levels set forth for that Performance Goal in attached Schedule I. The Plan Administrator generally expects to complete this determination within sixty (60) days after the end of the Performance Period. The maximum number of shares of Common Stock in which Participant can vest based upon the actual level of attainment of such Performance Goal shall initially be determined by applying the corresponding percentage below for that level of attainment to the number of Designated Shares set forth above:</w:t>
      </w:r>
    </w:p>
    <w:p>
      <w:pPr>
        <w:spacing w:after="0" w:line="205" w:lineRule="exact"/>
        <w:rPr>
          <w:sz w:val="20"/>
          <w:szCs w:val="20"/>
          <w:color w:val="auto"/>
        </w:rPr>
      </w:pPr>
    </w:p>
    <w:tbl>
      <w:tblPr>
        <w:tblLayout w:type="fixed"/>
        <w:tblInd w:w="2200" w:type="dxa"/>
        <w:tblCellMar>
          <w:top w:w="0" w:type="dxa"/>
          <w:left w:w="0" w:type="dxa"/>
          <w:bottom w:w="0" w:type="dxa"/>
          <w:right w:w="0" w:type="dxa"/>
        </w:tblCellMar>
      </w:tblPr>
      <w:tr>
        <w:trPr>
          <w:trHeight w:val="270"/>
        </w:trPr>
        <w:tc>
          <w:tcPr>
            <w:tcW w:w="3940" w:type="dxa"/>
            <w:vAlign w:val="bottom"/>
            <w:gridSpan w:val="2"/>
          </w:tcPr>
          <w:p>
            <w:pPr>
              <w:spacing w:after="0"/>
              <w:rPr>
                <w:sz w:val="20"/>
                <w:szCs w:val="20"/>
                <w:color w:val="auto"/>
              </w:rPr>
            </w:pPr>
            <w:r>
              <w:rPr>
                <w:rFonts w:ascii="Arial" w:cs="Arial" w:eastAsia="Arial" w:hAnsi="Arial"/>
                <w:sz w:val="22"/>
                <w:szCs w:val="22"/>
                <w:b w:val="1"/>
                <w:bCs w:val="1"/>
                <w:color w:val="auto"/>
              </w:rPr>
              <w:t>Level of Attainment</w:t>
            </w:r>
          </w:p>
        </w:tc>
        <w:tc>
          <w:tcPr>
            <w:tcW w:w="3780" w:type="dxa"/>
            <w:vAlign w:val="bottom"/>
          </w:tcPr>
          <w:p>
            <w:pPr>
              <w:spacing w:after="0"/>
              <w:rPr>
                <w:sz w:val="20"/>
                <w:szCs w:val="20"/>
                <w:color w:val="auto"/>
              </w:rPr>
            </w:pPr>
            <w:r>
              <w:rPr>
                <w:rFonts w:ascii="Arial" w:cs="Arial" w:eastAsia="Arial" w:hAnsi="Arial"/>
                <w:sz w:val="22"/>
                <w:szCs w:val="22"/>
                <w:b w:val="1"/>
                <w:bCs w:val="1"/>
                <w:color w:val="auto"/>
              </w:rPr>
              <w:t>Percentage of Performance Shares</w:t>
            </w:r>
          </w:p>
        </w:tc>
      </w:tr>
      <w:tr>
        <w:trPr>
          <w:trHeight w:val="215"/>
        </w:trPr>
        <w:tc>
          <w:tcPr>
            <w:tcW w:w="378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Below the Threshold Level:</w:t>
            </w:r>
          </w:p>
        </w:tc>
        <w:tc>
          <w:tcPr>
            <w:tcW w:w="160" w:type="dxa"/>
            <w:vAlign w:val="bottom"/>
          </w:tcPr>
          <w:p>
            <w:pPr>
              <w:spacing w:after="0"/>
              <w:rPr>
                <w:sz w:val="18"/>
                <w:szCs w:val="18"/>
                <w:color w:val="auto"/>
              </w:rPr>
            </w:pPr>
          </w:p>
        </w:tc>
        <w:tc>
          <w:tcPr>
            <w:tcW w:w="37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4"/>
              </w:rPr>
              <w:t>0%</w:t>
            </w:r>
          </w:p>
        </w:tc>
      </w:tr>
      <w:tr>
        <w:trPr>
          <w:trHeight w:val="243"/>
        </w:trPr>
        <w:tc>
          <w:tcPr>
            <w:tcW w:w="3940" w:type="dxa"/>
            <w:vAlign w:val="bottom"/>
            <w:gridSpan w:val="2"/>
          </w:tcPr>
          <w:p>
            <w:pPr>
              <w:spacing w:after="0" w:line="243" w:lineRule="exact"/>
              <w:rPr>
                <w:sz w:val="20"/>
                <w:szCs w:val="20"/>
                <w:color w:val="auto"/>
              </w:rPr>
            </w:pPr>
            <w:r>
              <w:rPr>
                <w:rFonts w:ascii="Arial" w:cs="Arial" w:eastAsia="Arial" w:hAnsi="Arial"/>
                <w:sz w:val="22"/>
                <w:szCs w:val="22"/>
                <w:color w:val="auto"/>
              </w:rPr>
              <w:t>At the Threshold Level:</w:t>
            </w:r>
          </w:p>
        </w:tc>
        <w:tc>
          <w:tcPr>
            <w:tcW w:w="3780" w:type="dxa"/>
            <w:vAlign w:val="bottom"/>
          </w:tcPr>
          <w:p>
            <w:pPr>
              <w:jc w:val="center"/>
              <w:spacing w:after="0" w:line="243" w:lineRule="exact"/>
              <w:rPr>
                <w:sz w:val="20"/>
                <w:szCs w:val="20"/>
                <w:color w:val="auto"/>
              </w:rPr>
            </w:pPr>
            <w:r>
              <w:rPr>
                <w:rFonts w:ascii="Arial" w:cs="Arial" w:eastAsia="Arial" w:hAnsi="Arial"/>
                <w:sz w:val="22"/>
                <w:szCs w:val="22"/>
                <w:color w:val="auto"/>
                <w:w w:val="86"/>
              </w:rPr>
              <w:t>25%</w:t>
            </w:r>
          </w:p>
        </w:tc>
      </w:tr>
      <w:tr>
        <w:trPr>
          <w:trHeight w:val="243"/>
        </w:trPr>
        <w:tc>
          <w:tcPr>
            <w:tcW w:w="3940" w:type="dxa"/>
            <w:vAlign w:val="bottom"/>
            <w:gridSpan w:val="2"/>
          </w:tcPr>
          <w:p>
            <w:pPr>
              <w:spacing w:after="0" w:line="243" w:lineRule="exact"/>
              <w:rPr>
                <w:sz w:val="20"/>
                <w:szCs w:val="20"/>
                <w:color w:val="auto"/>
              </w:rPr>
            </w:pPr>
            <w:r>
              <w:rPr>
                <w:rFonts w:ascii="Arial" w:cs="Arial" w:eastAsia="Arial" w:hAnsi="Arial"/>
                <w:sz w:val="22"/>
                <w:szCs w:val="22"/>
                <w:color w:val="auto"/>
              </w:rPr>
              <w:t>At the Target Level:</w:t>
            </w:r>
          </w:p>
        </w:tc>
        <w:tc>
          <w:tcPr>
            <w:tcW w:w="3780" w:type="dxa"/>
            <w:vAlign w:val="bottom"/>
          </w:tcPr>
          <w:p>
            <w:pPr>
              <w:jc w:val="center"/>
              <w:spacing w:after="0" w:line="243" w:lineRule="exact"/>
              <w:rPr>
                <w:sz w:val="20"/>
                <w:szCs w:val="20"/>
                <w:color w:val="auto"/>
              </w:rPr>
            </w:pPr>
            <w:r>
              <w:rPr>
                <w:rFonts w:ascii="Arial" w:cs="Arial" w:eastAsia="Arial" w:hAnsi="Arial"/>
                <w:sz w:val="22"/>
                <w:szCs w:val="22"/>
                <w:color w:val="auto"/>
                <w:w w:val="88"/>
              </w:rPr>
              <w:t>100%</w:t>
            </w:r>
          </w:p>
        </w:tc>
      </w:tr>
      <w:tr>
        <w:trPr>
          <w:trHeight w:val="274"/>
        </w:trPr>
        <w:tc>
          <w:tcPr>
            <w:tcW w:w="3940" w:type="dxa"/>
            <w:vAlign w:val="bottom"/>
            <w:gridSpan w:val="2"/>
          </w:tcPr>
          <w:p>
            <w:pPr>
              <w:spacing w:after="0"/>
              <w:rPr>
                <w:sz w:val="20"/>
                <w:szCs w:val="20"/>
                <w:color w:val="auto"/>
              </w:rPr>
            </w:pPr>
            <w:r>
              <w:rPr>
                <w:rFonts w:ascii="Arial" w:cs="Arial" w:eastAsia="Arial" w:hAnsi="Arial"/>
                <w:sz w:val="22"/>
                <w:szCs w:val="22"/>
                <w:color w:val="auto"/>
              </w:rPr>
              <w:t>At the Extraordinary Level:</w:t>
            </w:r>
          </w:p>
        </w:tc>
        <w:tc>
          <w:tcPr>
            <w:tcW w:w="3780" w:type="dxa"/>
            <w:vAlign w:val="bottom"/>
          </w:tcPr>
          <w:p>
            <w:pPr>
              <w:jc w:val="center"/>
              <w:spacing w:after="0"/>
              <w:rPr>
                <w:sz w:val="20"/>
                <w:szCs w:val="20"/>
                <w:color w:val="auto"/>
              </w:rPr>
            </w:pPr>
            <w:r>
              <w:rPr>
                <w:rFonts w:ascii="Arial" w:cs="Arial" w:eastAsia="Arial" w:hAnsi="Arial"/>
                <w:sz w:val="22"/>
                <w:szCs w:val="22"/>
                <w:color w:val="auto"/>
                <w:w w:val="88"/>
              </w:rPr>
              <w:t>250%</w:t>
            </w:r>
          </w:p>
        </w:tc>
      </w:tr>
    </w:tbl>
    <w:p>
      <w:pPr>
        <w:spacing w:after="0" w:line="225" w:lineRule="exact"/>
        <w:rPr>
          <w:sz w:val="20"/>
          <w:szCs w:val="20"/>
          <w:color w:val="auto"/>
        </w:rPr>
      </w:pPr>
    </w:p>
    <w:p>
      <w:pPr>
        <w:jc w:val="both"/>
        <w:ind w:left="2100" w:right="100" w:hanging="15"/>
        <w:spacing w:after="0" w:line="238" w:lineRule="auto"/>
        <w:rPr>
          <w:sz w:val="20"/>
          <w:szCs w:val="20"/>
          <w:color w:val="auto"/>
        </w:rPr>
      </w:pPr>
      <w:r>
        <w:rPr>
          <w:rFonts w:ascii="Arial" w:cs="Arial" w:eastAsia="Arial" w:hAnsi="Arial"/>
          <w:sz w:val="22"/>
          <w:szCs w:val="22"/>
          <w:color w:val="auto"/>
        </w:rPr>
        <w:t>To the extent the actual level of attainment of the Performance Goal is at a point between the Threshold and Target Levels, the maximum number of shares of Common Stock in which Participant can vest shall be pro-rated between the two points on a straight line basis.</w:t>
      </w:r>
    </w:p>
    <w:p>
      <w:pPr>
        <w:spacing w:after="0" w:line="185" w:lineRule="exact"/>
        <w:rPr>
          <w:sz w:val="20"/>
          <w:szCs w:val="20"/>
          <w:color w:val="auto"/>
        </w:rPr>
      </w:pPr>
    </w:p>
    <w:p>
      <w:pPr>
        <w:jc w:val="both"/>
        <w:ind w:left="2100" w:right="100" w:hanging="15"/>
        <w:spacing w:after="0" w:line="238" w:lineRule="auto"/>
        <w:rPr>
          <w:sz w:val="20"/>
          <w:szCs w:val="20"/>
          <w:color w:val="auto"/>
        </w:rPr>
      </w:pPr>
      <w:r>
        <w:rPr>
          <w:rFonts w:ascii="Arial" w:cs="Arial" w:eastAsia="Arial" w:hAnsi="Arial"/>
          <w:sz w:val="22"/>
          <w:szCs w:val="22"/>
          <w:color w:val="auto"/>
        </w:rPr>
        <w:t>To the extent the actual level of attainment of a Performance Goal is at a point between the Target and Extraordinary Levels, the maximum number of shares of Common Stock in which Participant can vest shall be pro-rated between the two points on a straight line basis.</w:t>
      </w:r>
    </w:p>
    <w:p>
      <w:pPr>
        <w:spacing w:after="0" w:line="185" w:lineRule="exact"/>
        <w:rPr>
          <w:sz w:val="20"/>
          <w:szCs w:val="20"/>
          <w:color w:val="auto"/>
        </w:rPr>
      </w:pPr>
    </w:p>
    <w:p>
      <w:pPr>
        <w:jc w:val="both"/>
        <w:ind w:left="2080" w:right="100"/>
        <w:spacing w:after="0" w:line="249" w:lineRule="auto"/>
        <w:rPr>
          <w:sz w:val="20"/>
          <w:szCs w:val="20"/>
          <w:color w:val="auto"/>
        </w:rPr>
      </w:pPr>
      <w:r>
        <w:rPr>
          <w:rFonts w:ascii="Arial" w:cs="Arial" w:eastAsia="Arial" w:hAnsi="Arial"/>
          <w:sz w:val="21"/>
          <w:szCs w:val="21"/>
          <w:u w:val="single" w:color="auto"/>
          <w:color w:val="auto"/>
        </w:rPr>
        <w:t>Performance-Qualified Shares</w:t>
      </w:r>
      <w:r>
        <w:rPr>
          <w:rFonts w:ascii="Arial" w:cs="Arial" w:eastAsia="Arial" w:hAnsi="Arial"/>
          <w:sz w:val="21"/>
          <w:szCs w:val="21"/>
          <w:color w:val="auto"/>
        </w:rPr>
        <w:t xml:space="preserve"> : The maximum number of shares of Common Stock in which Participant can vest on the basis of the foregoing performance measures shall be hereinafter designated the “Performance-Qualified Shares” and shall in no event exceed in the aggregate 250% of the number of Designated Shares set forth in the Number of Shares Subject to Award section above.</w:t>
      </w:r>
    </w:p>
    <w:p>
      <w:pPr>
        <w:spacing w:after="0" w:line="178" w:lineRule="exact"/>
        <w:rPr>
          <w:sz w:val="20"/>
          <w:szCs w:val="20"/>
          <w:color w:val="auto"/>
        </w:rPr>
      </w:pPr>
    </w:p>
    <w:p>
      <w:pPr>
        <w:jc w:val="both"/>
        <w:ind w:left="2080" w:right="100"/>
        <w:spacing w:after="0" w:line="287" w:lineRule="auto"/>
        <w:rPr>
          <w:sz w:val="20"/>
          <w:szCs w:val="20"/>
          <w:color w:val="auto"/>
        </w:rPr>
      </w:pPr>
      <w:r>
        <w:rPr>
          <w:rFonts w:ascii="Arial" w:cs="Arial" w:eastAsia="Arial" w:hAnsi="Arial"/>
          <w:sz w:val="19"/>
          <w:szCs w:val="19"/>
          <w:b w:val="1"/>
          <w:bCs w:val="1"/>
          <w:i w:val="1"/>
          <w:iCs w:val="1"/>
          <w:color w:val="auto"/>
        </w:rPr>
        <w:t xml:space="preserve">Service Vesting. </w:t>
      </w:r>
      <w:r>
        <w:rPr>
          <w:rFonts w:ascii="Arial" w:cs="Arial" w:eastAsia="Arial" w:hAnsi="Arial"/>
          <w:sz w:val="19"/>
          <w:szCs w:val="19"/>
          <w:color w:val="auto"/>
        </w:rPr>
        <w:t>The number of Performance-Qualified Shares in which Participant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actually vests shall be determined on the basis of his or her satisfaction of the Service-vesting requirements set forth in Paragraph 3 of the form Performance Share Award Agreement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“Award Agreement”).</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Participant understands and agrees that the Award is granted subject to and in accordance with the terms of the Plan and hereby agrees to be bound by the terms of the Plan and the terms of the Award as set forth in the Award Agreement. Participant hereby acknowledges the receipt of a copy of the official prospectus for the Plan. A copy of the Plan is available upon request made to the Corporation’s Human Resources Department at the Corporation’s offices at 555 12</w:t>
      </w:r>
      <w:r>
        <w:rPr>
          <w:rFonts w:ascii="Arial" w:cs="Arial" w:eastAsia="Arial" w:hAnsi="Arial"/>
          <w:sz w:val="14"/>
          <w:szCs w:val="14"/>
          <w:color w:val="auto"/>
        </w:rPr>
        <w:t>th</w:t>
      </w:r>
      <w:r>
        <w:rPr>
          <w:rFonts w:ascii="Arial" w:cs="Arial" w:eastAsia="Arial" w:hAnsi="Arial"/>
          <w:sz w:val="19"/>
          <w:szCs w:val="19"/>
          <w:color w:val="auto"/>
        </w:rPr>
        <w:t xml:space="preserve"> Street, Oakland, California 94607. Participant agrees to electronic delivery of any and all communications relating to the Award, the Award Agreement or the Plan, including but not limited to documentation of the Award, the official prospectus for the Plan, and any and all other documents and materials relating to the Award, the Award Agreement or the Plan.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0" w:right="99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u w:val="single" w:color="auto"/>
          <w:color w:val="auto"/>
        </w:rPr>
        <w:t>Coverage under Recoupment Policy</w:t>
      </w:r>
      <w:r>
        <w:rPr>
          <w:rFonts w:ascii="Arial" w:cs="Arial" w:eastAsia="Arial" w:hAnsi="Arial"/>
          <w:sz w:val="22"/>
          <w:szCs w:val="22"/>
          <w:color w:val="auto"/>
        </w:rPr>
        <w:t>. Participant hereby agrees that:</w:t>
      </w:r>
    </w:p>
    <w:p>
      <w:pPr>
        <w:spacing w:after="0" w:line="206" w:lineRule="exact"/>
        <w:rPr>
          <w:sz w:val="20"/>
          <w:szCs w:val="20"/>
          <w:color w:val="auto"/>
        </w:rPr>
      </w:pPr>
    </w:p>
    <w:p>
      <w:pPr>
        <w:jc w:val="both"/>
        <w:ind w:firstLine="1304"/>
        <w:spacing w:after="0"/>
        <w:tabs>
          <w:tab w:leader="none" w:pos="194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Participant is subject to the Matson, Inc. Policy Regarding Recoupment of Certain Compensation, as it may be amended from time to time, the terms of which are hereby incorporated herein by reference and receipt of a copy of which Participant hereby acknowledges; and</w:t>
      </w:r>
    </w:p>
    <w:p>
      <w:pPr>
        <w:spacing w:after="0" w:line="186" w:lineRule="exact"/>
        <w:rPr>
          <w:rFonts w:ascii="Arial" w:cs="Arial" w:eastAsia="Arial" w:hAnsi="Arial"/>
          <w:sz w:val="22"/>
          <w:szCs w:val="22"/>
          <w:color w:val="auto"/>
        </w:rPr>
      </w:pPr>
    </w:p>
    <w:p>
      <w:pPr>
        <w:ind w:right="20" w:firstLine="1304"/>
        <w:spacing w:after="0" w:line="250" w:lineRule="auto"/>
        <w:tabs>
          <w:tab w:leader="none" w:pos="194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any incentive compensation that is paid or granted to, or received by, Participant under the Award shall be subject to recovery and recoupment pursuant to the terms of such policy.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 copy of the recoupment policy is available upon request made to the Corporate Secretary.</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u w:val="single" w:color="auto"/>
          <w:color w:val="auto"/>
        </w:rPr>
        <w:t>Continuing Consent</w:t>
      </w:r>
      <w:r>
        <w:rPr>
          <w:rFonts w:ascii="Arial" w:cs="Arial" w:eastAsia="Arial" w:hAnsi="Arial"/>
          <w:sz w:val="19"/>
          <w:szCs w:val="19"/>
          <w:color w:val="auto"/>
        </w:rPr>
        <w:t>. Participant further acknowledges and agrees that, except to the extent the Plan Administrator notifies Participant in writing to the contrary, each subsequent award of Performance Shares made to him or her under the Plan shall be subject to the same terms and conditions set forth in the Award Agreement, and Participant hereby understands and agrees to those terms and conditions for each such subsequent Performance Shares award that may be made to him or her under the Plan and hereby agrees to be bound by those terms and conditions for any such Performance Share awards, without any further consent or action required on his or her part at the time or times when those awards may be made. However, Participant may, at any time he or she holds an outstanding Performance Share award under the Plan, request a written copy of the Award Agreement from the Corporation by contacting the Corporation’s Human Resources Department at the Corporation’s offices at 555 12</w:t>
      </w:r>
      <w:r>
        <w:rPr>
          <w:rFonts w:ascii="Arial" w:cs="Arial" w:eastAsia="Arial" w:hAnsi="Arial"/>
          <w:sz w:val="14"/>
          <w:szCs w:val="14"/>
          <w:color w:val="auto"/>
        </w:rPr>
        <w:t>th</w:t>
      </w:r>
      <w:r>
        <w:rPr>
          <w:rFonts w:ascii="Arial" w:cs="Arial" w:eastAsia="Arial" w:hAnsi="Arial"/>
          <w:sz w:val="19"/>
          <w:szCs w:val="19"/>
          <w:color w:val="auto"/>
        </w:rPr>
        <w:t xml:space="preserve"> Street, Oakland, California 94607.</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u w:val="single" w:color="auto"/>
          <w:color w:val="auto"/>
        </w:rPr>
        <w:t>Employment at Will</w:t>
      </w:r>
      <w:r>
        <w:rPr>
          <w:rFonts w:ascii="Arial" w:cs="Arial" w:eastAsia="Arial" w:hAnsi="Arial"/>
          <w:sz w:val="19"/>
          <w:szCs w:val="19"/>
          <w:color w:val="auto"/>
        </w:rPr>
        <w:t>. Nothing in this Notice or in the Award Agreement or in the Plan shall confer upon Participant any right to continue in Service for any period of specific duration or interfere with or otherwise restrict in any way the rights of the Corporation (or any Parent or Subsidiary employing or retaining Participant) or of Participant, which rights are hereby expressly reserved by each, to terminate Participant’s Service at any time for any reason or no reason with or without advance notice and with or without cause.</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All capitalized terms in this Notice shall have the meaning assigned to them in this Notice or in the Award Agreement.</w:t>
      </w:r>
    </w:p>
    <w:p>
      <w:pPr>
        <w:spacing w:after="0" w:line="196"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MATSON, INC.</w:t>
      </w:r>
    </w:p>
    <w:p>
      <w:pPr>
        <w:spacing w:after="0" w:line="200" w:lineRule="exact"/>
        <w:rPr>
          <w:sz w:val="20"/>
          <w:szCs w:val="20"/>
          <w:color w:val="auto"/>
        </w:rPr>
      </w:pPr>
    </w:p>
    <w:p>
      <w:pPr>
        <w:spacing w:after="0" w:line="282"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6985</wp:posOffset>
            </wp:positionV>
            <wp:extent cx="28632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0">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27" w:lineRule="exact"/>
        <w:rPr>
          <w:sz w:val="20"/>
          <w:szCs w:val="20"/>
          <w:color w:val="auto"/>
        </w:rPr>
      </w:pPr>
    </w:p>
    <w:p>
      <w:pPr>
        <w:ind w:left="4840"/>
        <w:spacing w:after="0"/>
        <w:tabs>
          <w:tab w:leader="none" w:pos="54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6985</wp:posOffset>
            </wp:positionV>
            <wp:extent cx="28632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940"/>
        <w:spacing w:after="0"/>
        <w:rPr>
          <w:sz w:val="20"/>
          <w:szCs w:val="20"/>
          <w:color w:val="auto"/>
        </w:rPr>
      </w:pPr>
      <w:r>
        <w:rPr>
          <w:rFonts w:ascii="Arial" w:cs="Arial" w:eastAsia="Arial" w:hAnsi="Arial"/>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-151130</wp:posOffset>
            </wp:positionV>
            <wp:extent cx="28632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2">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22" w:name="page123"/>
    <w:bookmarkEnd w:id="122"/>
    <w:p>
      <w:pPr>
        <w:ind w:left="4300"/>
        <w:spacing w:after="0"/>
        <w:rPr>
          <w:sz w:val="20"/>
          <w:szCs w:val="20"/>
          <w:color w:val="auto"/>
        </w:rPr>
      </w:pPr>
      <w:r>
        <w:rPr>
          <w:rFonts w:ascii="Arial" w:cs="Arial" w:eastAsia="Arial" w:hAnsi="Arial"/>
          <w:sz w:val="22"/>
          <w:szCs w:val="22"/>
          <w:b w:val="1"/>
          <w:bCs w:val="1"/>
          <w:color w:val="auto"/>
        </w:rPr>
        <w:t>SCHEDULE I</w:t>
      </w:r>
    </w:p>
    <w:p>
      <w:pPr>
        <w:spacing w:after="0" w:line="206" w:lineRule="exact"/>
        <w:rPr>
          <w:sz w:val="20"/>
          <w:szCs w:val="20"/>
          <w:color w:val="auto"/>
        </w:rPr>
      </w:pPr>
    </w:p>
    <w:p>
      <w:pPr>
        <w:ind w:left="2420"/>
        <w:spacing w:after="0"/>
        <w:rPr>
          <w:sz w:val="20"/>
          <w:szCs w:val="20"/>
          <w:color w:val="auto"/>
        </w:rPr>
      </w:pPr>
      <w:r>
        <w:rPr>
          <w:rFonts w:ascii="Arial" w:cs="Arial" w:eastAsia="Arial" w:hAnsi="Arial"/>
          <w:sz w:val="22"/>
          <w:szCs w:val="22"/>
          <w:b w:val="1"/>
          <w:bCs w:val="1"/>
          <w:color w:val="auto"/>
        </w:rPr>
        <w:t>PERFORMANCE PERIOD, PERFORMANCE GOAL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LEVELS OF ATTAINMENT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PERFORMANCE PERIOD</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Performance Period shall be the three (3)-year period beginning January 1, 2021 and ending December 31, 2023.</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PERFORMANCE GOAL – TSR</w:t>
      </w:r>
    </w:p>
    <w:p>
      <w:pPr>
        <w:spacing w:after="0" w:line="20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The number of shares which are to vest shall be based on the level of attainment for the percentile level at which the total shareholder return (“TSR”) to the Corporation's shareholders over the Performance Period stands relative to the TSR realized for that period by the companies comprising the S&amp;P Transportation Select Industry Index and S&amp;P MidCap 400 Index as follows:</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980" w:type="dxa"/>
            <w:vAlign w:val="bottom"/>
            <w:tcBorders>
              <w:top w:val="single" w:sz="8" w:color="auto"/>
              <w:left w:val="single" w:sz="8" w:color="auto"/>
              <w:bottom w:val="single" w:sz="8" w:color="auto"/>
              <w:right w:val="single" w:sz="8" w:color="auto"/>
            </w:tcBorders>
            <w:gridSpan w:val="4"/>
          </w:tcPr>
          <w:p>
            <w:pPr>
              <w:jc w:val="center"/>
              <w:ind w:right="20"/>
              <w:spacing w:after="0"/>
              <w:rPr>
                <w:sz w:val="20"/>
                <w:szCs w:val="20"/>
                <w:color w:val="auto"/>
              </w:rPr>
            </w:pPr>
            <w:r>
              <w:rPr>
                <w:rFonts w:ascii="Arial" w:cs="Arial" w:eastAsia="Arial" w:hAnsi="Arial"/>
                <w:sz w:val="22"/>
                <w:szCs w:val="22"/>
                <w:b w:val="1"/>
                <w:bCs w:val="1"/>
                <w:color w:val="auto"/>
                <w:w w:val="90"/>
              </w:rPr>
              <w:t>Relative TSR Performance</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Level of Attainment</w:t>
            </w:r>
          </w:p>
        </w:tc>
        <w:tc>
          <w:tcPr>
            <w:tcW w:w="0" w:type="dxa"/>
            <w:vAlign w:val="bottom"/>
          </w:tcPr>
          <w:p>
            <w:pPr>
              <w:spacing w:after="0"/>
              <w:rPr>
                <w:sz w:val="1"/>
                <w:szCs w:val="1"/>
                <w:color w:val="auto"/>
              </w:rPr>
            </w:pPr>
          </w:p>
        </w:tc>
      </w:tr>
      <w:tr>
        <w:trPr>
          <w:trHeight w:val="196"/>
        </w:trPr>
        <w:tc>
          <w:tcPr>
            <w:tcW w:w="1780" w:type="dxa"/>
            <w:vAlign w:val="bottom"/>
            <w:tcBorders>
              <w:left w:val="single" w:sz="8" w:color="auto"/>
            </w:tcBorders>
          </w:tcPr>
          <w:p>
            <w:pPr>
              <w:spacing w:after="0"/>
              <w:rPr>
                <w:sz w:val="17"/>
                <w:szCs w:val="17"/>
                <w:color w:val="auto"/>
              </w:rPr>
            </w:pPr>
          </w:p>
        </w:tc>
        <w:tc>
          <w:tcPr>
            <w:tcW w:w="3200" w:type="dxa"/>
            <w:vAlign w:val="bottom"/>
            <w:tcBorders>
              <w:right w:val="single" w:sz="8" w:color="auto"/>
            </w:tcBorders>
            <w:gridSpan w:val="3"/>
          </w:tcPr>
          <w:p>
            <w:pPr>
              <w:jc w:val="center"/>
              <w:ind w:right="1780"/>
              <w:spacing w:after="0" w:line="195" w:lineRule="exact"/>
              <w:rPr>
                <w:sz w:val="20"/>
                <w:szCs w:val="20"/>
                <w:color w:val="auto"/>
              </w:rPr>
            </w:pPr>
            <w:r>
              <w:rPr>
                <w:rFonts w:ascii="Arial" w:cs="Arial" w:eastAsia="Arial" w:hAnsi="Arial"/>
                <w:sz w:val="22"/>
                <w:szCs w:val="22"/>
                <w:color w:val="auto"/>
                <w:w w:val="90"/>
              </w:rPr>
              <w:t>&gt;75th percentile</w:t>
            </w:r>
          </w:p>
        </w:tc>
        <w:tc>
          <w:tcPr>
            <w:tcW w:w="4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22"/>
                <w:szCs w:val="22"/>
                <w:color w:val="auto"/>
                <w:w w:val="91"/>
              </w:rPr>
              <w:t>Extraordinary Level</w:t>
            </w:r>
          </w:p>
        </w:tc>
        <w:tc>
          <w:tcPr>
            <w:tcW w:w="0" w:type="dxa"/>
            <w:vAlign w:val="bottom"/>
          </w:tcPr>
          <w:p>
            <w:pPr>
              <w:spacing w:after="0"/>
              <w:rPr>
                <w:sz w:val="1"/>
                <w:szCs w:val="1"/>
                <w:color w:val="auto"/>
              </w:rPr>
            </w:pPr>
          </w:p>
        </w:tc>
      </w:tr>
      <w:tr>
        <w:trPr>
          <w:trHeight w:val="20"/>
        </w:trPr>
        <w:tc>
          <w:tcPr>
            <w:tcW w:w="17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4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Target Level</w:t>
            </w:r>
          </w:p>
        </w:tc>
        <w:tc>
          <w:tcPr>
            <w:tcW w:w="0" w:type="dxa"/>
            <w:vAlign w:val="bottom"/>
          </w:tcPr>
          <w:p>
            <w:pPr>
              <w:spacing w:after="0" w:line="20" w:lineRule="exact"/>
              <w:rPr>
                <w:sz w:val="1"/>
                <w:szCs w:val="1"/>
                <w:color w:val="auto"/>
              </w:rPr>
            </w:pPr>
          </w:p>
        </w:tc>
      </w:tr>
      <w:tr>
        <w:trPr>
          <w:trHeight w:val="242"/>
        </w:trPr>
        <w:tc>
          <w:tcPr>
            <w:tcW w:w="1780" w:type="dxa"/>
            <w:vAlign w:val="bottom"/>
            <w:tcBorders>
              <w:left w:val="single" w:sz="8" w:color="auto"/>
            </w:tcBorders>
          </w:tcPr>
          <w:p>
            <w:pPr>
              <w:spacing w:after="0"/>
              <w:rPr>
                <w:sz w:val="21"/>
                <w:szCs w:val="21"/>
                <w:color w:val="auto"/>
              </w:rPr>
            </w:pPr>
          </w:p>
        </w:tc>
        <w:tc>
          <w:tcPr>
            <w:tcW w:w="3200" w:type="dxa"/>
            <w:vAlign w:val="bottom"/>
            <w:tcBorders>
              <w:right w:val="single" w:sz="8" w:color="auto"/>
            </w:tcBorders>
            <w:gridSpan w:val="3"/>
          </w:tcPr>
          <w:p>
            <w:pPr>
              <w:jc w:val="center"/>
              <w:ind w:right="1780"/>
              <w:spacing w:after="0" w:line="242" w:lineRule="exact"/>
              <w:rPr>
                <w:sz w:val="20"/>
                <w:szCs w:val="20"/>
                <w:color w:val="auto"/>
              </w:rPr>
            </w:pPr>
            <w:r>
              <w:rPr>
                <w:rFonts w:ascii="Arial" w:cs="Arial" w:eastAsia="Arial" w:hAnsi="Arial"/>
                <w:sz w:val="22"/>
                <w:szCs w:val="22"/>
                <w:color w:val="auto"/>
                <w:w w:val="90"/>
              </w:rPr>
              <w:t>50th percentile</w:t>
            </w:r>
          </w:p>
        </w:tc>
        <w:tc>
          <w:tcPr>
            <w:tcW w:w="49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80" w:type="dxa"/>
            <w:vAlign w:val="bottom"/>
            <w:tcBorders>
              <w:left w:val="single" w:sz="8" w:color="auto"/>
            </w:tcBorders>
          </w:tcPr>
          <w:p>
            <w:pPr>
              <w:spacing w:after="0"/>
              <w:rPr>
                <w:sz w:val="21"/>
                <w:szCs w:val="21"/>
                <w:color w:val="auto"/>
              </w:rPr>
            </w:pPr>
          </w:p>
        </w:tc>
        <w:tc>
          <w:tcPr>
            <w:tcW w:w="3200" w:type="dxa"/>
            <w:vAlign w:val="bottom"/>
            <w:tcBorders>
              <w:right w:val="single" w:sz="8" w:color="auto"/>
            </w:tcBorders>
            <w:gridSpan w:val="3"/>
          </w:tcPr>
          <w:p>
            <w:pPr>
              <w:jc w:val="center"/>
              <w:ind w:right="1780"/>
              <w:spacing w:after="0" w:line="243" w:lineRule="exact"/>
              <w:rPr>
                <w:sz w:val="20"/>
                <w:szCs w:val="20"/>
                <w:color w:val="auto"/>
              </w:rPr>
            </w:pPr>
            <w:r>
              <w:rPr>
                <w:rFonts w:ascii="Arial" w:cs="Arial" w:eastAsia="Arial" w:hAnsi="Arial"/>
                <w:sz w:val="22"/>
                <w:szCs w:val="22"/>
                <w:color w:val="auto"/>
                <w:w w:val="90"/>
              </w:rPr>
              <w:t>25th percentile</w:t>
            </w:r>
          </w:p>
        </w:tc>
        <w:tc>
          <w:tcPr>
            <w:tcW w:w="49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Threshold Level</w:t>
            </w:r>
          </w:p>
        </w:tc>
        <w:tc>
          <w:tcPr>
            <w:tcW w:w="0" w:type="dxa"/>
            <w:vAlign w:val="bottom"/>
          </w:tcPr>
          <w:p>
            <w:pPr>
              <w:spacing w:after="0"/>
              <w:rPr>
                <w:sz w:val="1"/>
                <w:szCs w:val="1"/>
                <w:color w:val="auto"/>
              </w:rPr>
            </w:pPr>
          </w:p>
        </w:tc>
      </w:tr>
      <w:tr>
        <w:trPr>
          <w:trHeight w:val="224"/>
        </w:trPr>
        <w:tc>
          <w:tcPr>
            <w:tcW w:w="4980" w:type="dxa"/>
            <w:vAlign w:val="bottom"/>
            <w:tcBorders>
              <w:left w:val="single" w:sz="8" w:color="auto"/>
              <w:right w:val="single" w:sz="8" w:color="auto"/>
            </w:tcBorders>
            <w:gridSpan w:val="4"/>
          </w:tcPr>
          <w:p>
            <w:pPr>
              <w:jc w:val="center"/>
              <w:spacing w:after="0" w:line="224" w:lineRule="exact"/>
              <w:rPr>
                <w:sz w:val="20"/>
                <w:szCs w:val="20"/>
                <w:color w:val="auto"/>
              </w:rPr>
            </w:pPr>
            <w:r>
              <w:rPr>
                <w:rFonts w:ascii="Arial" w:cs="Arial" w:eastAsia="Arial" w:hAnsi="Arial"/>
                <w:sz w:val="22"/>
                <w:szCs w:val="22"/>
                <w:color w:val="auto"/>
                <w:w w:val="90"/>
              </w:rPr>
              <w:t>&lt;25th percentile</w:t>
            </w:r>
          </w:p>
        </w:tc>
        <w:tc>
          <w:tcPr>
            <w:tcW w:w="4940" w:type="dxa"/>
            <w:vAlign w:val="bottom"/>
            <w:tcBorders>
              <w:right w:val="single" w:sz="8" w:color="auto"/>
            </w:tcBorders>
          </w:tcPr>
          <w:p>
            <w:pPr>
              <w:jc w:val="center"/>
              <w:spacing w:after="0" w:line="224" w:lineRule="exact"/>
              <w:rPr>
                <w:sz w:val="20"/>
                <w:szCs w:val="20"/>
                <w:color w:val="auto"/>
              </w:rPr>
            </w:pPr>
            <w:r>
              <w:rPr>
                <w:rFonts w:ascii="Arial" w:cs="Arial" w:eastAsia="Arial" w:hAnsi="Arial"/>
                <w:sz w:val="22"/>
                <w:szCs w:val="22"/>
                <w:color w:val="auto"/>
                <w:w w:val="91"/>
              </w:rPr>
              <w:t>Below the Threshold Level</w:t>
            </w:r>
          </w:p>
        </w:tc>
        <w:tc>
          <w:tcPr>
            <w:tcW w:w="0" w:type="dxa"/>
            <w:vAlign w:val="bottom"/>
          </w:tcPr>
          <w:p>
            <w:pPr>
              <w:spacing w:after="0"/>
              <w:rPr>
                <w:sz w:val="1"/>
                <w:szCs w:val="1"/>
                <w:color w:val="auto"/>
              </w:rPr>
            </w:pPr>
          </w:p>
        </w:tc>
      </w:tr>
      <w:tr>
        <w:trPr>
          <w:trHeight w:val="21"/>
        </w:trPr>
        <w:tc>
          <w:tcPr>
            <w:tcW w:w="178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level of attainment and resulting Percentage of Performance Shares, as set forth in the Notice of Awards, shall be determined separately for each index. The resulting Percentage of Performance Shares for each index shall be weighted 50%.</w:t>
      </w:r>
    </w:p>
    <w:p>
      <w:pPr>
        <w:spacing w:after="0" w:line="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For such purpose, the TSR for the Corporation’s stockholders shall be determined pursuant to the following formula:</w:t>
      </w:r>
    </w:p>
    <w:p>
      <w:pPr>
        <w:spacing w:after="0" w:line="202"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TSR = (</w:t>
      </w:r>
      <w:r>
        <w:rPr>
          <w:rFonts w:ascii="Arial" w:cs="Arial" w:eastAsia="Arial" w:hAnsi="Arial"/>
          <w:sz w:val="22"/>
          <w:szCs w:val="22"/>
          <w:u w:val="single" w:color="auto"/>
          <w:color w:val="auto"/>
        </w:rPr>
        <w:t>Ending Stock Price* - Beginning Stock Price**) + Reinvested Dividends***</w:t>
      </w:r>
    </w:p>
    <w:p>
      <w:pPr>
        <w:spacing w:after="0" w:line="8" w:lineRule="exact"/>
        <w:rPr>
          <w:sz w:val="20"/>
          <w:szCs w:val="20"/>
          <w:color w:val="auto"/>
        </w:rPr>
      </w:pPr>
    </w:p>
    <w:p>
      <w:pPr>
        <w:jc w:val="center"/>
        <w:ind w:right="1260"/>
        <w:spacing w:after="0"/>
        <w:rPr>
          <w:sz w:val="20"/>
          <w:szCs w:val="20"/>
          <w:color w:val="auto"/>
        </w:rPr>
      </w:pPr>
      <w:r>
        <w:rPr>
          <w:rFonts w:ascii="Arial" w:cs="Arial" w:eastAsia="Arial" w:hAnsi="Arial"/>
          <w:sz w:val="22"/>
          <w:szCs w:val="22"/>
          <w:color w:val="auto"/>
        </w:rPr>
        <w:t>Beginning Stock Price**</w:t>
      </w:r>
    </w:p>
    <w:p>
      <w:pPr>
        <w:spacing w:after="0" w:line="215" w:lineRule="exact"/>
        <w:rPr>
          <w:sz w:val="20"/>
          <w:szCs w:val="20"/>
          <w:color w:val="auto"/>
        </w:rPr>
      </w:pPr>
    </w:p>
    <w:p>
      <w:pPr>
        <w:ind w:firstLine="656"/>
        <w:spacing w:after="0" w:line="250" w:lineRule="auto"/>
        <w:tabs>
          <w:tab w:leader="none" w:pos="878" w:val="left"/>
        </w:tabs>
        <w:numPr>
          <w:ilvl w:val="0"/>
          <w:numId w:val="117"/>
        </w:numPr>
        <w:rPr>
          <w:rFonts w:ascii="Arial" w:cs="Arial" w:eastAsia="Arial" w:hAnsi="Arial"/>
          <w:sz w:val="22"/>
          <w:szCs w:val="22"/>
          <w:color w:val="auto"/>
        </w:rPr>
      </w:pPr>
      <w:r>
        <w:rPr>
          <w:rFonts w:ascii="Arial" w:cs="Arial" w:eastAsia="Arial" w:hAnsi="Arial"/>
          <w:sz w:val="22"/>
          <w:szCs w:val="22"/>
          <w:color w:val="auto"/>
        </w:rPr>
        <w:t>Ending Stock Price is the average daily closing price per share of the Common Stock calculated for the last thirty (30) days within the Performance Period.</w:t>
      </w:r>
    </w:p>
    <w:p>
      <w:pPr>
        <w:spacing w:after="0" w:line="202" w:lineRule="exact"/>
        <w:rPr>
          <w:sz w:val="20"/>
          <w:szCs w:val="20"/>
          <w:color w:val="auto"/>
        </w:rPr>
      </w:pPr>
    </w:p>
    <w:p>
      <w:pPr>
        <w:ind w:firstLine="656"/>
        <w:spacing w:after="0" w:line="328" w:lineRule="auto"/>
        <w:tabs>
          <w:tab w:leader="none" w:pos="98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Beginning Stock Price is the average daily closing price per share of the Common Stock calculated for the thirty (30)-day period immediately preceding the commencement date of the Performance Period.</w:t>
      </w:r>
    </w:p>
    <w:p>
      <w:pPr>
        <w:spacing w:after="0" w:line="131" w:lineRule="exact"/>
        <w:rPr>
          <w:rFonts w:ascii="Arial" w:cs="Arial" w:eastAsia="Arial" w:hAnsi="Arial"/>
          <w:sz w:val="19"/>
          <w:szCs w:val="19"/>
          <w:color w:val="auto"/>
        </w:rPr>
      </w:pPr>
    </w:p>
    <w:p>
      <w:pPr>
        <w:jc w:val="both"/>
        <w:ind w:firstLine="656"/>
        <w:spacing w:after="0" w:line="236" w:lineRule="auto"/>
        <w:tabs>
          <w:tab w:leader="none" w:pos="1029" w:val="left"/>
        </w:tabs>
        <w:numPr>
          <w:ilvl w:val="0"/>
          <w:numId w:val="119"/>
        </w:numPr>
        <w:rPr>
          <w:rFonts w:ascii="Arial" w:cs="Arial" w:eastAsia="Arial" w:hAnsi="Arial"/>
          <w:sz w:val="22"/>
          <w:szCs w:val="22"/>
          <w:color w:val="auto"/>
        </w:rPr>
      </w:pPr>
      <w:r>
        <w:rPr>
          <w:rFonts w:ascii="Arial" w:cs="Arial" w:eastAsia="Arial" w:hAnsi="Arial"/>
          <w:sz w:val="22"/>
          <w:szCs w:val="22"/>
          <w:color w:val="auto"/>
        </w:rPr>
        <w:t>Reinvested Dividends shall be calculated by multiplying (i) the aggregate number of shares (including fractional shares) of Common Stock that could have been purchased during the Performance Period had each cash dividend paid on a single share of Common Stock during that period been immediately reinvested in additional shares (or fractional shares) of Common Stock at the closing price per share of the Common Stock on the applicable dividend payment date by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23" w:name="page124"/>
    <w:bookmarkEnd w:id="123"/>
    <w:p>
      <w:pPr>
        <w:ind w:firstLine="8"/>
        <w:spacing w:after="0" w:line="250" w:lineRule="auto"/>
        <w:tabs>
          <w:tab w:leader="none" w:pos="331"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average daily closing price per share of Common Stock calculated for the last thirty (30) days within the Performance Period.</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Each of the foregoing amounts shall be equitably adjusted for stock splits, stock dividends, recapitalizations and other similar events affecting the shares in question without the issuer’s receipt of consideration.</w:t>
      </w:r>
    </w:p>
    <w:p>
      <w:pPr>
        <w:spacing w:after="0" w:line="21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For each company in the S&amp;P Transportation Select Industry Index and S&amp;P MidCap 400 Index, the TSR with respect to its common stock shall be calculated in the same manner as for the Common Stock.</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MATSON,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PERFORMANCE SHARE AWARD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RECITALS</w:t>
      </w:r>
    </w:p>
    <w:p>
      <w:pPr>
        <w:spacing w:after="0" w:line="239" w:lineRule="exact"/>
        <w:rPr>
          <w:sz w:val="20"/>
          <w:szCs w:val="20"/>
          <w:color w:val="auto"/>
        </w:rPr>
      </w:pPr>
    </w:p>
    <w:p>
      <w:pPr>
        <w:jc w:val="both"/>
        <w:ind w:firstLine="1304"/>
        <w:spacing w:after="0" w:line="282" w:lineRule="auto"/>
        <w:tabs>
          <w:tab w:leader="none" w:pos="1944" w:val="left"/>
        </w:tabs>
        <w:numPr>
          <w:ilvl w:val="0"/>
          <w:numId w:val="121"/>
        </w:numPr>
        <w:rPr>
          <w:rFonts w:ascii="Arial" w:cs="Arial" w:eastAsia="Arial" w:hAnsi="Arial"/>
          <w:sz w:val="19"/>
          <w:szCs w:val="19"/>
          <w:color w:val="auto"/>
        </w:rPr>
      </w:pPr>
      <w:r>
        <w:rPr>
          <w:rFonts w:ascii="Arial" w:cs="Arial" w:eastAsia="Arial" w:hAnsi="Arial"/>
          <w:sz w:val="19"/>
          <w:szCs w:val="19"/>
          <w:color w:val="auto"/>
        </w:rPr>
        <w:t>Matson, Inc., a Hawaii corporation (along with any subsequent corporate successor to all or substantially all of the assets or voting stock of Matson, Inc., which has by appropriate action assumed the Plan, the “Corporation”), has implemented the Plan for the purpose of providing eligible persons in the Corporation’s service with the opportunity to participate in one or more cash or equity incentive compensation programs designed to motivate, attract and retain the services of persons who contribute to the success of the Corporation.</w:t>
      </w:r>
    </w:p>
    <w:p>
      <w:pPr>
        <w:spacing w:after="0" w:line="147" w:lineRule="exact"/>
        <w:rPr>
          <w:rFonts w:ascii="Arial" w:cs="Arial" w:eastAsia="Arial" w:hAnsi="Arial"/>
          <w:sz w:val="19"/>
          <w:szCs w:val="19"/>
          <w:color w:val="auto"/>
        </w:rPr>
      </w:pPr>
    </w:p>
    <w:p>
      <w:pPr>
        <w:jc w:val="both"/>
        <w:ind w:firstLine="1304"/>
        <w:spacing w:after="0" w:line="297" w:lineRule="auto"/>
        <w:tabs>
          <w:tab w:leader="none" w:pos="1944" w:val="left"/>
        </w:tabs>
        <w:numPr>
          <w:ilvl w:val="0"/>
          <w:numId w:val="121"/>
        </w:numPr>
        <w:rPr>
          <w:rFonts w:ascii="Arial" w:cs="Arial" w:eastAsia="Arial" w:hAnsi="Arial"/>
          <w:sz w:val="19"/>
          <w:szCs w:val="19"/>
          <w:color w:val="auto"/>
        </w:rPr>
      </w:pPr>
      <w:r>
        <w:rPr>
          <w:rFonts w:ascii="Arial" w:cs="Arial" w:eastAsia="Arial" w:hAnsi="Arial"/>
          <w:sz w:val="19"/>
          <w:szCs w:val="19"/>
          <w:color w:val="auto"/>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spacing w:after="0" w:line="133" w:lineRule="exact"/>
        <w:rPr>
          <w:rFonts w:ascii="Arial" w:cs="Arial" w:eastAsia="Arial" w:hAnsi="Arial"/>
          <w:sz w:val="19"/>
          <w:szCs w:val="19"/>
          <w:color w:val="auto"/>
        </w:rPr>
      </w:pPr>
    </w:p>
    <w:p>
      <w:pPr>
        <w:ind w:firstLine="1304"/>
        <w:spacing w:after="0" w:line="250" w:lineRule="auto"/>
        <w:tabs>
          <w:tab w:leader="none" w:pos="194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 xml:space="preserve">All capitalized terms in this Agreement shall have the meaning assigned to them in the attached </w:t>
      </w:r>
      <w:r>
        <w:rPr>
          <w:rFonts w:ascii="Arial" w:cs="Arial" w:eastAsia="Arial" w:hAnsi="Arial"/>
          <w:sz w:val="22"/>
          <w:szCs w:val="22"/>
          <w:u w:val="single" w:color="auto"/>
          <w:color w:val="auto"/>
        </w:rPr>
        <w:t>Appendix A</w:t>
      </w:r>
      <w:r>
        <w:rPr>
          <w:rFonts w:ascii="Arial" w:cs="Arial" w:eastAsia="Arial" w:hAnsi="Arial"/>
          <w:sz w:val="22"/>
          <w:szCs w:val="22"/>
          <w:color w:val="auto"/>
        </w:rPr>
        <w:t>, or if not defined in that appendix, as defined in the Plan.</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it is hereby agreed as follows:</w:t>
      </w:r>
    </w:p>
    <w:p>
      <w:pPr>
        <w:spacing w:after="0" w:line="206" w:lineRule="exact"/>
        <w:rPr>
          <w:sz w:val="20"/>
          <w:szCs w:val="20"/>
          <w:color w:val="auto"/>
        </w:rPr>
      </w:pPr>
    </w:p>
    <w:p>
      <w:pPr>
        <w:jc w:val="both"/>
        <w:ind w:firstLine="1304"/>
        <w:spacing w:after="0" w:line="254" w:lineRule="auto"/>
        <w:tabs>
          <w:tab w:leader="none" w:pos="1944" w:val="left"/>
        </w:tabs>
        <w:numPr>
          <w:ilvl w:val="0"/>
          <w:numId w:val="122"/>
        </w:numPr>
        <w:rPr>
          <w:rFonts w:ascii="Arial" w:cs="Arial" w:eastAsia="Arial" w:hAnsi="Arial"/>
          <w:sz w:val="21"/>
          <w:szCs w:val="21"/>
          <w:color w:val="auto"/>
        </w:rPr>
      </w:pPr>
      <w:r>
        <w:rPr>
          <w:rFonts w:ascii="Arial" w:cs="Arial" w:eastAsia="Arial" w:hAnsi="Arial"/>
          <w:sz w:val="21"/>
          <w:szCs w:val="21"/>
          <w:b w:val="1"/>
          <w:bCs w:val="1"/>
          <w:u w:val="single" w:color="auto"/>
          <w:color w:val="auto"/>
        </w:rPr>
        <w:t>Grant of Performance Shares</w:t>
      </w:r>
      <w:r>
        <w:rPr>
          <w:rFonts w:ascii="Arial" w:cs="Arial" w:eastAsia="Arial" w:hAnsi="Arial"/>
          <w:sz w:val="21"/>
          <w:szCs w:val="21"/>
          <w:color w:val="auto"/>
        </w:rPr>
        <w:t>. The Corporation hereby awards to Participant, as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Award Date, Performance Shares under the Plan. The number of shares of Common Stock underlying the award and the applicable performance vesting requirements for those shares are set forth in the Award Notice. The remaining terms and conditions governing the Award shall be as set forth in this Agreement.</w:t>
      </w:r>
    </w:p>
    <w:p>
      <w:pPr>
        <w:spacing w:after="0" w:line="165" w:lineRule="exact"/>
        <w:rPr>
          <w:rFonts w:ascii="Arial" w:cs="Arial" w:eastAsia="Arial" w:hAnsi="Arial"/>
          <w:sz w:val="21"/>
          <w:szCs w:val="21"/>
          <w:color w:val="auto"/>
        </w:rPr>
      </w:pPr>
    </w:p>
    <w:p>
      <w:pPr>
        <w:jc w:val="both"/>
        <w:ind w:firstLine="1304"/>
        <w:spacing w:after="0" w:line="273" w:lineRule="auto"/>
        <w:tabs>
          <w:tab w:leader="none" w:pos="1944" w:val="left"/>
        </w:tabs>
        <w:numPr>
          <w:ilvl w:val="0"/>
          <w:numId w:val="122"/>
        </w:numPr>
        <w:rPr>
          <w:rFonts w:ascii="Arial" w:cs="Arial" w:eastAsia="Arial" w:hAnsi="Arial"/>
          <w:sz w:val="19"/>
          <w:szCs w:val="19"/>
          <w:color w:val="auto"/>
        </w:rPr>
      </w:pPr>
      <w:r>
        <w:rPr>
          <w:rFonts w:ascii="Arial" w:cs="Arial" w:eastAsia="Arial" w:hAnsi="Arial"/>
          <w:sz w:val="19"/>
          <w:szCs w:val="19"/>
          <w:b w:val="1"/>
          <w:bCs w:val="1"/>
          <w:u w:val="single" w:color="auto"/>
          <w:color w:val="auto"/>
        </w:rPr>
        <w:t>Limited Transferability</w:t>
      </w:r>
      <w:r>
        <w:rPr>
          <w:rFonts w:ascii="Arial" w:cs="Arial" w:eastAsia="Arial" w:hAnsi="Arial"/>
          <w:sz w:val="19"/>
          <w:szCs w:val="19"/>
          <w:color w:val="auto"/>
        </w:rPr>
        <w:t>. Prior to the actual issuance of the Shares which vest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may not transfer any interest in the Performance Shares subject to the Award or the underlying Shares or pledge or otherwise hedge the sale of those Performance Shares or underlying Shares, including (without limitation) any short sale or any acquisition or disposition of any put or call option or other instrument tied to the value of those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vest and become issuable hereunder in the name of a revocable living trust established for the exclusive benefit of either Participant or Participant and his or her spouse. Participant may make such a beneficiary designation or ownership directive at any time by filing the appropriate form with the Plan Administrator or its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25" w:name="page126"/>
    <w:bookmarkEnd w:id="125"/>
    <w:p>
      <w:pPr>
        <w:jc w:val="both"/>
        <w:ind w:firstLine="1304"/>
        <w:spacing w:after="0" w:line="278" w:lineRule="auto"/>
        <w:tabs>
          <w:tab w:leader="none" w:pos="1944" w:val="left"/>
        </w:tabs>
        <w:numPr>
          <w:ilvl w:val="0"/>
          <w:numId w:val="123"/>
        </w:numPr>
        <w:rPr>
          <w:rFonts w:ascii="Arial" w:cs="Arial" w:eastAsia="Arial" w:hAnsi="Arial"/>
          <w:sz w:val="19"/>
          <w:szCs w:val="19"/>
          <w:color w:val="auto"/>
        </w:rPr>
      </w:pPr>
      <w:r>
        <w:rPr>
          <w:rFonts w:ascii="Arial" w:cs="Arial" w:eastAsia="Arial" w:hAnsi="Arial"/>
          <w:sz w:val="19"/>
          <w:szCs w:val="19"/>
          <w:b w:val="1"/>
          <w:bCs w:val="1"/>
          <w:u w:val="single" w:color="auto"/>
          <w:color w:val="auto"/>
        </w:rPr>
        <w:t>Vesting Requirements</w:t>
      </w:r>
      <w:r>
        <w:rPr>
          <w:rFonts w:ascii="Arial" w:cs="Arial" w:eastAsia="Arial" w:hAnsi="Arial"/>
          <w:sz w:val="19"/>
          <w:szCs w:val="19"/>
          <w:color w:val="auto"/>
        </w:rPr>
        <w:t>. The actual number of Shares that may vest and become issuable</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the Performance Shares shall be determined pursuant to a two-step process: (i) first there shall be calculated the maximum number of Shares in which Participant can vest based upon the level at which the Performance Goal specified on Schedule I to the Award Notice is actually attained and (ii) then the number of the Performance-Qualified Shares resulting from the clause (i) calculation in which Participant shall actually vest shall be determined on the basis of his or her completion of the applicable Service vesting provisions set forth below. Accordingly, the vesting of the Shares shall be calculated as follows:</w:t>
      </w:r>
    </w:p>
    <w:p>
      <w:pPr>
        <w:spacing w:after="0" w:line="151" w:lineRule="exact"/>
        <w:rPr>
          <w:rFonts w:ascii="Arial" w:cs="Arial" w:eastAsia="Arial" w:hAnsi="Arial"/>
          <w:sz w:val="19"/>
          <w:szCs w:val="19"/>
          <w:color w:val="auto"/>
        </w:rPr>
      </w:pPr>
    </w:p>
    <w:p>
      <w:pPr>
        <w:jc w:val="both"/>
        <w:ind w:firstLine="1952"/>
        <w:spacing w:after="0" w:line="279" w:lineRule="auto"/>
        <w:tabs>
          <w:tab w:leader="none" w:pos="2592" w:val="left"/>
        </w:tabs>
        <w:numPr>
          <w:ilvl w:val="1"/>
          <w:numId w:val="123"/>
        </w:numPr>
        <w:rPr>
          <w:rFonts w:ascii="Arial" w:cs="Arial" w:eastAsia="Arial" w:hAnsi="Arial"/>
          <w:sz w:val="19"/>
          <w:szCs w:val="19"/>
          <w:color w:val="auto"/>
        </w:rPr>
      </w:pPr>
      <w:r>
        <w:rPr>
          <w:rFonts w:ascii="Arial" w:cs="Arial" w:eastAsia="Arial" w:hAnsi="Arial"/>
          <w:sz w:val="19"/>
          <w:szCs w:val="19"/>
          <w:b w:val="1"/>
          <w:bCs w:val="1"/>
          <w:i w:val="1"/>
          <w:iCs w:val="1"/>
          <w:color w:val="auto"/>
        </w:rPr>
        <w:t>Performance Vesting</w:t>
      </w:r>
      <w:r>
        <w:rPr>
          <w:rFonts w:ascii="Arial" w:cs="Arial" w:eastAsia="Arial" w:hAnsi="Arial"/>
          <w:sz w:val="19"/>
          <w:szCs w:val="19"/>
          <w:color w:val="auto"/>
        </w:rPr>
        <w:t>: Following the completion of the Performance Period,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Plan Administrator shall determine the applicable number of Performance-Qualified Shares in accordance with the provisions of the Award Notice and Schedule I attached thereto. The Plan Administrator generally expects to complete this determination within sixty (60) days after the end of the Performance Period. </w:t>
      </w:r>
      <w:r>
        <w:rPr>
          <w:rFonts w:ascii="Arial" w:cs="Arial" w:eastAsia="Arial" w:hAnsi="Arial"/>
          <w:sz w:val="19"/>
          <w:szCs w:val="19"/>
          <w:u w:val="single" w:color="auto"/>
          <w:color w:val="auto"/>
        </w:rPr>
        <w:t>Appendix B</w:t>
      </w:r>
      <w:r>
        <w:rPr>
          <w:rFonts w:ascii="Arial" w:cs="Arial" w:eastAsia="Arial" w:hAnsi="Arial"/>
          <w:sz w:val="19"/>
          <w:szCs w:val="19"/>
          <w:color w:val="auto"/>
        </w:rPr>
        <w:t xml:space="preserve"> attached to this Agreement sets forth examples illustrating the calculation of the number of Shares in which the Participant may vest based upon hypothetical levels of Performance Goal attainment and service vesting requirements.</w:t>
      </w:r>
    </w:p>
    <w:p>
      <w:pPr>
        <w:spacing w:after="0" w:line="150" w:lineRule="exact"/>
        <w:rPr>
          <w:rFonts w:ascii="Arial" w:cs="Arial" w:eastAsia="Arial" w:hAnsi="Arial"/>
          <w:sz w:val="19"/>
          <w:szCs w:val="19"/>
          <w:color w:val="auto"/>
        </w:rPr>
      </w:pPr>
    </w:p>
    <w:p>
      <w:pPr>
        <w:jc w:val="both"/>
        <w:ind w:firstLine="1952"/>
        <w:spacing w:after="0"/>
        <w:tabs>
          <w:tab w:leader="none" w:pos="2592" w:val="left"/>
        </w:tabs>
        <w:numPr>
          <w:ilvl w:val="1"/>
          <w:numId w:val="123"/>
        </w:numPr>
        <w:rPr>
          <w:rFonts w:ascii="Arial" w:cs="Arial" w:eastAsia="Arial" w:hAnsi="Arial"/>
          <w:sz w:val="22"/>
          <w:szCs w:val="22"/>
          <w:color w:val="auto"/>
        </w:rPr>
      </w:pPr>
      <w:r>
        <w:rPr>
          <w:rFonts w:ascii="Arial" w:cs="Arial" w:eastAsia="Arial" w:hAnsi="Arial"/>
          <w:sz w:val="22"/>
          <w:szCs w:val="22"/>
          <w:b w:val="1"/>
          <w:bCs w:val="1"/>
          <w:i w:val="1"/>
          <w:iCs w:val="1"/>
          <w:color w:val="auto"/>
        </w:rPr>
        <w:t>Service Vesting</w:t>
      </w:r>
      <w:r>
        <w:rPr>
          <w:rFonts w:ascii="Arial" w:cs="Arial" w:eastAsia="Arial" w:hAnsi="Arial"/>
          <w:sz w:val="22"/>
          <w:szCs w:val="22"/>
          <w:color w:val="auto"/>
        </w:rPr>
        <w:t>: The Performance-Qualified Shares so determined represent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maximum number of Shares in which Participant can vest hereunder. The actual number of Shares in which Participant shall vest shall be determined as follows:</w:t>
      </w:r>
    </w:p>
    <w:p>
      <w:pPr>
        <w:spacing w:after="0" w:line="186" w:lineRule="exact"/>
        <w:rPr>
          <w:rFonts w:ascii="Arial" w:cs="Arial" w:eastAsia="Arial" w:hAnsi="Arial"/>
          <w:sz w:val="22"/>
          <w:szCs w:val="22"/>
          <w:color w:val="auto"/>
        </w:rPr>
      </w:pPr>
    </w:p>
    <w:p>
      <w:pPr>
        <w:jc w:val="both"/>
        <w:ind w:left="660" w:firstLine="1940"/>
        <w:spacing w:after="0" w:line="234" w:lineRule="auto"/>
        <w:tabs>
          <w:tab w:leader="none" w:pos="3252" w:val="left"/>
        </w:tabs>
        <w:numPr>
          <w:ilvl w:val="2"/>
          <w:numId w:val="123"/>
        </w:numPr>
        <w:rPr>
          <w:rFonts w:ascii="Arial" w:cs="Arial" w:eastAsia="Arial" w:hAnsi="Arial"/>
          <w:sz w:val="22"/>
          <w:szCs w:val="22"/>
          <w:color w:val="auto"/>
        </w:rPr>
      </w:pPr>
      <w:r>
        <w:rPr>
          <w:rFonts w:ascii="Arial" w:cs="Arial" w:eastAsia="Arial" w:hAnsi="Arial"/>
          <w:sz w:val="22"/>
          <w:szCs w:val="22"/>
          <w:color w:val="auto"/>
        </w:rPr>
        <w:t xml:space="preserve">If Participant continues in Service through the Service Vesting Date, Participant shall vest in all of the Performance-Qualified Shares. The Shares underlying those particular Performance-Qualified Shares shall generally be issued to Participant during the period beginning with the Service Vesting Date and ending on March 15th of that year; </w:t>
      </w:r>
      <w:r>
        <w:rPr>
          <w:rFonts w:ascii="Arial" w:cs="Arial" w:eastAsia="Arial" w:hAnsi="Arial"/>
          <w:sz w:val="22"/>
          <w:szCs w:val="22"/>
          <w:u w:val="single" w:color="auto"/>
          <w:color w:val="auto"/>
        </w:rPr>
        <w:t>provide</w:t>
      </w:r>
      <w:r>
        <w:rPr>
          <w:rFonts w:ascii="Arial" w:cs="Arial" w:eastAsia="Arial" w:hAnsi="Arial"/>
          <w:sz w:val="22"/>
          <w:szCs w:val="22"/>
          <w:color w:val="auto"/>
        </w:rPr>
        <w:t>d that, if the Service Vesting Date is after the end of the Performance Period, then the Shares shall be issued as soon as administratively practicable after the Service Vesting Date, but in no event later than sixty (60) days after the Service Vesting Date.</w:t>
      </w:r>
    </w:p>
    <w:p>
      <w:pPr>
        <w:spacing w:after="0" w:line="190" w:lineRule="exact"/>
        <w:rPr>
          <w:rFonts w:ascii="Arial" w:cs="Arial" w:eastAsia="Arial" w:hAnsi="Arial"/>
          <w:sz w:val="22"/>
          <w:szCs w:val="22"/>
          <w:color w:val="auto"/>
        </w:rPr>
      </w:pPr>
    </w:p>
    <w:p>
      <w:pPr>
        <w:jc w:val="both"/>
        <w:ind w:left="660" w:firstLine="1940"/>
        <w:spacing w:after="0" w:line="272" w:lineRule="auto"/>
        <w:tabs>
          <w:tab w:leader="none" w:pos="3252" w:val="left"/>
        </w:tabs>
        <w:numPr>
          <w:ilvl w:val="2"/>
          <w:numId w:val="123"/>
        </w:numPr>
        <w:rPr>
          <w:rFonts w:ascii="Arial" w:cs="Arial" w:eastAsia="Arial" w:hAnsi="Arial"/>
          <w:sz w:val="19"/>
          <w:szCs w:val="19"/>
          <w:color w:val="auto"/>
        </w:rPr>
      </w:pPr>
      <w:r>
        <w:rPr>
          <w:rFonts w:ascii="Arial" w:cs="Arial" w:eastAsia="Arial" w:hAnsi="Arial"/>
          <w:sz w:val="19"/>
          <w:szCs w:val="19"/>
          <w:color w:val="auto"/>
        </w:rPr>
        <w:t xml:space="preserve">If Participant ceases Service </w:t>
      </w:r>
      <w:r>
        <w:rPr>
          <w:rFonts w:ascii="Arial" w:cs="Arial" w:eastAsia="Arial" w:hAnsi="Arial"/>
          <w:sz w:val="19"/>
          <w:szCs w:val="19"/>
          <w:b w:val="1"/>
          <w:bCs w:val="1"/>
          <w:i w:val="1"/>
          <w:iCs w:val="1"/>
          <w:color w:val="auto"/>
        </w:rPr>
        <w:t>prior to</w:t>
      </w:r>
      <w:r>
        <w:rPr>
          <w:rFonts w:ascii="Arial" w:cs="Arial" w:eastAsia="Arial" w:hAnsi="Arial"/>
          <w:sz w:val="19"/>
          <w:szCs w:val="19"/>
          <w:color w:val="auto"/>
        </w:rPr>
        <w:t xml:space="preserve"> the Service Vesting Date by reason of Early Retirement, Normal Retirement, death or Permanent Disability, then Participant shall, upon the determination by the Plan Administrator of the maximum number of Performance-Qualified Shares, vest in a portion of the Performance-Qualified Shares determined by a two-step process: (i) prior to the Service Vesting Date, the Designated Shares will be prorated by multiplying (x) the number of Designated Shares by (y) a fraction, the numerator of which is the number of whole months of actual Service completed by Participant in such Performance Period, and the denominator of which is thirty-six (36) months, the product to be rounded up to the next whole share and (ii) then the number of shares calculated under clause (i) in which Participant may actually vest shall be the maximum number of shares of Common Stock in which Participant can vest under the Performance Vesting section based upon the actual level at which the Performance Goal specified on attached Schedule I is attained. The Shares underlying the Performance-Qualified Shares in which Participant vests in accordance with this subparagraph (ii) shall generally be issued to Participant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26" w:name="page127"/>
    <w:bookmarkEnd w:id="126"/>
    <w:p>
      <w:pPr>
        <w:jc w:val="both"/>
        <w:ind w:left="660"/>
        <w:spacing w:after="0" w:line="236" w:lineRule="auto"/>
        <w:rPr>
          <w:sz w:val="20"/>
          <w:szCs w:val="20"/>
          <w:color w:val="auto"/>
        </w:rPr>
      </w:pPr>
      <w:r>
        <w:rPr>
          <w:rFonts w:ascii="Arial" w:cs="Arial" w:eastAsia="Arial" w:hAnsi="Arial"/>
          <w:sz w:val="22"/>
          <w:szCs w:val="22"/>
          <w:color w:val="auto"/>
        </w:rPr>
        <w:t xml:space="preserve">in the event of the death of Participant, then to Participant’s heirs or beneficiaries) during the period beginning with the Service Vesting Date and ending on March 15th of that year;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Service Vesting Date is after the end of the Performance Period, then the Shares shall be issued as soon as administratively practicable after the Service Vesting Date, but in no event later than sixty (60) days after the Service Vesting Date.</w:t>
      </w:r>
    </w:p>
    <w:p>
      <w:pPr>
        <w:spacing w:after="0" w:line="187" w:lineRule="exact"/>
        <w:rPr>
          <w:sz w:val="20"/>
          <w:szCs w:val="20"/>
          <w:color w:val="auto"/>
        </w:rPr>
      </w:pPr>
    </w:p>
    <w:p>
      <w:pPr>
        <w:jc w:val="both"/>
        <w:ind w:left="660" w:firstLine="1940"/>
        <w:spacing w:after="0" w:line="257" w:lineRule="auto"/>
        <w:tabs>
          <w:tab w:leader="none" w:pos="3252" w:val="left"/>
        </w:tabs>
        <w:numPr>
          <w:ilvl w:val="3"/>
          <w:numId w:val="124"/>
        </w:numPr>
        <w:rPr>
          <w:rFonts w:ascii="Arial" w:cs="Arial" w:eastAsia="Arial" w:hAnsi="Arial"/>
          <w:sz w:val="21"/>
          <w:szCs w:val="21"/>
          <w:color w:val="auto"/>
        </w:rPr>
      </w:pPr>
      <w:r>
        <w:rPr>
          <w:rFonts w:ascii="Arial" w:cs="Arial" w:eastAsia="Arial" w:hAnsi="Arial"/>
          <w:sz w:val="21"/>
          <w:szCs w:val="21"/>
          <w:color w:val="auto"/>
        </w:rPr>
        <w:t>If Participant’s Service ceases for any other reason prior to the Service Vesting Date, then Participant shall not vest in any of the Performance-Qualified Shares and all of Participant's right, title and interest to the Shares subject to this Award shall cease.</w:t>
      </w:r>
    </w:p>
    <w:p>
      <w:pPr>
        <w:spacing w:after="0" w:line="163" w:lineRule="exact"/>
        <w:rPr>
          <w:rFonts w:ascii="Arial" w:cs="Arial" w:eastAsia="Arial" w:hAnsi="Arial"/>
          <w:sz w:val="21"/>
          <w:szCs w:val="21"/>
          <w:color w:val="auto"/>
        </w:rPr>
      </w:pPr>
    </w:p>
    <w:p>
      <w:pPr>
        <w:jc w:val="both"/>
        <w:ind w:firstLine="1304"/>
        <w:spacing w:after="0" w:line="239" w:lineRule="auto"/>
        <w:tabs>
          <w:tab w:leader="none" w:pos="1944" w:val="left"/>
        </w:tabs>
        <w:numPr>
          <w:ilvl w:val="0"/>
          <w:numId w:val="125"/>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Stockholder Rights</w:t>
      </w:r>
      <w:r>
        <w:rPr>
          <w:rFonts w:ascii="Arial" w:cs="Arial" w:eastAsia="Arial" w:hAnsi="Arial"/>
          <w:sz w:val="22"/>
          <w:szCs w:val="22"/>
          <w:color w:val="auto"/>
        </w:rPr>
        <w:t>. The holder of this Award shall not have any stockholder rights,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voting, dividend or liquidation rights, with respect to the Shares subject to the Award until Participant becomes the record holder of those Shares upon their actual issuance following the Corporation’s collection of the applicable Withholding Taxes.</w:t>
      </w:r>
    </w:p>
    <w:p>
      <w:pPr>
        <w:spacing w:after="0" w:line="180" w:lineRule="exact"/>
        <w:rPr>
          <w:rFonts w:ascii="Arial" w:cs="Arial" w:eastAsia="Arial" w:hAnsi="Arial"/>
          <w:sz w:val="22"/>
          <w:szCs w:val="22"/>
          <w:color w:val="auto"/>
        </w:rPr>
      </w:pPr>
    </w:p>
    <w:p>
      <w:pPr>
        <w:jc w:val="both"/>
        <w:ind w:firstLine="1304"/>
        <w:spacing w:after="0" w:line="239" w:lineRule="auto"/>
        <w:tabs>
          <w:tab w:leader="none" w:pos="1944" w:val="left"/>
        </w:tabs>
        <w:numPr>
          <w:ilvl w:val="0"/>
          <w:numId w:val="125"/>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 Notwithstanding Paragraph 3 above, the following provisions shall</w:t>
      </w:r>
      <w:r>
        <w:rPr>
          <w:rFonts w:ascii="Arial" w:cs="Arial" w:eastAsia="Arial" w:hAnsi="Arial"/>
          <w:sz w:val="22"/>
          <w:szCs w:val="22"/>
          <w:b w:val="1"/>
          <w:bCs w:val="1"/>
          <w:color w:val="auto"/>
        </w:rPr>
        <w:t xml:space="preserve"> </w:t>
      </w:r>
      <w:r>
        <w:rPr>
          <w:rFonts w:ascii="Arial" w:cs="Arial" w:eastAsia="Arial" w:hAnsi="Arial"/>
          <w:sz w:val="22"/>
          <w:szCs w:val="22"/>
          <w:color w:val="auto"/>
        </w:rPr>
        <w:t>apply to the extent a Change in Control is consummated prior to the completion of the applicable Performance Period and shall have no force or effect in the event the closing of the Change in Control occurs on or after the completion of the Performance Period.</w:t>
      </w:r>
    </w:p>
    <w:p>
      <w:pPr>
        <w:spacing w:after="0" w:line="186" w:lineRule="exact"/>
        <w:rPr>
          <w:rFonts w:ascii="Arial" w:cs="Arial" w:eastAsia="Arial" w:hAnsi="Arial"/>
          <w:sz w:val="22"/>
          <w:szCs w:val="22"/>
          <w:color w:val="auto"/>
        </w:rPr>
      </w:pPr>
    </w:p>
    <w:p>
      <w:pPr>
        <w:jc w:val="both"/>
        <w:ind w:firstLine="1952"/>
        <w:spacing w:after="0" w:line="287" w:lineRule="auto"/>
        <w:tabs>
          <w:tab w:leader="none" w:pos="2592" w:val="left"/>
        </w:tabs>
        <w:numPr>
          <w:ilvl w:val="1"/>
          <w:numId w:val="125"/>
        </w:numPr>
        <w:rPr>
          <w:rFonts w:ascii="Arial" w:cs="Arial" w:eastAsia="Arial" w:hAnsi="Arial"/>
          <w:sz w:val="19"/>
          <w:szCs w:val="19"/>
          <w:color w:val="auto"/>
        </w:rPr>
      </w:pPr>
      <w:r>
        <w:rPr>
          <w:rFonts w:ascii="Arial" w:cs="Arial" w:eastAsia="Arial" w:hAnsi="Arial"/>
          <w:sz w:val="19"/>
          <w:szCs w:val="19"/>
          <w:color w:val="auto"/>
        </w:rPr>
        <w:t>This Award may be assumed by the successor entity or otherwise continued in full force and effect, provided, however, that the securities subject to such Award following such assumption or continuation are actively traded on an established securities exchange, or may be replaced with a substitute equivalent award established by the successor entity. In such event, the following provisions shall be in effect:</w:t>
      </w:r>
    </w:p>
    <w:p>
      <w:pPr>
        <w:spacing w:after="0" w:line="142" w:lineRule="exact"/>
        <w:rPr>
          <w:rFonts w:ascii="Arial" w:cs="Arial" w:eastAsia="Arial" w:hAnsi="Arial"/>
          <w:sz w:val="19"/>
          <w:szCs w:val="19"/>
          <w:color w:val="auto"/>
        </w:rPr>
      </w:pPr>
    </w:p>
    <w:p>
      <w:pPr>
        <w:jc w:val="both"/>
        <w:ind w:left="660" w:firstLine="1940"/>
        <w:spacing w:after="0" w:line="287" w:lineRule="auto"/>
        <w:tabs>
          <w:tab w:leader="none" w:pos="3252" w:val="left"/>
        </w:tabs>
        <w:numPr>
          <w:ilvl w:val="3"/>
          <w:numId w:val="125"/>
        </w:numPr>
        <w:rPr>
          <w:rFonts w:ascii="Arial" w:cs="Arial" w:eastAsia="Arial" w:hAnsi="Arial"/>
          <w:sz w:val="19"/>
          <w:szCs w:val="19"/>
          <w:color w:val="auto"/>
        </w:rPr>
      </w:pPr>
      <w:r>
        <w:rPr>
          <w:rFonts w:ascii="Arial" w:cs="Arial" w:eastAsia="Arial" w:hAnsi="Arial"/>
          <w:sz w:val="19"/>
          <w:szCs w:val="19"/>
          <w:color w:val="auto"/>
        </w:rPr>
        <w:t>The Performance-Vesting requirements of this Agreement shall terminate, and the assumption or continuation of this Award shall be effected in accordance with Paragraph 5(b) below on the basis of the number of Change in Control Shares. The Service-vesting and issuance provisions of Paragraph 3(b)(i) shall continue in effect with respect to the assumed or continued Award.</w:t>
      </w:r>
    </w:p>
    <w:p>
      <w:pPr>
        <w:spacing w:after="0" w:line="142" w:lineRule="exact"/>
        <w:rPr>
          <w:rFonts w:ascii="Arial" w:cs="Arial" w:eastAsia="Arial" w:hAnsi="Arial"/>
          <w:sz w:val="19"/>
          <w:szCs w:val="19"/>
          <w:color w:val="auto"/>
        </w:rPr>
      </w:pPr>
    </w:p>
    <w:p>
      <w:pPr>
        <w:jc w:val="both"/>
        <w:ind w:left="660" w:firstLine="1859"/>
        <w:spacing w:after="0" w:line="245" w:lineRule="auto"/>
        <w:tabs>
          <w:tab w:leader="none" w:pos="3252" w:val="left"/>
        </w:tabs>
        <w:numPr>
          <w:ilvl w:val="2"/>
          <w:numId w:val="125"/>
        </w:numPr>
        <w:rPr>
          <w:rFonts w:ascii="Arial" w:cs="Arial" w:eastAsia="Arial" w:hAnsi="Arial"/>
          <w:sz w:val="21"/>
          <w:szCs w:val="21"/>
          <w:color w:val="auto"/>
        </w:rPr>
      </w:pPr>
      <w:r>
        <w:rPr>
          <w:rFonts w:ascii="Arial" w:cs="Arial" w:eastAsia="Arial" w:hAnsi="Arial"/>
          <w:sz w:val="21"/>
          <w:szCs w:val="21"/>
          <w:color w:val="auto"/>
        </w:rPr>
        <w:t>If Participant ceases Service prior to the Service Vesting Date by reason of Early Retirement, Normal Retirement, death or Permanent Disability, then Participant shall, upon the closing of the Change in Control or (if later) such cessation of Service, vest in that number of Shares determined by multiplying (x) the number of Change in Control Shares by (y) a fraction, the numerator of which is the number of whole months of actual Service completed by Participant in such Performance Period, and the denominator of which is thirty-six (36) months. The Shares in which Participant so vests shall be issued to Participant on the earlier of (i) the date the Shares would have otherwise been issued pursuant to the provisions of Paragraph 3(b)(ii) in the absence of such Change in Control or, should such cessation of Service occur after such Change in Control but within twenty-four (24) months after the closing of a Qualifying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27" w:name="page128"/>
    <w:bookmarkEnd w:id="127"/>
    <w:p>
      <w:pPr>
        <w:ind w:left="660"/>
        <w:spacing w:after="0"/>
        <w:rPr>
          <w:sz w:val="20"/>
          <w:szCs w:val="20"/>
          <w:color w:val="auto"/>
        </w:rPr>
      </w:pPr>
      <w:r>
        <w:rPr>
          <w:rFonts w:ascii="Arial" w:cs="Arial" w:eastAsia="Arial" w:hAnsi="Arial"/>
          <w:sz w:val="19"/>
          <w:szCs w:val="19"/>
          <w:color w:val="auto"/>
        </w:rPr>
        <w:t>Change in Control, (ii) the date of Participant’s Separation from Service due to such cessation of Service.</w:t>
      </w:r>
    </w:p>
    <w:p>
      <w:pPr>
        <w:spacing w:after="0" w:line="241" w:lineRule="exact"/>
        <w:rPr>
          <w:sz w:val="20"/>
          <w:szCs w:val="20"/>
          <w:color w:val="auto"/>
        </w:rPr>
      </w:pPr>
    </w:p>
    <w:p>
      <w:pPr>
        <w:jc w:val="both"/>
        <w:ind w:left="660" w:firstLine="1940"/>
        <w:spacing w:after="0" w:line="244" w:lineRule="auto"/>
        <w:tabs>
          <w:tab w:leader="none" w:pos="3252" w:val="left"/>
        </w:tabs>
        <w:numPr>
          <w:ilvl w:val="1"/>
          <w:numId w:val="126"/>
        </w:numPr>
        <w:rPr>
          <w:rFonts w:ascii="Arial" w:cs="Arial" w:eastAsia="Arial" w:hAnsi="Arial"/>
          <w:sz w:val="21"/>
          <w:szCs w:val="21"/>
          <w:color w:val="auto"/>
        </w:rPr>
      </w:pPr>
      <w:r>
        <w:rPr>
          <w:rFonts w:ascii="Arial" w:cs="Arial" w:eastAsia="Arial" w:hAnsi="Arial"/>
          <w:sz w:val="21"/>
          <w:szCs w:val="21"/>
          <w:color w:val="auto"/>
        </w:rPr>
        <w:t xml:space="preserve">To the extent the substitute equivalent award is in the form of cash, a cash retention account shall be established and shall initially be credited with the Fair Market Value (at the effective time of the Change in Control) of the number of Change in Control Shares, and interest shall accrue on the outstanding balance of such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by </w:t>
      </w:r>
      <w:r>
        <w:rPr>
          <w:rFonts w:ascii="Arial" w:cs="Arial" w:eastAsia="Arial" w:hAnsi="Arial"/>
          <w:sz w:val="21"/>
          <w:szCs w:val="21"/>
          <w:b w:val="1"/>
          <w:bCs w:val="1"/>
          <w:i w:val="1"/>
          <w:iCs w:val="1"/>
          <w:color w:val="auto"/>
        </w:rPr>
        <w:t>The Wall Street Journal</w:t>
      </w:r>
      <w:r>
        <w:rPr>
          <w:rFonts w:ascii="Arial" w:cs="Arial" w:eastAsia="Arial" w:hAnsi="Arial"/>
          <w:sz w:val="21"/>
          <w:szCs w:val="21"/>
          <w:color w:val="auto"/>
        </w:rPr>
        <w:t>. The cash retention account shall vest and be paid out in accordance with the Service vesting and issuance provisions of Paragraph 3(b)(i) or (to the extent applicable) in accordance with the pro-rata Service vesting and issuance provisions of Paragraph 5(a)(ii) above. The Participant’s interest in the account shall at all times be that of a general, unsecured creditor.</w:t>
      </w:r>
    </w:p>
    <w:p>
      <w:pPr>
        <w:spacing w:after="0" w:line="185" w:lineRule="exact"/>
        <w:rPr>
          <w:rFonts w:ascii="Arial" w:cs="Arial" w:eastAsia="Arial" w:hAnsi="Arial"/>
          <w:sz w:val="21"/>
          <w:szCs w:val="21"/>
          <w:color w:val="auto"/>
        </w:rPr>
      </w:pPr>
    </w:p>
    <w:p>
      <w:pPr>
        <w:jc w:val="both"/>
        <w:ind w:left="660" w:firstLine="1940"/>
        <w:spacing w:after="0" w:line="287" w:lineRule="auto"/>
        <w:tabs>
          <w:tab w:leader="none" w:pos="3252" w:val="left"/>
        </w:tabs>
        <w:numPr>
          <w:ilvl w:val="1"/>
          <w:numId w:val="126"/>
        </w:numPr>
        <w:rPr>
          <w:rFonts w:ascii="Arial" w:cs="Arial" w:eastAsia="Arial" w:hAnsi="Arial"/>
          <w:sz w:val="19"/>
          <w:szCs w:val="19"/>
          <w:color w:val="auto"/>
        </w:rPr>
      </w:pPr>
      <w:r>
        <w:rPr>
          <w:rFonts w:ascii="Arial" w:cs="Arial" w:eastAsia="Arial" w:hAnsi="Arial"/>
          <w:sz w:val="19"/>
          <w:szCs w:val="19"/>
          <w:color w:val="auto"/>
        </w:rPr>
        <w:t>In the event of such assumption or continuation of this Award or such replacement of the Award with a substitute equivalent award, no accelerated vesting of the Performance Shares subject to this Award or the underlying Shares shall occur at the time of the Change in Control, and the Service-vesting provisions of Paragraph 3(b) shall continue in full force and effect.</w:t>
      </w:r>
    </w:p>
    <w:p>
      <w:pPr>
        <w:spacing w:after="0" w:line="142" w:lineRule="exact"/>
        <w:rPr>
          <w:rFonts w:ascii="Arial" w:cs="Arial" w:eastAsia="Arial" w:hAnsi="Arial"/>
          <w:sz w:val="19"/>
          <w:szCs w:val="19"/>
          <w:color w:val="auto"/>
        </w:rPr>
      </w:pPr>
    </w:p>
    <w:p>
      <w:pPr>
        <w:jc w:val="both"/>
        <w:ind w:firstLine="1952"/>
        <w:spacing w:after="0" w:line="273" w:lineRule="auto"/>
        <w:tabs>
          <w:tab w:leader="none" w:pos="2592" w:val="left"/>
        </w:tabs>
        <w:numPr>
          <w:ilvl w:val="0"/>
          <w:numId w:val="127"/>
        </w:numPr>
        <w:rPr>
          <w:rFonts w:ascii="Arial" w:cs="Arial" w:eastAsia="Arial" w:hAnsi="Arial"/>
          <w:sz w:val="19"/>
          <w:szCs w:val="19"/>
          <w:color w:val="auto"/>
        </w:rPr>
      </w:pPr>
      <w:r>
        <w:rPr>
          <w:rFonts w:ascii="Arial" w:cs="Arial" w:eastAsia="Arial" w:hAnsi="Arial"/>
          <w:sz w:val="19"/>
          <w:szCs w:val="19"/>
          <w:color w:val="auto"/>
        </w:rPr>
        <w:t>In the event this Award is assumed, otherwise continued in effect, or replaced in connection with such Change in Control, the securities subject to the Award shall be adjusted immediately after the consummation of that Change in Control so as to apply to the number and class of securities into which the number of Change in Control Shares would have been converted in consummation of that Change in Control had that number of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Performance Shares subject to the Award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spacing w:after="0" w:line="155" w:lineRule="exact"/>
        <w:rPr>
          <w:rFonts w:ascii="Arial" w:cs="Arial" w:eastAsia="Arial" w:hAnsi="Arial"/>
          <w:sz w:val="19"/>
          <w:szCs w:val="19"/>
          <w:color w:val="auto"/>
        </w:rPr>
      </w:pPr>
    </w:p>
    <w:p>
      <w:pPr>
        <w:jc w:val="both"/>
        <w:ind w:firstLine="1952"/>
        <w:spacing w:after="0" w:line="277" w:lineRule="auto"/>
        <w:tabs>
          <w:tab w:leader="none" w:pos="2592" w:val="left"/>
        </w:tabs>
        <w:numPr>
          <w:ilvl w:val="0"/>
          <w:numId w:val="127"/>
        </w:numPr>
        <w:rPr>
          <w:rFonts w:ascii="Arial" w:cs="Arial" w:eastAsia="Arial" w:hAnsi="Arial"/>
          <w:sz w:val="19"/>
          <w:szCs w:val="19"/>
          <w:color w:val="auto"/>
        </w:rPr>
      </w:pPr>
      <w:r>
        <w:rPr>
          <w:rFonts w:ascii="Arial" w:cs="Arial" w:eastAsia="Arial" w:hAnsi="Arial"/>
          <w:sz w:val="19"/>
          <w:szCs w:val="19"/>
          <w:color w:val="auto"/>
        </w:rPr>
        <w:t>Upon Participant’s Separation from Service due to an Involuntary Termination occurring within twenty-four (24) months after a Change in Control in which this Award is assumed or continued in effect, Participant shall immediately vest in that number of Shares equal to the Change in Control Shares that remain unvested, and that number of Shares shall be issued to Participant on the date of Participant’s Separation from Service due to such cessation of Service. Should this Award be replaced with a substitute equivalent award in accordance with Paragraph 5(a), then that award shall vest upon Participant’s Separation from Service due to the Involuntary Termination, provided and only if such Involuntary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28" w:name="page129"/>
    <w:bookmarkEnd w:id="128"/>
    <w:p>
      <w:pPr>
        <w:jc w:val="both"/>
        <w:spacing w:after="0" w:line="248" w:lineRule="auto"/>
        <w:rPr>
          <w:sz w:val="20"/>
          <w:szCs w:val="20"/>
          <w:color w:val="auto"/>
        </w:rPr>
      </w:pPr>
      <w:r>
        <w:rPr>
          <w:rFonts w:ascii="Arial" w:cs="Arial" w:eastAsia="Arial" w:hAnsi="Arial"/>
          <w:sz w:val="21"/>
          <w:szCs w:val="21"/>
          <w:color w:val="auto"/>
        </w:rPr>
        <w:t>occurs within twenty-four (24) months following the Change in Control. Such vested portion of the award shall be issued or distributed, as applicable, on the date of Participant’s Separation from Service, provided such Separation from Service occurs within twenty-four (24) months after a Qualifying Change in Control. Except for the number of Shares, or such equivalent award, distributed in accordance with the foregoing provisions of this Paragraph 5(c), Participant shall have no further right or entitlement to any additional Shares or other cash or property hereunder upon such Separation from Service.</w:t>
      </w:r>
    </w:p>
    <w:p>
      <w:pPr>
        <w:spacing w:after="0" w:line="177" w:lineRule="exact"/>
        <w:rPr>
          <w:sz w:val="20"/>
          <w:szCs w:val="20"/>
          <w:color w:val="auto"/>
        </w:rPr>
      </w:pPr>
    </w:p>
    <w:p>
      <w:pPr>
        <w:jc w:val="both"/>
        <w:ind w:firstLine="1952"/>
        <w:spacing w:after="0"/>
        <w:tabs>
          <w:tab w:leader="none" w:pos="2592" w:val="left"/>
        </w:tabs>
        <w:numPr>
          <w:ilvl w:val="1"/>
          <w:numId w:val="128"/>
        </w:numPr>
        <w:rPr>
          <w:rFonts w:ascii="Arial" w:cs="Arial" w:eastAsia="Arial" w:hAnsi="Arial"/>
          <w:sz w:val="22"/>
          <w:szCs w:val="22"/>
          <w:color w:val="auto"/>
        </w:rPr>
      </w:pPr>
      <w:r>
        <w:rPr>
          <w:rFonts w:ascii="Arial" w:cs="Arial" w:eastAsia="Arial" w:hAnsi="Arial"/>
          <w:sz w:val="22"/>
          <w:szCs w:val="22"/>
          <w:color w:val="auto"/>
        </w:rPr>
        <w:t>If the Award is not (1) assumed by the successor entity, (2) otherwise continued in effect or (3) replaced with a substitute equivalent award in accordance with Paragraph 5(a), then the following provisions shall apply:</w:t>
      </w:r>
    </w:p>
    <w:p>
      <w:pPr>
        <w:spacing w:after="0" w:line="186" w:lineRule="exact"/>
        <w:rPr>
          <w:rFonts w:ascii="Arial" w:cs="Arial" w:eastAsia="Arial" w:hAnsi="Arial"/>
          <w:sz w:val="22"/>
          <w:szCs w:val="22"/>
          <w:color w:val="auto"/>
        </w:rPr>
      </w:pPr>
    </w:p>
    <w:p>
      <w:pPr>
        <w:jc w:val="both"/>
        <w:ind w:left="660" w:firstLine="1859"/>
        <w:spacing w:after="0" w:line="269" w:lineRule="auto"/>
        <w:tabs>
          <w:tab w:leader="none" w:pos="3252" w:val="left"/>
        </w:tabs>
        <w:numPr>
          <w:ilvl w:val="2"/>
          <w:numId w:val="128"/>
        </w:numPr>
        <w:rPr>
          <w:rFonts w:ascii="Arial" w:cs="Arial" w:eastAsia="Arial" w:hAnsi="Arial"/>
          <w:sz w:val="19"/>
          <w:szCs w:val="19"/>
          <w:color w:val="auto"/>
        </w:rPr>
      </w:pPr>
      <w:r>
        <w:rPr>
          <w:rFonts w:ascii="Arial" w:cs="Arial" w:eastAsia="Arial" w:hAnsi="Arial"/>
          <w:sz w:val="19"/>
          <w:szCs w:val="19"/>
          <w:color w:val="auto"/>
        </w:rPr>
        <w:t xml:space="preserve">If Participant continues in Service through the effective date of the Change in Control, then Participant shall, upon the closing of such Change in Control, vest in that number of Shares equal to the Change in Control Shares. The Shares in which Participant so vests shall be converted into the right to receive the same consideration per share of Common Stock payable to the other stockholders of the Corporation in consummation of the Change in Control. Such consideration per Share shall be distributed to Participant on the </w:t>
      </w:r>
      <w:r>
        <w:rPr>
          <w:rFonts w:ascii="Arial" w:cs="Arial" w:eastAsia="Arial" w:hAnsi="Arial"/>
          <w:sz w:val="19"/>
          <w:szCs w:val="19"/>
          <w:b w:val="1"/>
          <w:bCs w:val="1"/>
          <w:i w:val="1"/>
          <w:iCs w:val="1"/>
          <w:color w:val="auto"/>
        </w:rPr>
        <w:t>earliest</w:t>
      </w:r>
      <w:r>
        <w:rPr>
          <w:rFonts w:ascii="Arial" w:cs="Arial" w:eastAsia="Arial" w:hAnsi="Arial"/>
          <w:sz w:val="19"/>
          <w:szCs w:val="19"/>
          <w:color w:val="auto"/>
        </w:rPr>
        <w:t xml:space="preserve"> to occur of (x) the date the Share would have otherwise been issued pursuant to the Service vesting and issuance provisions set forth in Paragraph 3(b)(i) in the absence of such Change in Control, (y) the date of Participant’s Separation from Service, provided such Separation from Service occurs within twenty-four (24) months after a Qualifying Change in Control, or</w:t>
      </w:r>
    </w:p>
    <w:p>
      <w:pPr>
        <w:spacing w:after="0" w:line="1" w:lineRule="exact"/>
        <w:rPr>
          <w:rFonts w:ascii="Arial" w:cs="Arial" w:eastAsia="Arial" w:hAnsi="Arial"/>
          <w:sz w:val="19"/>
          <w:szCs w:val="19"/>
          <w:color w:val="auto"/>
        </w:rPr>
      </w:pPr>
    </w:p>
    <w:p>
      <w:pPr>
        <w:jc w:val="both"/>
        <w:ind w:left="660" w:hanging="4"/>
        <w:spacing w:after="0" w:line="234" w:lineRule="auto"/>
        <w:tabs>
          <w:tab w:leader="none" w:pos="97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first date upon or following a Qualifying Change in Control transaction on which the distribution can be made without contravention of any applicable provisions of Section 409A of the Code (“Section 409A”).</w:t>
      </w:r>
    </w:p>
    <w:p>
      <w:pPr>
        <w:spacing w:after="0" w:line="187" w:lineRule="exact"/>
        <w:rPr>
          <w:rFonts w:ascii="Arial" w:cs="Arial" w:eastAsia="Arial" w:hAnsi="Arial"/>
          <w:sz w:val="22"/>
          <w:szCs w:val="22"/>
          <w:color w:val="auto"/>
        </w:rPr>
      </w:pPr>
    </w:p>
    <w:p>
      <w:pPr>
        <w:jc w:val="both"/>
        <w:ind w:left="660" w:firstLine="1859"/>
        <w:spacing w:after="0" w:line="272" w:lineRule="auto"/>
        <w:tabs>
          <w:tab w:leader="none" w:pos="3252" w:val="left"/>
        </w:tabs>
        <w:numPr>
          <w:ilvl w:val="2"/>
          <w:numId w:val="129"/>
        </w:numPr>
        <w:rPr>
          <w:rFonts w:ascii="Arial" w:cs="Arial" w:eastAsia="Arial" w:hAnsi="Arial"/>
          <w:sz w:val="19"/>
          <w:szCs w:val="19"/>
          <w:color w:val="auto"/>
        </w:rPr>
      </w:pPr>
      <w:r>
        <w:rPr>
          <w:rFonts w:ascii="Arial" w:cs="Arial" w:eastAsia="Arial" w:hAnsi="Arial"/>
          <w:sz w:val="19"/>
          <w:szCs w:val="19"/>
          <w:color w:val="auto"/>
        </w:rPr>
        <w:t xml:space="preserve">To the extent the consideration payable per share of Common Stock in the Change in Control is in the form of cash, a fully-vested cash retention account shall be established by the successor entity at the time of such Change in Control for each Share that vests on an accelerated basis in accordance with Paragraph 5(d)(i) above. Such account shall be credited with the amount of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by </w:t>
      </w:r>
      <w:r>
        <w:rPr>
          <w:rFonts w:ascii="Arial" w:cs="Arial" w:eastAsia="Arial" w:hAnsi="Arial"/>
          <w:sz w:val="19"/>
          <w:szCs w:val="19"/>
          <w:b w:val="1"/>
          <w:bCs w:val="1"/>
          <w:i w:val="1"/>
          <w:iCs w:val="1"/>
          <w:color w:val="auto"/>
        </w:rPr>
        <w:t>The Wall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Street Journal</w:t>
      </w:r>
      <w:r>
        <w:rPr>
          <w:rFonts w:ascii="Arial" w:cs="Arial" w:eastAsia="Arial" w:hAnsi="Arial"/>
          <w:sz w:val="19"/>
          <w:szCs w:val="19"/>
          <w:color w:val="auto"/>
        </w:rPr>
        <w:t>. The cash retention account, together with all accrued interest thereon through the actual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payment date, shall be distributed, as to each Share to which that cash retention accounts pertains, in accordance with the foregoing distribution provisions of Paragraph 5(d)(i) above. Participant’s interest in the account shall at all times be that of a general, unsecured creditor.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29" w:name="page130"/>
    <w:bookmarkEnd w:id="129"/>
    <w:p>
      <w:pPr>
        <w:jc w:val="both"/>
        <w:ind w:left="660" w:firstLine="1859"/>
        <w:spacing w:after="0" w:line="272" w:lineRule="auto"/>
        <w:tabs>
          <w:tab w:leader="none" w:pos="3252" w:val="left"/>
        </w:tabs>
        <w:numPr>
          <w:ilvl w:val="1"/>
          <w:numId w:val="130"/>
        </w:numPr>
        <w:rPr>
          <w:rFonts w:ascii="Arial" w:cs="Arial" w:eastAsia="Arial" w:hAnsi="Arial"/>
          <w:sz w:val="19"/>
          <w:szCs w:val="19"/>
          <w:color w:val="auto"/>
        </w:rPr>
      </w:pPr>
      <w:r>
        <w:rPr>
          <w:rFonts w:ascii="Arial" w:cs="Arial" w:eastAsia="Arial" w:hAnsi="Arial"/>
          <w:sz w:val="19"/>
          <w:szCs w:val="19"/>
          <w:color w:val="auto"/>
        </w:rPr>
        <w:t xml:space="preserve">If Participant ceases Service prior to the effective date of the Change in Control by reason of Early Retirement, Normal Retirement, death or Permanent Disability, then Participant shall, upon the closing of such Change in Control, vest in that number of Shares determined by multiplying (x) the number of Change in Control Shares by (y) a fraction, the numerator of which is the number of whole months of actual Service completed by Participant in such Performance Period, and the denominator of which is thirty-six (36) months. The Shares in which Participant so vests shall be converted into the right to receive the same consideration per share of Common Stock payable to the other stockholders of the Corporation in consummation of the Change in Control. Such consideration per Share shall be distributed to Participant on the </w:t>
      </w:r>
      <w:r>
        <w:rPr>
          <w:rFonts w:ascii="Arial" w:cs="Arial" w:eastAsia="Arial" w:hAnsi="Arial"/>
          <w:sz w:val="19"/>
          <w:szCs w:val="19"/>
          <w:b w:val="1"/>
          <w:bCs w:val="1"/>
          <w:i w:val="1"/>
          <w:iCs w:val="1"/>
          <w:color w:val="auto"/>
        </w:rPr>
        <w:t>earlier</w:t>
      </w:r>
      <w:r>
        <w:rPr>
          <w:rFonts w:ascii="Arial" w:cs="Arial" w:eastAsia="Arial" w:hAnsi="Arial"/>
          <w:sz w:val="19"/>
          <w:szCs w:val="19"/>
          <w:color w:val="auto"/>
        </w:rPr>
        <w:t xml:space="preserve"> of (A) the date the Share would have otherwise been issued pursuant to the provisions of Paragraph 3(b)(ii) in the absence of such Change in Control or (B) the first date upon or following a Qualifying Change in Control transaction on which the distribution can be made without contravention of any applicable provisions of Section 409A.</w:t>
      </w:r>
    </w:p>
    <w:p>
      <w:pPr>
        <w:spacing w:after="0" w:line="160" w:lineRule="exact"/>
        <w:rPr>
          <w:rFonts w:ascii="Arial" w:cs="Arial" w:eastAsia="Arial" w:hAnsi="Arial"/>
          <w:sz w:val="19"/>
          <w:szCs w:val="19"/>
          <w:color w:val="auto"/>
        </w:rPr>
      </w:pPr>
    </w:p>
    <w:p>
      <w:pPr>
        <w:ind w:left="660" w:firstLine="1859"/>
        <w:spacing w:after="0" w:line="274" w:lineRule="auto"/>
        <w:tabs>
          <w:tab w:leader="none" w:pos="3252" w:val="left"/>
        </w:tabs>
        <w:numPr>
          <w:ilvl w:val="1"/>
          <w:numId w:val="130"/>
        </w:numPr>
        <w:rPr>
          <w:rFonts w:ascii="Arial" w:cs="Arial" w:eastAsia="Arial" w:hAnsi="Arial"/>
          <w:sz w:val="21"/>
          <w:szCs w:val="21"/>
          <w:color w:val="auto"/>
        </w:rPr>
      </w:pPr>
      <w:r>
        <w:rPr>
          <w:rFonts w:ascii="Arial" w:cs="Arial" w:eastAsia="Arial" w:hAnsi="Arial"/>
          <w:sz w:val="21"/>
          <w:szCs w:val="21"/>
          <w:color w:val="auto"/>
        </w:rPr>
        <w:t>Except for the amount of consideration so calculated, Participant shall have no further right or entitlement to any additional Shares or consideration under this Award.</w:t>
      </w:r>
    </w:p>
    <w:p>
      <w:pPr>
        <w:spacing w:after="0" w:line="144" w:lineRule="exact"/>
        <w:rPr>
          <w:rFonts w:ascii="Arial" w:cs="Arial" w:eastAsia="Arial" w:hAnsi="Arial"/>
          <w:sz w:val="21"/>
          <w:szCs w:val="21"/>
          <w:color w:val="auto"/>
        </w:rPr>
      </w:pPr>
    </w:p>
    <w:p>
      <w:pPr>
        <w:jc w:val="both"/>
        <w:ind w:firstLine="1304"/>
        <w:spacing w:after="0" w:line="274" w:lineRule="auto"/>
        <w:tabs>
          <w:tab w:leader="none" w:pos="1944" w:val="left"/>
        </w:tabs>
        <w:numPr>
          <w:ilvl w:val="0"/>
          <w:numId w:val="131"/>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color w:val="auto"/>
        </w:rPr>
        <w:t>. Notwithstanding anything to the contrary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there is any conflict between the issuance or distribution provisions of this Agreement and the issuance or distribution provisions of the Change in Control Benefits Agreement, the issuance and distribution provisions of this Agreement shall be controlling.</w:t>
      </w:r>
    </w:p>
    <w:p>
      <w:pPr>
        <w:spacing w:after="0" w:line="151" w:lineRule="exact"/>
        <w:rPr>
          <w:rFonts w:ascii="Arial" w:cs="Arial" w:eastAsia="Arial" w:hAnsi="Arial"/>
          <w:sz w:val="19"/>
          <w:szCs w:val="19"/>
          <w:color w:val="auto"/>
        </w:rPr>
      </w:pPr>
    </w:p>
    <w:p>
      <w:pPr>
        <w:jc w:val="both"/>
        <w:ind w:firstLine="1304"/>
        <w:spacing w:after="0" w:line="273" w:lineRule="auto"/>
        <w:tabs>
          <w:tab w:leader="none" w:pos="1944" w:val="left"/>
        </w:tabs>
        <w:numPr>
          <w:ilvl w:val="0"/>
          <w:numId w:val="131"/>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in Shares</w:t>
      </w:r>
      <w:r>
        <w:rPr>
          <w:rFonts w:ascii="Arial" w:cs="Arial" w:eastAsia="Arial" w:hAnsi="Arial"/>
          <w:sz w:val="19"/>
          <w:szCs w:val="19"/>
          <w:color w:val="auto"/>
        </w:rPr>
        <w:t>. Should any change be made to the Common Stock by reason of</w:t>
      </w:r>
      <w:r>
        <w:rPr>
          <w:rFonts w:ascii="Arial" w:cs="Arial" w:eastAsia="Arial" w:hAnsi="Arial"/>
          <w:sz w:val="19"/>
          <w:szCs w:val="19"/>
          <w:b w:val="1"/>
          <w:bCs w:val="1"/>
          <w:color w:val="auto"/>
        </w:rPr>
        <w:t xml:space="preserve"> </w:t>
      </w:r>
      <w:r>
        <w:rPr>
          <w:rFonts w:ascii="Arial" w:cs="Arial" w:eastAsia="Arial" w:hAnsi="Arial"/>
          <w:sz w:val="19"/>
          <w:szCs w:val="19"/>
          <w:color w:val="auto"/>
        </w:rPr>
        <w:t>any 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5 in connection with the transaction, and the determination of the Plan Administrator shall be final, binding and conclusive as provided in Section III.C. of Article One of the Plan.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30" w:name="page131"/>
    <w:bookmarkEnd w:id="130"/>
    <w:p>
      <w:pPr>
        <w:spacing w:after="0"/>
        <w:rPr>
          <w:sz w:val="20"/>
          <w:szCs w:val="20"/>
          <w:color w:val="auto"/>
        </w:rPr>
      </w:pPr>
      <w:r>
        <w:rPr>
          <w:rFonts w:ascii="Arial" w:cs="Arial" w:eastAsia="Arial" w:hAnsi="Arial"/>
          <w:sz w:val="19"/>
          <w:szCs w:val="19"/>
          <w:color w:val="auto"/>
        </w:rPr>
        <w:t>the event of any Change in Control transaction, the adjustment provisions of Paragraph 5(b) shall be controlling.</w:t>
      </w:r>
    </w:p>
    <w:p>
      <w:pPr>
        <w:spacing w:after="0" w:line="235" w:lineRule="exact"/>
        <w:rPr>
          <w:sz w:val="20"/>
          <w:szCs w:val="20"/>
          <w:color w:val="auto"/>
        </w:rPr>
      </w:pPr>
    </w:p>
    <w:p>
      <w:pPr>
        <w:ind w:left="1960" w:hanging="656"/>
        <w:spacing w:after="0"/>
        <w:tabs>
          <w:tab w:leader="none" w:pos="1960" w:val="left"/>
        </w:tabs>
        <w:numPr>
          <w:ilvl w:val="0"/>
          <w:numId w:val="132"/>
        </w:numPr>
        <w:rPr>
          <w:rFonts w:ascii="Arial" w:cs="Arial" w:eastAsia="Arial" w:hAnsi="Arial"/>
          <w:sz w:val="22"/>
          <w:szCs w:val="22"/>
          <w:color w:val="auto"/>
        </w:rPr>
      </w:pPr>
      <w:r>
        <w:rPr>
          <w:rFonts w:ascii="Arial" w:cs="Arial" w:eastAsia="Arial" w:hAnsi="Arial"/>
          <w:sz w:val="22"/>
          <w:szCs w:val="22"/>
          <w:b w:val="1"/>
          <w:bCs w:val="1"/>
          <w:u w:val="single" w:color="auto"/>
          <w:color w:val="auto"/>
        </w:rPr>
        <w:t>Issuance of Vested Shares and Applicable Withholding Taxes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line="252" w:lineRule="auto"/>
        <w:tabs>
          <w:tab w:leader="none" w:pos="2592" w:val="left"/>
        </w:tabs>
        <w:numPr>
          <w:ilvl w:val="1"/>
          <w:numId w:val="132"/>
        </w:numPr>
        <w:rPr>
          <w:rFonts w:ascii="Arial" w:cs="Arial" w:eastAsia="Arial" w:hAnsi="Arial"/>
          <w:sz w:val="21"/>
          <w:szCs w:val="21"/>
          <w:color w:val="auto"/>
        </w:rPr>
      </w:pPr>
      <w:r>
        <w:rPr>
          <w:rFonts w:ascii="Arial" w:cs="Arial" w:eastAsia="Arial" w:hAnsi="Arial"/>
          <w:sz w:val="21"/>
          <w:szCs w:val="21"/>
          <w:color w:val="auto"/>
        </w:rPr>
        <w:t>Any Shares to be issued to Participant in accordance with the foregoing provisions of this Agreement shall be in the form of a book entry evidencing ownership of those Shares. Actual certificates for the vested Shares evidenced by book entry ownership shall be promptly delivered upon the request of Participant or any other person having an interest at the time in those Shares.</w:t>
      </w:r>
    </w:p>
    <w:p>
      <w:pPr>
        <w:spacing w:after="0" w:line="173" w:lineRule="exact"/>
        <w:rPr>
          <w:rFonts w:ascii="Arial" w:cs="Arial" w:eastAsia="Arial" w:hAnsi="Arial"/>
          <w:sz w:val="21"/>
          <w:szCs w:val="21"/>
          <w:color w:val="auto"/>
        </w:rPr>
      </w:pPr>
    </w:p>
    <w:p>
      <w:pPr>
        <w:jc w:val="both"/>
        <w:ind w:firstLine="1952"/>
        <w:spacing w:after="0" w:line="257" w:lineRule="auto"/>
        <w:tabs>
          <w:tab w:leader="none" w:pos="2592" w:val="left"/>
        </w:tabs>
        <w:numPr>
          <w:ilvl w:val="1"/>
          <w:numId w:val="132"/>
        </w:numPr>
        <w:rPr>
          <w:rFonts w:ascii="Arial" w:cs="Arial" w:eastAsia="Arial" w:hAnsi="Arial"/>
          <w:sz w:val="21"/>
          <w:szCs w:val="21"/>
          <w:color w:val="auto"/>
        </w:rPr>
      </w:pPr>
      <w:r>
        <w:rPr>
          <w:rFonts w:ascii="Arial" w:cs="Arial" w:eastAsia="Arial" w:hAnsi="Arial"/>
          <w:sz w:val="21"/>
          <w:szCs w:val="21"/>
          <w:color w:val="auto"/>
        </w:rPr>
        <w:t>The Corporation shall collect the Withholding Taxes with respect to each non-Share distribution by withholding a portion of that distribution equal to the amount of the applicable Withholding Taxes, with the cash portion of the distribution to be the first portion so withheld.</w:t>
      </w:r>
    </w:p>
    <w:p>
      <w:pPr>
        <w:spacing w:after="0" w:line="169" w:lineRule="exact"/>
        <w:rPr>
          <w:rFonts w:ascii="Arial" w:cs="Arial" w:eastAsia="Arial" w:hAnsi="Arial"/>
          <w:sz w:val="21"/>
          <w:szCs w:val="21"/>
          <w:color w:val="auto"/>
        </w:rPr>
      </w:pPr>
    </w:p>
    <w:p>
      <w:pPr>
        <w:jc w:val="both"/>
        <w:ind w:firstLine="1952"/>
        <w:spacing w:after="0"/>
        <w:tabs>
          <w:tab w:leader="none" w:pos="2592" w:val="left"/>
        </w:tabs>
        <w:numPr>
          <w:ilvl w:val="1"/>
          <w:numId w:val="132"/>
        </w:numPr>
        <w:rPr>
          <w:rFonts w:ascii="Arial" w:cs="Arial" w:eastAsia="Arial" w:hAnsi="Arial"/>
          <w:sz w:val="22"/>
          <w:szCs w:val="22"/>
          <w:color w:val="auto"/>
        </w:rPr>
      </w:pPr>
      <w:r>
        <w:rPr>
          <w:rFonts w:ascii="Arial" w:cs="Arial" w:eastAsia="Arial" w:hAnsi="Arial"/>
          <w:sz w:val="22"/>
          <w:szCs w:val="22"/>
          <w:color w:val="auto"/>
        </w:rPr>
        <w:t>The following provisions shall govern the US Withholding Taxes on the Shares (or any replacement or substitute securities, property or other amounts under Paragraphs 5 or 7 above) which vest in accordance with the provisions of this Agreement:</w:t>
      </w:r>
    </w:p>
    <w:p>
      <w:pPr>
        <w:spacing w:after="0" w:line="186" w:lineRule="exact"/>
        <w:rPr>
          <w:sz w:val="20"/>
          <w:szCs w:val="20"/>
          <w:color w:val="auto"/>
        </w:rPr>
      </w:pPr>
    </w:p>
    <w:p>
      <w:pPr>
        <w:jc w:val="both"/>
        <w:ind w:left="660" w:firstLine="1292"/>
        <w:spacing w:after="0" w:line="273" w:lineRule="auto"/>
        <w:tabs>
          <w:tab w:leader="none" w:pos="2604"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Corporation may, in its sole discretion and subject to the following sentence, establish a procedure to permit the satisfaction of the Withholding Taxes by the Participant in the form of cash and shall inform Participant of any such procedure (the “Alternate Arrangement”). In the event an Alternate Arrangement is approved, Participant shall (i) make satisfactory arrangements with the Corporation’s Human Resources Department, on or before the expiration of the notification period designated by the Corporation preceding the applicable issuance date of the Shares, to pay the applicable Withholding Taxes through the delivery of cash or a cash equivalent to the Corporation in the amount of such Withholding Taxes and (ii) deliver such payment to the Corporation not later than that issuance date. Otherwise the Corporation shall collect the Withholding Taxes applicable to the Share issuance through the automatic share withholding method set forth in Section 8(c)(ii).</w:t>
      </w:r>
    </w:p>
    <w:p>
      <w:pPr>
        <w:spacing w:after="0" w:line="154" w:lineRule="exact"/>
        <w:rPr>
          <w:rFonts w:ascii="Arial" w:cs="Arial" w:eastAsia="Arial" w:hAnsi="Arial"/>
          <w:sz w:val="19"/>
          <w:szCs w:val="19"/>
          <w:color w:val="auto"/>
        </w:rPr>
      </w:pPr>
    </w:p>
    <w:p>
      <w:pPr>
        <w:jc w:val="both"/>
        <w:ind w:left="660" w:firstLine="1292"/>
        <w:spacing w:after="0" w:line="278" w:lineRule="auto"/>
        <w:tabs>
          <w:tab w:leader="none" w:pos="2604" w:val="left"/>
        </w:tabs>
        <w:numPr>
          <w:ilvl w:val="0"/>
          <w:numId w:val="133"/>
        </w:numPr>
        <w:rPr>
          <w:rFonts w:ascii="Arial" w:cs="Arial" w:eastAsia="Arial" w:hAnsi="Arial"/>
          <w:sz w:val="19"/>
          <w:szCs w:val="19"/>
          <w:color w:val="auto"/>
        </w:rPr>
      </w:pPr>
      <w:r>
        <w:rPr>
          <w:rFonts w:ascii="Arial" w:cs="Arial" w:eastAsia="Arial" w:hAnsi="Arial"/>
          <w:sz w:val="19"/>
          <w:szCs w:val="19"/>
          <w:b w:val="1"/>
          <w:bCs w:val="1"/>
          <w:color w:val="auto"/>
        </w:rPr>
        <w:t>Automatic Share Withholding</w:t>
      </w:r>
      <w:r>
        <w:rPr>
          <w:rFonts w:ascii="Arial" w:cs="Arial" w:eastAsia="Arial" w:hAnsi="Arial"/>
          <w:sz w:val="19"/>
          <w:szCs w:val="19"/>
          <w:color w:val="auto"/>
        </w:rPr>
        <w:t>. On the applicable issuance date, the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withhold, from the vested Shares otherwise issuable to Participant at that time, a portion of those Shares with a Fair Market Value (measured as of the issuance date) equal to the applicable Withholding Taxes as determined by the Corporation;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number of Shares which the Corporation shall be required to so withhold shall not exceed in Fair Market Value the amount necessary to satisfy the Corporation’s required tax withholding obligations using the minimum statutory withholding rates, except as provided in Section 8(c)(iii) below (the “Applicable Withholding Rate”).</w:t>
      </w:r>
    </w:p>
    <w:p>
      <w:pPr>
        <w:spacing w:after="0" w:line="145" w:lineRule="exact"/>
        <w:rPr>
          <w:rFonts w:ascii="Arial" w:cs="Arial" w:eastAsia="Arial" w:hAnsi="Arial"/>
          <w:sz w:val="19"/>
          <w:szCs w:val="19"/>
          <w:color w:val="auto"/>
        </w:rPr>
      </w:pPr>
    </w:p>
    <w:p>
      <w:pPr>
        <w:jc w:val="both"/>
        <w:ind w:left="660" w:firstLine="1292"/>
        <w:spacing w:after="0" w:line="239" w:lineRule="auto"/>
        <w:tabs>
          <w:tab w:leader="none" w:pos="2604" w:val="left"/>
        </w:tabs>
        <w:numPr>
          <w:ilvl w:val="0"/>
          <w:numId w:val="133"/>
        </w:numPr>
        <w:rPr>
          <w:rFonts w:ascii="Arial" w:cs="Arial" w:eastAsia="Arial" w:hAnsi="Arial"/>
          <w:sz w:val="22"/>
          <w:szCs w:val="22"/>
          <w:color w:val="auto"/>
        </w:rPr>
      </w:pPr>
      <w:r>
        <w:rPr>
          <w:rFonts w:ascii="Arial" w:cs="Arial" w:eastAsia="Arial" w:hAnsi="Arial"/>
          <w:sz w:val="22"/>
          <w:szCs w:val="22"/>
          <w:b w:val="1"/>
          <w:bCs w:val="1"/>
          <w:color w:val="auto"/>
        </w:rPr>
        <w:t>Amount of Withholding</w:t>
      </w:r>
      <w:r>
        <w:rPr>
          <w:rFonts w:ascii="Arial" w:cs="Arial" w:eastAsia="Arial" w:hAnsi="Arial"/>
          <w:sz w:val="22"/>
          <w:szCs w:val="22"/>
          <w:color w:val="auto"/>
        </w:rPr>
        <w:t>. The amount which the Corporation shall be required to</w:t>
      </w:r>
      <w:r>
        <w:rPr>
          <w:rFonts w:ascii="Arial" w:cs="Arial" w:eastAsia="Arial" w:hAnsi="Arial"/>
          <w:sz w:val="22"/>
          <w:szCs w:val="22"/>
          <w:b w:val="1"/>
          <w:bCs w:val="1"/>
          <w:color w:val="auto"/>
        </w:rPr>
        <w:t xml:space="preserve"> </w:t>
      </w:r>
      <w:r>
        <w:rPr>
          <w:rFonts w:ascii="Arial" w:cs="Arial" w:eastAsia="Arial" w:hAnsi="Arial"/>
          <w:sz w:val="22"/>
          <w:szCs w:val="22"/>
          <w:color w:val="auto"/>
        </w:rPr>
        <w:t>so withhold shall not exceed in Fair Market Value the amount necessary to satisfy the Corporation’s required tax withholding obligations using the minimum statutory withholding rates for federal and state tax purposes, including payroll taxes,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31" w:name="page132"/>
    <w:bookmarkEnd w:id="131"/>
    <w:p>
      <w:pPr>
        <w:jc w:val="both"/>
        <w:ind w:left="660"/>
        <w:spacing w:after="0" w:line="271" w:lineRule="auto"/>
        <w:rPr>
          <w:sz w:val="20"/>
          <w:szCs w:val="20"/>
          <w:color w:val="auto"/>
        </w:rPr>
      </w:pPr>
      <w:r>
        <w:rPr>
          <w:rFonts w:ascii="Arial" w:cs="Arial" w:eastAsia="Arial" w:hAnsi="Arial"/>
          <w:sz w:val="19"/>
          <w:szCs w:val="19"/>
          <w:color w:val="auto"/>
        </w:rPr>
        <w:t>applicable to supplemental taxable income. However, Participant may elect an alternate Applicable Withholding Rate equal to the maximum statutory tax rate for the applicable withholding tax in Participant’s applicable jurisdictions (the “Alternate Withholding Rate”). To request an Alternate Withholding Rate, the Participant must complete and return to the Corporation the appropriate Corporation’s Form of Alternate Withholding Rate (the “Alternate Rate Form”) within the required timeframe provided for by the Corporation. The Alternate Rate Form can be obtained from the Corporation’s Human Resources Department. Any election of an Alternate Withholding Rate under an Alternate Rate Form will become the default Applicable Withholding Rate with respect to all of Participant’s outstanding equity awards (including options exercised during the applicable period) until a new Alternate Rate Form is filed with the Corporation in accordance with the administrative procedures provided for by the Corporation. An Alternate Withholding Rate is subject to the Corporation’s approval and can be approved or denied in its sole discretion. Notwithstanding Sections 8(c)(ii) and 8(c)(iii), in the event Participant is determined to be subject to Section 16 of the 1934 Act at the time of settlement, the Alternate Withholding Rate must be approved by the Corporation’s Compensation Committee.</w:t>
      </w:r>
    </w:p>
    <w:p>
      <w:pPr>
        <w:spacing w:after="0" w:line="200" w:lineRule="exact"/>
        <w:rPr>
          <w:sz w:val="20"/>
          <w:szCs w:val="20"/>
          <w:color w:val="auto"/>
        </w:rPr>
      </w:pPr>
    </w:p>
    <w:p>
      <w:pPr>
        <w:spacing w:after="0" w:line="211" w:lineRule="exact"/>
        <w:rPr>
          <w:sz w:val="20"/>
          <w:szCs w:val="20"/>
          <w:color w:val="auto"/>
        </w:rPr>
      </w:pPr>
    </w:p>
    <w:p>
      <w:pPr>
        <w:jc w:val="both"/>
        <w:ind w:firstLine="1952"/>
        <w:spacing w:after="0" w:line="273" w:lineRule="auto"/>
        <w:tabs>
          <w:tab w:leader="none" w:pos="2592" w:val="left"/>
        </w:tabs>
        <w:numPr>
          <w:ilvl w:val="1"/>
          <w:numId w:val="134"/>
        </w:numPr>
        <w:rPr>
          <w:rFonts w:ascii="Arial" w:cs="Arial" w:eastAsia="Arial" w:hAnsi="Arial"/>
          <w:sz w:val="19"/>
          <w:szCs w:val="19"/>
          <w:color w:val="auto"/>
        </w:rPr>
      </w:pPr>
      <w:r>
        <w:rPr>
          <w:rFonts w:ascii="Arial" w:cs="Arial" w:eastAsia="Arial" w:hAnsi="Arial"/>
          <w:sz w:val="19"/>
          <w:szCs w:val="19"/>
          <w:color w:val="auto"/>
        </w:rPr>
        <w:t>Notwithstanding the foregoing provisions of this Paragraph 8,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8(d) shall be applicable only to the extent necessary to comply with the applicable tax withholding requirements of Section 3121(v) of the Code.</w:t>
      </w:r>
    </w:p>
    <w:p>
      <w:pPr>
        <w:spacing w:after="0" w:line="155" w:lineRule="exact"/>
        <w:rPr>
          <w:rFonts w:ascii="Arial" w:cs="Arial" w:eastAsia="Arial" w:hAnsi="Arial"/>
          <w:sz w:val="19"/>
          <w:szCs w:val="19"/>
          <w:color w:val="auto"/>
        </w:rPr>
      </w:pPr>
    </w:p>
    <w:p>
      <w:pPr>
        <w:jc w:val="both"/>
        <w:ind w:firstLine="1952"/>
        <w:spacing w:after="0" w:line="236" w:lineRule="auto"/>
        <w:tabs>
          <w:tab w:leader="none" w:pos="2592" w:val="left"/>
        </w:tabs>
        <w:numPr>
          <w:ilvl w:val="1"/>
          <w:numId w:val="134"/>
        </w:numPr>
        <w:rPr>
          <w:rFonts w:ascii="Arial" w:cs="Arial" w:eastAsia="Arial" w:hAnsi="Arial"/>
          <w:sz w:val="22"/>
          <w:szCs w:val="22"/>
          <w:color w:val="auto"/>
        </w:rPr>
      </w:pPr>
      <w:r>
        <w:rPr>
          <w:rFonts w:ascii="Arial" w:cs="Arial" w:eastAsia="Arial" w:hAnsi="Arial"/>
          <w:sz w:val="22"/>
          <w:szCs w:val="22"/>
          <w:color w:val="auto"/>
        </w:rPr>
        <w:t>Except as otherwise provided in Paragraph 5 or this Paragraph 8, the settlement of all restricted stock units which vest under the Award shall be made solely in shares of Common Stock. In no event, however, shall any fractional shares be issued. Accordingly, the total number of shares of Common Stock to be issued at the time the Award vests shall, to the extent necessary, be rounded up to the next whole share in order to avoid the issuance of a fractional share.</w:t>
      </w:r>
    </w:p>
    <w:p>
      <w:pPr>
        <w:spacing w:after="0" w:line="181" w:lineRule="exact"/>
        <w:rPr>
          <w:rFonts w:ascii="Arial" w:cs="Arial" w:eastAsia="Arial" w:hAnsi="Arial"/>
          <w:sz w:val="22"/>
          <w:szCs w:val="22"/>
          <w:color w:val="auto"/>
        </w:rPr>
      </w:pPr>
    </w:p>
    <w:p>
      <w:pPr>
        <w:jc w:val="both"/>
        <w:ind w:firstLine="1304"/>
        <w:spacing w:after="0" w:line="243" w:lineRule="auto"/>
        <w:tabs>
          <w:tab w:leader="none" w:pos="1944" w:val="left"/>
        </w:tabs>
        <w:numPr>
          <w:ilvl w:val="0"/>
          <w:numId w:val="135"/>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 Notwithstanding any provision to the contrary in this Agreement,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extent this Award may be deemed to create a deferred compensation arrangement under Section 409A, then the following limitation and provisions shall apply:</w:t>
      </w:r>
    </w:p>
    <w:p>
      <w:pPr>
        <w:spacing w:after="0" w:line="182" w:lineRule="exact"/>
        <w:rPr>
          <w:rFonts w:ascii="Arial" w:cs="Arial" w:eastAsia="Arial" w:hAnsi="Arial"/>
          <w:sz w:val="22"/>
          <w:szCs w:val="22"/>
          <w:color w:val="auto"/>
        </w:rPr>
      </w:pPr>
    </w:p>
    <w:p>
      <w:pPr>
        <w:jc w:val="both"/>
        <w:ind w:firstLine="1952"/>
        <w:spacing w:after="0" w:line="238" w:lineRule="auto"/>
        <w:tabs>
          <w:tab w:leader="none" w:pos="2592" w:val="left"/>
        </w:tabs>
        <w:numPr>
          <w:ilvl w:val="1"/>
          <w:numId w:val="135"/>
        </w:numPr>
        <w:rPr>
          <w:rFonts w:ascii="Arial" w:cs="Arial" w:eastAsia="Arial" w:hAnsi="Arial"/>
          <w:sz w:val="22"/>
          <w:szCs w:val="22"/>
          <w:color w:val="auto"/>
        </w:rPr>
      </w:pPr>
      <w:r>
        <w:rPr>
          <w:rFonts w:ascii="Arial" w:cs="Arial" w:eastAsia="Arial" w:hAnsi="Arial"/>
          <w:sz w:val="22"/>
          <w:szCs w:val="22"/>
          <w:color w:val="auto"/>
        </w:rPr>
        <w:t xml:space="preserve">No Shares or other amounts which become issuable or distributable under this Agreement upon Participant’s Separation from Service shall actually be issued or distributed to Participant prior to the </w:t>
      </w:r>
      <w:r>
        <w:rPr>
          <w:rFonts w:ascii="Arial" w:cs="Arial" w:eastAsia="Arial" w:hAnsi="Arial"/>
          <w:sz w:val="22"/>
          <w:szCs w:val="22"/>
          <w:b w:val="1"/>
          <w:bCs w:val="1"/>
          <w:i w:val="1"/>
          <w:iCs w:val="1"/>
          <w:color w:val="auto"/>
        </w:rPr>
        <w:t>earlier</w:t>
      </w:r>
      <w:r>
        <w:rPr>
          <w:rFonts w:ascii="Arial" w:cs="Arial" w:eastAsia="Arial" w:hAnsi="Arial"/>
          <w:sz w:val="22"/>
          <w:szCs w:val="22"/>
          <w:color w:val="auto"/>
        </w:rPr>
        <w:t xml:space="preserve"> of (i) the first (1st) day of the seventh (7th) month following the date of such Separation from Service or (ii) the date of Participant’s death,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32" w:name="page133"/>
    <w:bookmarkEnd w:id="132"/>
    <w:p>
      <w:pPr>
        <w:jc w:val="both"/>
        <w:spacing w:after="0" w:line="234" w:lineRule="auto"/>
        <w:rPr>
          <w:sz w:val="20"/>
          <w:szCs w:val="20"/>
          <w:color w:val="auto"/>
        </w:rPr>
      </w:pPr>
      <w:r>
        <w:rPr>
          <w:rFonts w:ascii="Arial" w:cs="Arial" w:eastAsia="Arial" w:hAnsi="Arial"/>
          <w:sz w:val="22"/>
          <w:szCs w:val="22"/>
          <w:color w:val="auto"/>
        </w:rPr>
        <w:t>Participant is deemed at the time of such Separation from Service to be a specified employee under Section 1.409A-1(i) of the Treasury Regulations issued under Section 409A, as determined by the Plan Administrator in accordance with consistent and uniform standards applied to all other Section 409A arrangements of the Corporation, and such delayed commencement is otherwise required in order to avoid a prohibited distribution under Section 409A(a)(2) of the Code. The deferred Shares or other distributable amount shall be issued or distributed in a lump sum on the first (1st) day of the seventh (7th) month following the date of Participant’s Separation from Service or, if earlier, the first day of the month immediately following the date the Corporation receives proof of Participant’s death.</w:t>
      </w:r>
    </w:p>
    <w:p>
      <w:pPr>
        <w:spacing w:after="0" w:line="187" w:lineRule="exact"/>
        <w:rPr>
          <w:sz w:val="20"/>
          <w:szCs w:val="20"/>
          <w:color w:val="auto"/>
        </w:rPr>
      </w:pPr>
    </w:p>
    <w:p>
      <w:pPr>
        <w:jc w:val="both"/>
        <w:ind w:firstLine="1952"/>
        <w:spacing w:after="0"/>
        <w:tabs>
          <w:tab w:leader="none" w:pos="2592" w:val="left"/>
        </w:tabs>
        <w:numPr>
          <w:ilvl w:val="1"/>
          <w:numId w:val="136"/>
        </w:numPr>
        <w:rPr>
          <w:rFonts w:ascii="Arial" w:cs="Arial" w:eastAsia="Arial" w:hAnsi="Arial"/>
          <w:sz w:val="22"/>
          <w:szCs w:val="22"/>
          <w:color w:val="auto"/>
        </w:rPr>
      </w:pPr>
      <w:r>
        <w:rPr>
          <w:rFonts w:ascii="Arial" w:cs="Arial" w:eastAsia="Arial" w:hAnsi="Arial"/>
          <w:sz w:val="22"/>
          <w:szCs w:val="22"/>
          <w:color w:val="auto"/>
        </w:rPr>
        <w:t>Participant’s right to receive each installment of Shares or other installment distribution pursuant to the terms of this Agreement shall, for purposes of Section 409A, be treated as a right to receive a series of separate payments.</w:t>
      </w:r>
    </w:p>
    <w:p>
      <w:pPr>
        <w:spacing w:after="0" w:line="180" w:lineRule="exact"/>
        <w:rPr>
          <w:rFonts w:ascii="Arial" w:cs="Arial" w:eastAsia="Arial" w:hAnsi="Arial"/>
          <w:sz w:val="22"/>
          <w:szCs w:val="22"/>
          <w:color w:val="auto"/>
        </w:rPr>
      </w:pPr>
    </w:p>
    <w:p>
      <w:pPr>
        <w:jc w:val="both"/>
        <w:ind w:firstLine="1304"/>
        <w:spacing w:after="0" w:line="239" w:lineRule="auto"/>
        <w:tabs>
          <w:tab w:leader="none" w:pos="1944" w:val="left"/>
        </w:tabs>
        <w:numPr>
          <w:ilvl w:val="0"/>
          <w:numId w:val="137"/>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Laws and Regulations</w:t>
      </w:r>
      <w:r>
        <w:rPr>
          <w:rFonts w:ascii="Arial" w:cs="Arial" w:eastAsia="Arial" w:hAnsi="Arial"/>
          <w:sz w:val="22"/>
          <w:szCs w:val="22"/>
          <w:color w:val="auto"/>
        </w:rPr>
        <w:t>. The issuance of shares of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80" w:lineRule="exact"/>
        <w:rPr>
          <w:rFonts w:ascii="Arial" w:cs="Arial" w:eastAsia="Arial" w:hAnsi="Arial"/>
          <w:sz w:val="22"/>
          <w:szCs w:val="22"/>
          <w:color w:val="auto"/>
        </w:rPr>
      </w:pPr>
    </w:p>
    <w:p>
      <w:pPr>
        <w:jc w:val="both"/>
        <w:ind w:firstLine="1304"/>
        <w:spacing w:after="0" w:line="283" w:lineRule="auto"/>
        <w:tabs>
          <w:tab w:leader="none" w:pos="1944" w:val="left"/>
        </w:tabs>
        <w:numPr>
          <w:ilvl w:val="0"/>
          <w:numId w:val="137"/>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required to be given or delivered to the Corporation under the terms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in writing and addressed to the Corporation at its principal corporate offices. Any notice required to be given or delivered to Participant shall be in writing and addressed to Participant at the address on file with the Corporation’s Human Resources Department. All notices shall be deemed effective upon personal delivery or upon deposit in the U.S. mail, postage prepaid and properly addressed to the party to be notified.</w:t>
      </w:r>
    </w:p>
    <w:p>
      <w:pPr>
        <w:spacing w:after="0" w:line="142" w:lineRule="exact"/>
        <w:rPr>
          <w:rFonts w:ascii="Arial" w:cs="Arial" w:eastAsia="Arial" w:hAnsi="Arial"/>
          <w:sz w:val="19"/>
          <w:szCs w:val="19"/>
          <w:color w:val="auto"/>
        </w:rPr>
      </w:pPr>
    </w:p>
    <w:p>
      <w:pPr>
        <w:jc w:val="both"/>
        <w:ind w:firstLine="1304"/>
        <w:spacing w:after="0" w:line="289" w:lineRule="auto"/>
        <w:tabs>
          <w:tab w:leader="none" w:pos="1944" w:val="left"/>
        </w:tabs>
        <w:numPr>
          <w:ilvl w:val="0"/>
          <w:numId w:val="137"/>
        </w:numPr>
        <w:rPr>
          <w:rFonts w:ascii="Arial" w:cs="Arial" w:eastAsia="Arial" w:hAnsi="Arial"/>
          <w:sz w:val="19"/>
          <w:szCs w:val="19"/>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color w:val="auto"/>
        </w:rPr>
        <w:t>. Except to the extent otherwise provided in this Agreement,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35" w:lineRule="exact"/>
        <w:rPr>
          <w:rFonts w:ascii="Arial" w:cs="Arial" w:eastAsia="Arial" w:hAnsi="Arial"/>
          <w:sz w:val="19"/>
          <w:szCs w:val="19"/>
          <w:color w:val="auto"/>
        </w:rPr>
      </w:pPr>
    </w:p>
    <w:p>
      <w:pPr>
        <w:ind w:left="1960" w:hanging="656"/>
        <w:spacing w:after="0"/>
        <w:tabs>
          <w:tab w:leader="none" w:pos="1960" w:val="left"/>
        </w:tabs>
        <w:numPr>
          <w:ilvl w:val="0"/>
          <w:numId w:val="137"/>
        </w:numPr>
        <w:rPr>
          <w:rFonts w:ascii="Arial" w:cs="Arial" w:eastAsia="Arial" w:hAnsi="Arial"/>
          <w:sz w:val="22"/>
          <w:szCs w:val="22"/>
          <w:color w:val="auto"/>
        </w:rPr>
      </w:pPr>
      <w:r>
        <w:rPr>
          <w:rFonts w:ascii="Arial" w:cs="Arial" w:eastAsia="Arial" w:hAnsi="Arial"/>
          <w:sz w:val="22"/>
          <w:szCs w:val="22"/>
          <w:b w:val="1"/>
          <w:bCs w:val="1"/>
          <w:u w:val="single" w:color="auto"/>
          <w:color w:val="auto"/>
        </w:rPr>
        <w:t>Construction</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line="287" w:lineRule="auto"/>
        <w:tabs>
          <w:tab w:leader="none" w:pos="2592" w:val="left"/>
        </w:tabs>
        <w:numPr>
          <w:ilvl w:val="1"/>
          <w:numId w:val="137"/>
        </w:numPr>
        <w:rPr>
          <w:rFonts w:ascii="Arial" w:cs="Arial" w:eastAsia="Arial" w:hAnsi="Arial"/>
          <w:sz w:val="19"/>
          <w:szCs w:val="19"/>
          <w:color w:val="auto"/>
        </w:rPr>
      </w:pPr>
      <w:r>
        <w:rPr>
          <w:rFonts w:ascii="Arial" w:cs="Arial" w:eastAsia="Arial" w:hAnsi="Arial"/>
          <w:sz w:val="19"/>
          <w:szCs w:val="19"/>
          <w:color w:val="auto"/>
        </w:rPr>
        <w:t>This Agreement and the Award evidenced hereby are made and granted pursuant to the Plan and are in all respects limited by and subject to the terms of the Plan and any applicable Change in Control Benefits Agreement. All decisions of the Plan Administrator with respect to any question or issue arising under the Plan or this Agreement shall be conclusive and binding on all persons having an interest in the Award.</w:t>
      </w:r>
    </w:p>
    <w:p>
      <w:pPr>
        <w:spacing w:after="0" w:line="142" w:lineRule="exact"/>
        <w:rPr>
          <w:rFonts w:ascii="Arial" w:cs="Arial" w:eastAsia="Arial" w:hAnsi="Arial"/>
          <w:sz w:val="19"/>
          <w:szCs w:val="19"/>
          <w:color w:val="auto"/>
        </w:rPr>
      </w:pPr>
    </w:p>
    <w:p>
      <w:pPr>
        <w:jc w:val="both"/>
        <w:ind w:firstLine="1952"/>
        <w:spacing w:after="0" w:line="287" w:lineRule="auto"/>
        <w:tabs>
          <w:tab w:leader="none" w:pos="2652" w:val="left"/>
        </w:tabs>
        <w:numPr>
          <w:ilvl w:val="1"/>
          <w:numId w:val="137"/>
        </w:numPr>
        <w:rPr>
          <w:rFonts w:ascii="Arial" w:cs="Arial" w:eastAsia="Arial" w:hAnsi="Arial"/>
          <w:sz w:val="19"/>
          <w:szCs w:val="19"/>
          <w:color w:val="auto"/>
        </w:rPr>
      </w:pPr>
      <w:r>
        <w:rPr>
          <w:rFonts w:ascii="Arial" w:cs="Arial" w:eastAsia="Arial" w:hAnsi="Arial"/>
          <w:sz w:val="19"/>
          <w:szCs w:val="19"/>
          <w:color w:val="auto"/>
        </w:rPr>
        <w:t>To the extent there is any ambiguity as to whether any provision of this Agreement would otherwise contravene one or more applicable requirements or limitations of Section 409A and the Treasury Regulations thereunder, such provision shall be interpreted and applied in a manner that complies with the applicable requirements of Section 409A and the Treasury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33" w:name="page134"/>
    <w:bookmarkEnd w:id="133"/>
    <w:p>
      <w:pPr>
        <w:jc w:val="both"/>
        <w:ind w:firstLine="1952"/>
        <w:spacing w:after="0"/>
        <w:tabs>
          <w:tab w:leader="none" w:pos="2592" w:val="left"/>
        </w:tabs>
        <w:numPr>
          <w:ilvl w:val="1"/>
          <w:numId w:val="138"/>
        </w:numPr>
        <w:rPr>
          <w:rFonts w:ascii="Arial" w:cs="Arial" w:eastAsia="Arial" w:hAnsi="Arial"/>
          <w:sz w:val="22"/>
          <w:szCs w:val="22"/>
          <w:color w:val="auto"/>
        </w:rPr>
      </w:pPr>
      <w:r>
        <w:rPr>
          <w:rFonts w:ascii="Arial" w:cs="Arial" w:eastAsia="Arial" w:hAnsi="Arial"/>
          <w:sz w:val="22"/>
          <w:szCs w:val="22"/>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80" w:lineRule="exact"/>
        <w:rPr>
          <w:rFonts w:ascii="Arial" w:cs="Arial" w:eastAsia="Arial" w:hAnsi="Arial"/>
          <w:sz w:val="22"/>
          <w:szCs w:val="22"/>
          <w:color w:val="auto"/>
        </w:rPr>
      </w:pPr>
    </w:p>
    <w:p>
      <w:pPr>
        <w:ind w:firstLine="1304"/>
        <w:spacing w:after="0" w:line="280" w:lineRule="auto"/>
        <w:tabs>
          <w:tab w:leader="none" w:pos="1944" w:val="left"/>
        </w:tabs>
        <w:numPr>
          <w:ilvl w:val="0"/>
          <w:numId w:val="139"/>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The interpretation, performance and enforcement of this Agreement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 governed by the laws of the State of Hawaii without regard to that State’s conflict-of-laws rules.</w:t>
      </w:r>
    </w:p>
    <w:p>
      <w:pPr>
        <w:spacing w:after="0" w:line="138" w:lineRule="exact"/>
        <w:rPr>
          <w:rFonts w:ascii="Arial" w:cs="Arial" w:eastAsia="Arial" w:hAnsi="Arial"/>
          <w:sz w:val="21"/>
          <w:szCs w:val="21"/>
          <w:color w:val="auto"/>
        </w:rPr>
      </w:pPr>
    </w:p>
    <w:p>
      <w:pPr>
        <w:ind w:left="1960" w:hanging="656"/>
        <w:spacing w:after="0"/>
        <w:tabs>
          <w:tab w:leader="none" w:pos="1960" w:val="left"/>
        </w:tabs>
        <w:numPr>
          <w:ilvl w:val="0"/>
          <w:numId w:val="139"/>
        </w:numPr>
        <w:rPr>
          <w:rFonts w:ascii="Arial" w:cs="Arial" w:eastAsia="Arial" w:hAnsi="Arial"/>
          <w:sz w:val="22"/>
          <w:szCs w:val="22"/>
          <w:color w:val="auto"/>
        </w:rPr>
      </w:pPr>
      <w:r>
        <w:rPr>
          <w:rFonts w:ascii="Arial" w:cs="Arial" w:eastAsia="Arial" w:hAnsi="Arial"/>
          <w:sz w:val="22"/>
          <w:szCs w:val="22"/>
          <w:b w:val="1"/>
          <w:bCs w:val="1"/>
          <w:u w:val="single" w:color="auto"/>
          <w:color w:val="auto"/>
        </w:rPr>
        <w:t>Arbitration.</w:t>
      </w:r>
    </w:p>
    <w:p>
      <w:pPr>
        <w:spacing w:after="0" w:line="212" w:lineRule="exact"/>
        <w:rPr>
          <w:rFonts w:ascii="Arial" w:cs="Arial" w:eastAsia="Arial" w:hAnsi="Arial"/>
          <w:sz w:val="22"/>
          <w:szCs w:val="22"/>
          <w:color w:val="auto"/>
        </w:rPr>
      </w:pPr>
    </w:p>
    <w:p>
      <w:pPr>
        <w:jc w:val="both"/>
        <w:ind w:firstLine="1952"/>
        <w:spacing w:after="0" w:line="269" w:lineRule="auto"/>
        <w:tabs>
          <w:tab w:leader="none" w:pos="2592" w:val="left"/>
        </w:tabs>
        <w:numPr>
          <w:ilvl w:val="1"/>
          <w:numId w:val="139"/>
        </w:numPr>
        <w:rPr>
          <w:rFonts w:ascii="Arial" w:cs="Arial" w:eastAsia="Arial" w:hAnsi="Arial"/>
          <w:sz w:val="19"/>
          <w:szCs w:val="19"/>
          <w:color w:val="auto"/>
        </w:rPr>
      </w:pPr>
      <w:r>
        <w:rPr>
          <w:rFonts w:ascii="Arial" w:cs="Arial" w:eastAsia="Arial" w:hAnsi="Arial"/>
          <w:sz w:val="19"/>
          <w:szCs w:val="19"/>
          <w:color w:val="auto"/>
        </w:rPr>
        <w:t>Any dispute or controversy arising under or in connection with this Agreement shall be settled exclusively by arbitration, conducted before a single arbitrator who is an attorney or retired judge with expertise and experience in the field of employment law. The arbitration shall be held under the auspices of JAMS in accordance with JAMS then-current Employment Arbitration Rules and Procedures (available at http://www.jamsadr.com/rules-employment-arbitration/) and subject to JAMS Policy on Employment Arbitration Minimum Standards of Procedural Fairness. The arbitration shall take place in or near the city in which Participant is employed by the Corporation or was last employed by the Corporation. The arbitrator shall make a written award and shall prepare a written opinion containing the findings and conclusions on which the award was based. The decision of the arbitrator will be final and binding upon the parties hereto. Judgment may be entered on the arbitrator’s award in any court having jurisdiction. The parties acknowledge and agree that in connection with any such arbitration and regardless of outcome, (a) each party shall pay all of its own costs and expenses, including, without limitation, its own legal fees and expenses, and (b) the arbitration costs shall be borne entirely by the Corporation. The arbitration shall be confidential and no details concerning such arbitration shall be disclosed or released to any third party without the specific written consent of the non-disclosing party, unless required by law or court order, as necessary to prosecute or defend the arbitration, or in connection with enforcement of any decision in such arbitration. This agreement to arbitrate is mutually entered into between the parties. Each party fully understands and agrees that they are giving up certain rights otherwise afforded to them by civil court actions, including but not limited to the right to a jury trial. Nothing in this Agreement shall prevent Participant from filing charges or claims with the Equal Employment Opportunity Commission, the U.S. Department of Labor, or any other federal, state or local government agency. However, Participant may seek individual monetary relief only through arbitration under this Agreement. The Corporation and Participant further agree that any claim submitted to arbitration must be brought in the party’s individual capacity, and not as a plaintiff or class member in any purported class, representative or consolidated proceeding.</w:t>
      </w:r>
    </w:p>
    <w:p>
      <w:pPr>
        <w:spacing w:after="0" w:line="166" w:lineRule="exact"/>
        <w:rPr>
          <w:rFonts w:ascii="Arial" w:cs="Arial" w:eastAsia="Arial" w:hAnsi="Arial"/>
          <w:sz w:val="19"/>
          <w:szCs w:val="19"/>
          <w:color w:val="auto"/>
        </w:rPr>
      </w:pPr>
    </w:p>
    <w:p>
      <w:pPr>
        <w:ind w:firstLine="1952"/>
        <w:spacing w:after="0" w:line="334" w:lineRule="auto"/>
        <w:tabs>
          <w:tab w:leader="none" w:pos="2592" w:val="left"/>
        </w:tabs>
        <w:numPr>
          <w:ilvl w:val="1"/>
          <w:numId w:val="139"/>
        </w:numPr>
        <w:rPr>
          <w:rFonts w:ascii="Arial" w:cs="Arial" w:eastAsia="Arial" w:hAnsi="Arial"/>
          <w:sz w:val="19"/>
          <w:szCs w:val="19"/>
          <w:color w:val="auto"/>
        </w:rPr>
      </w:pPr>
      <w:r>
        <w:rPr>
          <w:rFonts w:ascii="Arial" w:cs="Arial" w:eastAsia="Arial" w:hAnsi="Arial"/>
          <w:sz w:val="19"/>
          <w:szCs w:val="19"/>
          <w:b w:val="1"/>
          <w:bCs w:val="1"/>
          <w:color w:val="auto"/>
        </w:rPr>
        <w:t>Each party fully understands and agrees that they are giving up certain rights otherwise afforded to them by civil court actions, including but not limited to the right to a jury trial.</w:t>
      </w:r>
    </w:p>
    <w:p>
      <w:pPr>
        <w:spacing w:after="0" w:line="93" w:lineRule="exact"/>
        <w:rPr>
          <w:rFonts w:ascii="Arial" w:cs="Arial" w:eastAsia="Arial" w:hAnsi="Arial"/>
          <w:sz w:val="19"/>
          <w:szCs w:val="19"/>
          <w:color w:val="auto"/>
        </w:rPr>
      </w:pPr>
    </w:p>
    <w:p>
      <w:pPr>
        <w:jc w:val="both"/>
        <w:ind w:firstLine="1304"/>
        <w:spacing w:after="0" w:line="239" w:lineRule="auto"/>
        <w:tabs>
          <w:tab w:leader="none" w:pos="1944" w:val="left"/>
        </w:tabs>
        <w:numPr>
          <w:ilvl w:val="0"/>
          <w:numId w:val="139"/>
        </w:numPr>
        <w:rPr>
          <w:rFonts w:ascii="Arial" w:cs="Arial" w:eastAsia="Arial" w:hAnsi="Arial"/>
          <w:sz w:val="22"/>
          <w:szCs w:val="22"/>
          <w:color w:val="auto"/>
        </w:rPr>
      </w:pPr>
      <w:r>
        <w:rPr>
          <w:rFonts w:ascii="Arial" w:cs="Arial" w:eastAsia="Arial" w:hAnsi="Arial"/>
          <w:sz w:val="22"/>
          <w:szCs w:val="22"/>
          <w:b w:val="1"/>
          <w:bCs w:val="1"/>
          <w:u w:val="single" w:color="auto"/>
          <w:color w:val="auto"/>
        </w:rPr>
        <w:t>Coverage under Recoupment Policy</w:t>
      </w:r>
      <w:r>
        <w:rPr>
          <w:rFonts w:ascii="Arial" w:cs="Arial" w:eastAsia="Arial" w:hAnsi="Arial"/>
          <w:sz w:val="22"/>
          <w:szCs w:val="22"/>
          <w:color w:val="auto"/>
        </w:rPr>
        <w:t>. If Participant is on the Award Date, or at any time</w:t>
      </w:r>
      <w:r>
        <w:rPr>
          <w:rFonts w:ascii="Arial" w:cs="Arial" w:eastAsia="Arial" w:hAnsi="Arial"/>
          <w:sz w:val="22"/>
          <w:szCs w:val="22"/>
          <w:b w:val="1"/>
          <w:bCs w:val="1"/>
          <w:color w:val="auto"/>
        </w:rPr>
        <w:t xml:space="preserve"> </w:t>
      </w:r>
      <w:r>
        <w:rPr>
          <w:rFonts w:ascii="Arial" w:cs="Arial" w:eastAsia="Arial" w:hAnsi="Arial"/>
          <w:sz w:val="22"/>
          <w:szCs w:val="22"/>
          <w:color w:val="auto"/>
        </w:rPr>
        <w:t>thereafter becomes, an executive officer of the Corporation subject to Section 16 of the 1934 Act, then Participant shall be subject to the Matson, Inc. Policy Regarding Recoupment of Certain Compensation (as amended from time to time, the “Recoupment Policy”), the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34" w:name="page135"/>
    <w:bookmarkEnd w:id="134"/>
    <w:p>
      <w:pPr>
        <w:spacing w:after="0" w:line="328" w:lineRule="auto"/>
        <w:rPr>
          <w:sz w:val="20"/>
          <w:szCs w:val="20"/>
          <w:color w:val="auto"/>
        </w:rPr>
      </w:pPr>
      <w:r>
        <w:rPr>
          <w:rFonts w:ascii="Arial" w:cs="Arial" w:eastAsia="Arial" w:hAnsi="Arial"/>
          <w:sz w:val="19"/>
          <w:szCs w:val="19"/>
          <w:color w:val="auto"/>
        </w:rPr>
        <w:t>which are hereby incorporated herein by reference and receipt of a copy of which Participant hereby acknowledges. A copy of the Recoupment Policy is available upon request made to the Corporate Secretary.</w:t>
      </w:r>
    </w:p>
    <w:p>
      <w:pPr>
        <w:spacing w:after="0" w:line="99" w:lineRule="exact"/>
        <w:rPr>
          <w:sz w:val="20"/>
          <w:szCs w:val="20"/>
          <w:color w:val="auto"/>
        </w:rPr>
      </w:pPr>
    </w:p>
    <w:p>
      <w:pPr>
        <w:ind w:left="1880" w:hanging="576"/>
        <w:spacing w:after="0"/>
        <w:tabs>
          <w:tab w:leader="none" w:pos="1880" w:val="left"/>
        </w:tabs>
        <w:numPr>
          <w:ilvl w:val="0"/>
          <w:numId w:val="140"/>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line="238" w:lineRule="auto"/>
        <w:tabs>
          <w:tab w:leader="none" w:pos="2592" w:val="left"/>
        </w:tabs>
        <w:numPr>
          <w:ilvl w:val="1"/>
          <w:numId w:val="140"/>
        </w:numPr>
        <w:rPr>
          <w:rFonts w:ascii="Arial" w:cs="Arial" w:eastAsia="Arial" w:hAnsi="Arial"/>
          <w:sz w:val="22"/>
          <w:szCs w:val="22"/>
          <w:color w:val="auto"/>
        </w:rPr>
      </w:pPr>
      <w:r>
        <w:rPr>
          <w:rFonts w:ascii="Arial" w:cs="Arial" w:eastAsia="Arial" w:hAnsi="Arial"/>
          <w:sz w:val="22"/>
          <w:szCs w:val="22"/>
          <w:color w:val="auto"/>
        </w:rPr>
        <w:t>Participant hereby explicitly and unambiguously consents to the collection, use and transfer, in electronic or other form, of Participant’s personal data as described in this Agreement by the Corporation for the exclusive purpose of implementing, administering and managing Participant’s participation in the Plan.</w:t>
      </w:r>
    </w:p>
    <w:p>
      <w:pPr>
        <w:spacing w:after="0" w:line="184" w:lineRule="exact"/>
        <w:rPr>
          <w:rFonts w:ascii="Arial" w:cs="Arial" w:eastAsia="Arial" w:hAnsi="Arial"/>
          <w:sz w:val="22"/>
          <w:szCs w:val="22"/>
          <w:color w:val="auto"/>
        </w:rPr>
      </w:pPr>
    </w:p>
    <w:p>
      <w:pPr>
        <w:jc w:val="both"/>
        <w:ind w:firstLine="1952"/>
        <w:spacing w:after="0" w:line="271" w:lineRule="auto"/>
        <w:tabs>
          <w:tab w:leader="none" w:pos="2592" w:val="left"/>
        </w:tabs>
        <w:numPr>
          <w:ilvl w:val="1"/>
          <w:numId w:val="140"/>
        </w:numPr>
        <w:rPr>
          <w:rFonts w:ascii="Arial" w:cs="Arial" w:eastAsia="Arial" w:hAnsi="Arial"/>
          <w:sz w:val="19"/>
          <w:szCs w:val="19"/>
          <w:color w:val="auto"/>
        </w:rPr>
      </w:pPr>
      <w:r>
        <w:rPr>
          <w:rFonts w:ascii="Arial" w:cs="Arial" w:eastAsia="Arial" w:hAnsi="Arial"/>
          <w:sz w:val="19"/>
          <w:szCs w:val="19"/>
          <w:color w:val="auto"/>
        </w:rPr>
        <w:t>Participant understands that the Corporation holds certain personal 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 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 in electronic or other form, for the purposes of implementing, administering and managing 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spacing w:after="0" w:line="158" w:lineRule="exact"/>
        <w:rPr>
          <w:rFonts w:ascii="Arial" w:cs="Arial" w:eastAsia="Arial" w:hAnsi="Arial"/>
          <w:sz w:val="19"/>
          <w:szCs w:val="19"/>
          <w:color w:val="auto"/>
        </w:rPr>
      </w:pPr>
    </w:p>
    <w:p>
      <w:pPr>
        <w:jc w:val="both"/>
        <w:ind w:right="20" w:firstLine="1304"/>
        <w:spacing w:after="0" w:line="239" w:lineRule="auto"/>
        <w:tabs>
          <w:tab w:leader="none" w:pos="1944" w:val="left"/>
        </w:tabs>
        <w:numPr>
          <w:ilvl w:val="0"/>
          <w:numId w:val="140"/>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This Agreement may not be altered, modified, or amended except by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instrument signed by the parties hereto; provided that the Corporation may alter, modify or amend this Agreement unilaterally if such change is not materially adverse to Participant or to cause this Agreement to comply with applicable law.</w:t>
      </w:r>
    </w:p>
    <w:p>
      <w:pPr>
        <w:spacing w:after="0" w:line="180" w:lineRule="exact"/>
        <w:rPr>
          <w:rFonts w:ascii="Arial" w:cs="Arial" w:eastAsia="Arial" w:hAnsi="Arial"/>
          <w:sz w:val="22"/>
          <w:szCs w:val="22"/>
          <w:color w:val="auto"/>
        </w:rPr>
      </w:pPr>
    </w:p>
    <w:p>
      <w:pPr>
        <w:jc w:val="both"/>
        <w:ind w:firstLine="1304"/>
        <w:spacing w:after="0" w:line="243" w:lineRule="auto"/>
        <w:tabs>
          <w:tab w:leader="none" w:pos="1944" w:val="left"/>
        </w:tabs>
        <w:numPr>
          <w:ilvl w:val="0"/>
          <w:numId w:val="140"/>
        </w:numPr>
        <w:rPr>
          <w:rFonts w:ascii="Arial" w:cs="Arial" w:eastAsia="Arial" w:hAnsi="Arial"/>
          <w:sz w:val="22"/>
          <w:szCs w:val="22"/>
          <w:color w:val="auto"/>
        </w:rPr>
      </w:pPr>
      <w:r>
        <w:rPr>
          <w:rFonts w:ascii="Arial" w:cs="Arial" w:eastAsia="Arial" w:hAnsi="Arial"/>
          <w:sz w:val="22"/>
          <w:szCs w:val="22"/>
          <w:b w:val="1"/>
          <w:bCs w:val="1"/>
          <w:u w:val="single" w:color="auto"/>
          <w:color w:val="auto"/>
        </w:rPr>
        <w:t>Other Agreements Superseded</w:t>
      </w:r>
      <w:r>
        <w:rPr>
          <w:rFonts w:ascii="Arial" w:cs="Arial" w:eastAsia="Arial" w:hAnsi="Arial"/>
          <w:sz w:val="22"/>
          <w:szCs w:val="22"/>
          <w:color w:val="auto"/>
        </w:rPr>
        <w:t>. The Award Notice, this Agreement,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the entire understanding between Participant and the Corporation regarding the Award. Any prior agreements, commitments or negotiations concerning the Award are superseded.</w:t>
      </w:r>
    </w:p>
    <w:p>
      <w:pPr>
        <w:spacing w:after="0" w:line="176" w:lineRule="exact"/>
        <w:rPr>
          <w:rFonts w:ascii="Arial" w:cs="Arial" w:eastAsia="Arial" w:hAnsi="Arial"/>
          <w:sz w:val="22"/>
          <w:szCs w:val="22"/>
          <w:color w:val="auto"/>
        </w:rPr>
      </w:pPr>
    </w:p>
    <w:p>
      <w:pPr>
        <w:jc w:val="both"/>
        <w:ind w:firstLine="1304"/>
        <w:spacing w:after="0" w:line="300" w:lineRule="auto"/>
        <w:tabs>
          <w:tab w:leader="none" w:pos="1944" w:val="left"/>
        </w:tabs>
        <w:numPr>
          <w:ilvl w:val="0"/>
          <w:numId w:val="140"/>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Plan Document</w:t>
      </w:r>
      <w:r>
        <w:rPr>
          <w:rFonts w:ascii="Arial" w:cs="Arial" w:eastAsia="Arial" w:hAnsi="Arial"/>
          <w:sz w:val="19"/>
          <w:szCs w:val="19"/>
          <w:color w:val="auto"/>
        </w:rPr>
        <w:t>. The Award is subject to all the provisions of the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which are hereby made a part of the Award, and is further subject to all interpretations, amendments, rules and regulations, which may from time to time be promulgated and adopted pursuant to the Plan.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2"/>
          <w:szCs w:val="22"/>
          <w:b w:val="1"/>
          <w:bCs w:val="1"/>
          <w:color w:val="auto"/>
        </w:rPr>
        <w:t>APPENDIX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00" w:lineRule="exact"/>
        <w:rPr>
          <w:sz w:val="20"/>
          <w:szCs w:val="20"/>
          <w:color w:val="auto"/>
        </w:rPr>
      </w:pPr>
    </w:p>
    <w:p>
      <w:pPr>
        <w:spacing w:after="0" w:line="2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following definitions shall be in effect under the Agreement:</w:t>
      </w:r>
    </w:p>
    <w:p>
      <w:pPr>
        <w:spacing w:after="0" w:line="200" w:lineRule="exact"/>
        <w:rPr>
          <w:sz w:val="20"/>
          <w:szCs w:val="20"/>
          <w:color w:val="auto"/>
        </w:rPr>
      </w:pPr>
    </w:p>
    <w:p>
      <w:pPr>
        <w:ind w:left="1960" w:hanging="656"/>
        <w:spacing w:after="0"/>
        <w:tabs>
          <w:tab w:leader="none" w:pos="1960" w:val="left"/>
        </w:tabs>
        <w:numPr>
          <w:ilvl w:val="1"/>
          <w:numId w:val="141"/>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this Performance Share Award Agreement.</w:t>
      </w:r>
    </w:p>
    <w:p>
      <w:pPr>
        <w:spacing w:after="0" w:line="206" w:lineRule="exact"/>
        <w:rPr>
          <w:rFonts w:ascii="Arial" w:cs="Arial" w:eastAsia="Arial" w:hAnsi="Arial"/>
          <w:sz w:val="22"/>
          <w:szCs w:val="22"/>
          <w:color w:val="auto"/>
        </w:rPr>
      </w:pPr>
    </w:p>
    <w:p>
      <w:pPr>
        <w:ind w:firstLine="1304"/>
        <w:spacing w:after="0" w:line="256" w:lineRule="auto"/>
        <w:tabs>
          <w:tab w:leader="none" w:pos="1944" w:val="left"/>
        </w:tabs>
        <w:numPr>
          <w:ilvl w:val="1"/>
          <w:numId w:val="141"/>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award of Performance Shares made to Participant pursuant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of this Agreement.</w:t>
      </w:r>
    </w:p>
    <w:p>
      <w:pPr>
        <w:spacing w:after="0" w:line="162" w:lineRule="exact"/>
        <w:rPr>
          <w:rFonts w:ascii="Arial" w:cs="Arial" w:eastAsia="Arial" w:hAnsi="Arial"/>
          <w:sz w:val="22"/>
          <w:szCs w:val="22"/>
          <w:color w:val="auto"/>
        </w:rPr>
      </w:pPr>
    </w:p>
    <w:p>
      <w:pPr>
        <w:ind w:right="20" w:firstLine="1304"/>
        <w:spacing w:after="0" w:line="280" w:lineRule="auto"/>
        <w:tabs>
          <w:tab w:leader="none" w:pos="1944" w:val="left"/>
        </w:tabs>
        <w:numPr>
          <w:ilvl w:val="1"/>
          <w:numId w:val="141"/>
        </w:numPr>
        <w:rPr>
          <w:rFonts w:ascii="Arial" w:cs="Arial" w:eastAsia="Arial" w:hAnsi="Arial"/>
          <w:sz w:val="21"/>
          <w:szCs w:val="21"/>
          <w:color w:val="auto"/>
        </w:rPr>
      </w:pPr>
      <w:r>
        <w:rPr>
          <w:rFonts w:ascii="Arial" w:cs="Arial" w:eastAsia="Arial" w:hAnsi="Arial"/>
          <w:sz w:val="21"/>
          <w:szCs w:val="21"/>
          <w:b w:val="1"/>
          <w:bCs w:val="1"/>
          <w:u w:val="single" w:color="auto"/>
          <w:color w:val="auto"/>
        </w:rPr>
        <w:t>Award Date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date the Performance Shares are awarded to Participant</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the Agreement and shall be the date specified in Paragraph 1 of the Award Notice.</w:t>
      </w:r>
    </w:p>
    <w:p>
      <w:pPr>
        <w:spacing w:after="0" w:line="138" w:lineRule="exact"/>
        <w:rPr>
          <w:rFonts w:ascii="Arial" w:cs="Arial" w:eastAsia="Arial" w:hAnsi="Arial"/>
          <w:sz w:val="21"/>
          <w:szCs w:val="21"/>
          <w:color w:val="auto"/>
        </w:rPr>
      </w:pPr>
    </w:p>
    <w:p>
      <w:pPr>
        <w:ind w:firstLine="1304"/>
        <w:spacing w:after="0" w:line="280" w:lineRule="auto"/>
        <w:tabs>
          <w:tab w:leader="none" w:pos="1944" w:val="left"/>
        </w:tabs>
        <w:numPr>
          <w:ilvl w:val="1"/>
          <w:numId w:val="141"/>
        </w:numPr>
        <w:rPr>
          <w:rFonts w:ascii="Arial" w:cs="Arial" w:eastAsia="Arial" w:hAnsi="Arial"/>
          <w:sz w:val="21"/>
          <w:szCs w:val="21"/>
          <w:color w:val="auto"/>
        </w:rPr>
      </w:pPr>
      <w:r>
        <w:rPr>
          <w:rFonts w:ascii="Arial" w:cs="Arial" w:eastAsia="Arial" w:hAnsi="Arial"/>
          <w:sz w:val="21"/>
          <w:szCs w:val="21"/>
          <w:b w:val="1"/>
          <w:bCs w:val="1"/>
          <w:u w:val="single" w:color="auto"/>
          <w:color w:val="auto"/>
        </w:rPr>
        <w:t>Award Notice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Notice of Award of Performance Shares delivered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in which there is set forth the basic terms of the Performance Shares subject to this Agreement.</w:t>
      </w:r>
    </w:p>
    <w:p>
      <w:pPr>
        <w:spacing w:after="0" w:line="138" w:lineRule="exact"/>
        <w:rPr>
          <w:rFonts w:ascii="Arial" w:cs="Arial" w:eastAsia="Arial" w:hAnsi="Arial"/>
          <w:sz w:val="21"/>
          <w:szCs w:val="21"/>
          <w:color w:val="auto"/>
        </w:rPr>
      </w:pPr>
    </w:p>
    <w:p>
      <w:pPr>
        <w:jc w:val="both"/>
        <w:ind w:firstLine="1304"/>
        <w:spacing w:after="0" w:line="289" w:lineRule="auto"/>
        <w:tabs>
          <w:tab w:leader="none" w:pos="1944" w:val="left"/>
        </w:tabs>
        <w:numPr>
          <w:ilvl w:val="1"/>
          <w:numId w:val="141"/>
        </w:numPr>
        <w:rPr>
          <w:rFonts w:ascii="Arial" w:cs="Arial" w:eastAsia="Arial" w:hAnsi="Arial"/>
          <w:sz w:val="19"/>
          <w:szCs w:val="19"/>
          <w:color w:val="auto"/>
        </w:rPr>
      </w:pPr>
      <w:r>
        <w:rPr>
          <w:rFonts w:ascii="Arial" w:cs="Arial" w:eastAsia="Arial" w:hAnsi="Arial"/>
          <w:sz w:val="19"/>
          <w:szCs w:val="19"/>
          <w:b w:val="1"/>
          <w:bCs w:val="1"/>
          <w:u w:val="single" w:color="auto"/>
          <w:color w:val="auto"/>
        </w:rPr>
        <w:t>Cause</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set forth in the Plan document;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event Participant is, at the time the Corporation (or any Parent or Subsidiary) purports to terminate Participant’s Employee status for Cause, a party to a Change in Control Benefits Agreement applicable to the Award, the term Cause shall have the meaning ascribed to that term in such Change in Control Benefits Agreement.</w:t>
      </w:r>
    </w:p>
    <w:p>
      <w:pPr>
        <w:spacing w:after="0" w:line="135" w:lineRule="exact"/>
        <w:rPr>
          <w:rFonts w:ascii="Arial" w:cs="Arial" w:eastAsia="Arial" w:hAnsi="Arial"/>
          <w:sz w:val="19"/>
          <w:szCs w:val="19"/>
          <w:color w:val="auto"/>
        </w:rPr>
      </w:pPr>
    </w:p>
    <w:p>
      <w:pPr>
        <w:jc w:val="both"/>
        <w:ind w:firstLine="1304"/>
        <w:spacing w:after="0" w:line="300" w:lineRule="auto"/>
        <w:tabs>
          <w:tab w:leader="none" w:pos="1944" w:val="left"/>
        </w:tabs>
        <w:numPr>
          <w:ilvl w:val="1"/>
          <w:numId w:val="141"/>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set forth in the Plan;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w:t>
      </w:r>
      <w:r>
        <w:rPr>
          <w:rFonts w:ascii="Arial" w:cs="Arial" w:eastAsia="Arial" w:hAnsi="Arial"/>
          <w:sz w:val="19"/>
          <w:szCs w:val="19"/>
          <w:b w:val="1"/>
          <w:bCs w:val="1"/>
          <w:color w:val="auto"/>
        </w:rPr>
        <w:t xml:space="preserve"> </w:t>
      </w:r>
      <w:r>
        <w:rPr>
          <w:rFonts w:ascii="Arial" w:cs="Arial" w:eastAsia="Arial" w:hAnsi="Arial"/>
          <w:sz w:val="19"/>
          <w:szCs w:val="19"/>
          <w:color w:val="auto"/>
        </w:rPr>
        <w:t>the event Participant is a party to a Change in Control Benefits Agreement applicable to the Award, the term Change in Control shall have the meaning ascribed to that term in such Change in Control Benefits Agreement.</w:t>
      </w:r>
    </w:p>
    <w:p>
      <w:pPr>
        <w:spacing w:after="0" w:line="125" w:lineRule="exact"/>
        <w:rPr>
          <w:rFonts w:ascii="Arial" w:cs="Arial" w:eastAsia="Arial" w:hAnsi="Arial"/>
          <w:sz w:val="19"/>
          <w:szCs w:val="19"/>
          <w:color w:val="auto"/>
        </w:rPr>
      </w:pPr>
    </w:p>
    <w:p>
      <w:pPr>
        <w:jc w:val="both"/>
        <w:ind w:firstLine="1304"/>
        <w:spacing w:after="0" w:line="283" w:lineRule="auto"/>
        <w:tabs>
          <w:tab w:leader="none" w:pos="1944" w:val="left"/>
        </w:tabs>
        <w:numPr>
          <w:ilvl w:val="1"/>
          <w:numId w:val="141"/>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any separate agreement between</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and the 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spacing w:after="0" w:line="142" w:lineRule="exact"/>
        <w:rPr>
          <w:rFonts w:ascii="Arial" w:cs="Arial" w:eastAsia="Arial" w:hAnsi="Arial"/>
          <w:sz w:val="19"/>
          <w:szCs w:val="19"/>
          <w:color w:val="auto"/>
        </w:rPr>
      </w:pPr>
    </w:p>
    <w:p>
      <w:pPr>
        <w:jc w:val="both"/>
        <w:ind w:firstLine="1304"/>
        <w:spacing w:after="0" w:line="239" w:lineRule="auto"/>
        <w:tabs>
          <w:tab w:leader="none" w:pos="1944" w:val="left"/>
        </w:tabs>
        <w:numPr>
          <w:ilvl w:val="1"/>
          <w:numId w:val="141"/>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 Shares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number of Shares obtained by multiplying the</w:t>
      </w:r>
      <w:r>
        <w:rPr>
          <w:rFonts w:ascii="Arial" w:cs="Arial" w:eastAsia="Arial" w:hAnsi="Arial"/>
          <w:sz w:val="22"/>
          <w:szCs w:val="22"/>
          <w:b w:val="1"/>
          <w:bCs w:val="1"/>
          <w:color w:val="auto"/>
        </w:rPr>
        <w:t xml:space="preserve"> </w:t>
      </w:r>
      <w:r>
        <w:rPr>
          <w:rFonts w:ascii="Arial" w:cs="Arial" w:eastAsia="Arial" w:hAnsi="Arial"/>
          <w:sz w:val="22"/>
          <w:szCs w:val="22"/>
          <w:color w:val="auto"/>
        </w:rPr>
        <w:t>Vested Percentage by the greater of (i) the number of Designated Shares, or (ii) the number of Performance-Qualified Shares issuable under the Award based on actual performance of the Performance Goal through the date of the Change in Control.</w:t>
      </w:r>
    </w:p>
    <w:p>
      <w:pPr>
        <w:spacing w:after="0" w:line="180" w:lineRule="exact"/>
        <w:rPr>
          <w:rFonts w:ascii="Arial" w:cs="Arial" w:eastAsia="Arial" w:hAnsi="Arial"/>
          <w:sz w:val="22"/>
          <w:szCs w:val="22"/>
          <w:color w:val="auto"/>
        </w:rPr>
      </w:pPr>
    </w:p>
    <w:p>
      <w:pPr>
        <w:jc w:val="both"/>
        <w:ind w:firstLine="1304"/>
        <w:spacing w:after="0" w:line="280" w:lineRule="auto"/>
        <w:tabs>
          <w:tab w:leader="none" w:pos="1944" w:val="left"/>
        </w:tabs>
        <w:numPr>
          <w:ilvl w:val="1"/>
          <w:numId w:val="141"/>
        </w:numPr>
        <w:rPr>
          <w:rFonts w:ascii="Arial" w:cs="Arial" w:eastAsia="Arial" w:hAnsi="Arial"/>
          <w:sz w:val="19"/>
          <w:szCs w:val="19"/>
          <w:color w:val="auto"/>
        </w:rPr>
      </w:pPr>
      <w:r>
        <w:rPr>
          <w:rFonts w:ascii="Arial" w:cs="Arial" w:eastAsia="Arial" w:hAnsi="Arial"/>
          <w:sz w:val="19"/>
          <w:szCs w:val="19"/>
          <w:b w:val="1"/>
          <w:bCs w:val="1"/>
          <w:u w:val="single" w:color="auto"/>
          <w:color w:val="auto"/>
        </w:rPr>
        <w:t>Early Retirement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Participant’s retirement from Service, with the prior approval</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Corporation (or the Parent or Subsidiary employing Participant), on or after the attainment of age fifty-five</w:t>
      </w:r>
    </w:p>
    <w:p>
      <w:pPr>
        <w:ind w:left="420" w:hanging="412"/>
        <w:spacing w:after="0"/>
        <w:tabs>
          <w:tab w:leader="none" w:pos="42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and the completion of at least five (5)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36" w:name="page137"/>
    <w:bookmarkEnd w:id="136"/>
    <w:p>
      <w:pPr>
        <w:jc w:val="both"/>
        <w:ind w:firstLine="1304"/>
        <w:spacing w:after="0" w:line="243" w:lineRule="auto"/>
        <w:tabs>
          <w:tab w:leader="none" w:pos="1944" w:val="left"/>
        </w:tabs>
        <w:numPr>
          <w:ilvl w:val="0"/>
          <w:numId w:val="143"/>
        </w:numPr>
        <w:rPr>
          <w:rFonts w:ascii="Arial" w:cs="Arial" w:eastAsia="Arial" w:hAnsi="Arial"/>
          <w:sz w:val="22"/>
          <w:szCs w:val="22"/>
          <w:color w:val="auto"/>
        </w:rPr>
      </w:pPr>
      <w:r>
        <w:rPr>
          <w:rFonts w:ascii="Arial" w:cs="Arial" w:eastAsia="Arial" w:hAnsi="Arial"/>
          <w:sz w:val="22"/>
          <w:szCs w:val="22"/>
          <w:b w:val="1"/>
          <w:bCs w:val="1"/>
          <w:u w:val="single" w:color="auto"/>
          <w:color w:val="auto"/>
        </w:rPr>
        <w:t>Extraordinary Level Attainment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Corporation’s achievement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Goal set forth in Schedule I of the Award Notice at the level designated as Extraordinary Level attainment for that goal.</w:t>
      </w:r>
    </w:p>
    <w:p>
      <w:pPr>
        <w:spacing w:after="0" w:line="176" w:lineRule="exact"/>
        <w:rPr>
          <w:rFonts w:ascii="Arial" w:cs="Arial" w:eastAsia="Arial" w:hAnsi="Arial"/>
          <w:sz w:val="22"/>
          <w:szCs w:val="22"/>
          <w:color w:val="auto"/>
        </w:rPr>
      </w:pPr>
    </w:p>
    <w:p>
      <w:pPr>
        <w:jc w:val="both"/>
        <w:ind w:firstLine="1304"/>
        <w:spacing w:after="0" w:line="239" w:lineRule="auto"/>
        <w:tabs>
          <w:tab w:leader="none" w:pos="1944" w:val="left"/>
        </w:tabs>
        <w:numPr>
          <w:ilvl w:val="0"/>
          <w:numId w:val="143"/>
        </w:numPr>
        <w:rPr>
          <w:rFonts w:ascii="Arial" w:cs="Arial" w:eastAsia="Arial" w:hAnsi="Arial"/>
          <w:sz w:val="22"/>
          <w:szCs w:val="22"/>
          <w:color w:val="auto"/>
        </w:rPr>
      </w:pPr>
      <w:r>
        <w:rPr>
          <w:rFonts w:ascii="Arial" w:cs="Arial" w:eastAsia="Arial" w:hAnsi="Arial"/>
          <w:sz w:val="22"/>
          <w:szCs w:val="22"/>
          <w:b w:val="1"/>
          <w:bCs w:val="1"/>
          <w:u w:val="single" w:color="auto"/>
          <w:color w:val="auto"/>
        </w:rPr>
        <w:t>Good Reason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the Plan; provided however, in the event</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is at the time of his or her cessation of Employee status a party to a Change in Control Benefits Agreement applicable to the Award evidenced by this Agreement, the term Good Reason shall have the meaning ascribed to that term in such Change in Control Benefits Agreement.</w:t>
      </w:r>
    </w:p>
    <w:p>
      <w:pPr>
        <w:spacing w:after="0" w:line="180" w:lineRule="exact"/>
        <w:rPr>
          <w:rFonts w:ascii="Arial" w:cs="Arial" w:eastAsia="Arial" w:hAnsi="Arial"/>
          <w:sz w:val="22"/>
          <w:szCs w:val="22"/>
          <w:color w:val="auto"/>
        </w:rPr>
      </w:pPr>
    </w:p>
    <w:p>
      <w:pPr>
        <w:ind w:firstLine="1304"/>
        <w:spacing w:after="0" w:line="256" w:lineRule="auto"/>
        <w:tabs>
          <w:tab w:leader="none" w:pos="1944" w:val="left"/>
        </w:tabs>
        <w:numPr>
          <w:ilvl w:val="0"/>
          <w:numId w:val="143"/>
        </w:numPr>
        <w:rPr>
          <w:rFonts w:ascii="Arial" w:cs="Arial" w:eastAsia="Arial" w:hAnsi="Arial"/>
          <w:sz w:val="22"/>
          <w:szCs w:val="22"/>
          <w:color w:val="auto"/>
        </w:rPr>
      </w:pPr>
      <w:r>
        <w:rPr>
          <w:rFonts w:ascii="Arial" w:cs="Arial" w:eastAsia="Arial" w:hAnsi="Arial"/>
          <w:sz w:val="22"/>
          <w:szCs w:val="22"/>
          <w:b w:val="1"/>
          <w:bCs w:val="1"/>
          <w:u w:val="single" w:color="auto"/>
          <w:color w:val="auto"/>
        </w:rPr>
        <w:t>Normal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shall mean the cessation of Service by reason of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at or after the attainment of age sixty-five (65).</w:t>
      </w:r>
    </w:p>
    <w:p>
      <w:pPr>
        <w:spacing w:after="0" w:line="162" w:lineRule="exact"/>
        <w:rPr>
          <w:rFonts w:ascii="Arial" w:cs="Arial" w:eastAsia="Arial" w:hAnsi="Arial"/>
          <w:sz w:val="22"/>
          <w:szCs w:val="22"/>
          <w:color w:val="auto"/>
        </w:rPr>
      </w:pPr>
    </w:p>
    <w:p>
      <w:pPr>
        <w:ind w:left="1960" w:hanging="656"/>
        <w:spacing w:after="0"/>
        <w:tabs>
          <w:tab w:leader="none" w:pos="1960" w:val="left"/>
        </w:tabs>
        <w:numPr>
          <w:ilvl w:val="0"/>
          <w:numId w:val="143"/>
        </w:numPr>
        <w:rPr>
          <w:rFonts w:ascii="Arial" w:cs="Arial" w:eastAsia="Arial" w:hAnsi="Arial"/>
          <w:sz w:val="19"/>
          <w:szCs w:val="19"/>
          <w:color w:val="auto"/>
        </w:rPr>
      </w:pPr>
      <w:r>
        <w:rPr>
          <w:rFonts w:ascii="Arial" w:cs="Arial" w:eastAsia="Arial" w:hAnsi="Arial"/>
          <w:sz w:val="19"/>
          <w:szCs w:val="19"/>
          <w:b w:val="1"/>
          <w:bCs w:val="1"/>
          <w:u w:val="single" w:color="auto"/>
          <w:color w:val="auto"/>
        </w:rPr>
        <w:t>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person to whom the Award is made pursuant to the Agreement.</w:t>
      </w:r>
    </w:p>
    <w:p>
      <w:pPr>
        <w:spacing w:after="0" w:line="240" w:lineRule="exact"/>
        <w:rPr>
          <w:rFonts w:ascii="Arial" w:cs="Arial" w:eastAsia="Arial" w:hAnsi="Arial"/>
          <w:sz w:val="19"/>
          <w:szCs w:val="19"/>
          <w:color w:val="auto"/>
        </w:rPr>
      </w:pPr>
    </w:p>
    <w:p>
      <w:pPr>
        <w:ind w:left="1960" w:hanging="656"/>
        <w:spacing w:after="0"/>
        <w:tabs>
          <w:tab w:leader="none" w:pos="1960" w:val="left"/>
        </w:tabs>
        <w:numPr>
          <w:ilvl w:val="0"/>
          <w:numId w:val="143"/>
        </w:numPr>
        <w:rPr>
          <w:rFonts w:ascii="Arial" w:cs="Arial" w:eastAsia="Arial" w:hAnsi="Arial"/>
          <w:sz w:val="19"/>
          <w:szCs w:val="19"/>
          <w:color w:val="auto"/>
        </w:rPr>
      </w:pPr>
      <w:r>
        <w:rPr>
          <w:rFonts w:ascii="Arial" w:cs="Arial" w:eastAsia="Arial" w:hAnsi="Arial"/>
          <w:sz w:val="19"/>
          <w:szCs w:val="19"/>
          <w:b w:val="1"/>
          <w:bCs w:val="1"/>
          <w:u w:val="single" w:color="auto"/>
          <w:color w:val="auto"/>
        </w:rPr>
        <w:t>Performance Goal</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performance goal specified on Schedule I of the Award</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Notice.</w:t>
      </w:r>
    </w:p>
    <w:p>
      <w:pPr>
        <w:spacing w:after="0" w:line="182" w:lineRule="exact"/>
        <w:rPr>
          <w:rFonts w:ascii="Arial" w:cs="Arial" w:eastAsia="Arial" w:hAnsi="Arial"/>
          <w:sz w:val="19"/>
          <w:szCs w:val="19"/>
          <w:color w:val="auto"/>
        </w:rPr>
      </w:pPr>
    </w:p>
    <w:p>
      <w:pPr>
        <w:ind w:firstLine="1304"/>
        <w:spacing w:after="0" w:line="256" w:lineRule="auto"/>
        <w:tabs>
          <w:tab w:leader="none" w:pos="1944" w:val="left"/>
        </w:tabs>
        <w:numPr>
          <w:ilvl w:val="0"/>
          <w:numId w:val="143"/>
        </w:numPr>
        <w:rPr>
          <w:rFonts w:ascii="Arial" w:cs="Arial" w:eastAsia="Arial" w:hAnsi="Arial"/>
          <w:sz w:val="22"/>
          <w:szCs w:val="22"/>
          <w:color w:val="auto"/>
        </w:rPr>
      </w:pPr>
      <w:r>
        <w:rPr>
          <w:rFonts w:ascii="Arial" w:cs="Arial" w:eastAsia="Arial" w:hAnsi="Arial"/>
          <w:sz w:val="22"/>
          <w:szCs w:val="22"/>
          <w:b w:val="1"/>
          <w:bCs w:val="1"/>
          <w:u w:val="single" w:color="auto"/>
          <w:color w:val="auto"/>
        </w:rPr>
        <w:t>Performance Period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period specified on Schedule I of the Award Notice</w:t>
      </w:r>
      <w:r>
        <w:rPr>
          <w:rFonts w:ascii="Arial" w:cs="Arial" w:eastAsia="Arial" w:hAnsi="Arial"/>
          <w:sz w:val="22"/>
          <w:szCs w:val="22"/>
          <w:b w:val="1"/>
          <w:bCs w:val="1"/>
          <w:color w:val="auto"/>
        </w:rPr>
        <w:t xml:space="preserve"> </w:t>
      </w:r>
      <w:r>
        <w:rPr>
          <w:rFonts w:ascii="Arial" w:cs="Arial" w:eastAsia="Arial" w:hAnsi="Arial"/>
          <w:sz w:val="22"/>
          <w:szCs w:val="22"/>
          <w:color w:val="auto"/>
        </w:rPr>
        <w:t>over which the attainment of the Performance Goal is to be measured.</w:t>
      </w:r>
    </w:p>
    <w:p>
      <w:pPr>
        <w:spacing w:after="0" w:line="162" w:lineRule="exact"/>
        <w:rPr>
          <w:rFonts w:ascii="Arial" w:cs="Arial" w:eastAsia="Arial" w:hAnsi="Arial"/>
          <w:sz w:val="22"/>
          <w:szCs w:val="22"/>
          <w:color w:val="auto"/>
        </w:rPr>
      </w:pPr>
    </w:p>
    <w:p>
      <w:pPr>
        <w:jc w:val="both"/>
        <w:ind w:firstLine="1304"/>
        <w:spacing w:after="0" w:line="280" w:lineRule="auto"/>
        <w:tabs>
          <w:tab w:leader="none" w:pos="1944" w:val="left"/>
        </w:tabs>
        <w:numPr>
          <w:ilvl w:val="0"/>
          <w:numId w:val="143"/>
        </w:numPr>
        <w:rPr>
          <w:rFonts w:ascii="Arial" w:cs="Arial" w:eastAsia="Arial" w:hAnsi="Arial"/>
          <w:sz w:val="19"/>
          <w:szCs w:val="19"/>
          <w:color w:val="auto"/>
        </w:rPr>
      </w:pPr>
      <w:r>
        <w:rPr>
          <w:rFonts w:ascii="Arial" w:cs="Arial" w:eastAsia="Arial" w:hAnsi="Arial"/>
          <w:sz w:val="19"/>
          <w:szCs w:val="19"/>
          <w:b w:val="1"/>
          <w:bCs w:val="1"/>
          <w:u w:val="single" w:color="auto"/>
          <w:color w:val="auto"/>
        </w:rPr>
        <w:t>Performance-Qualified Shares</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maximum number of Shares in which</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can vest based on the level at which the Performance Goal for the Performance Period is attained and shall be calculated in accordance with the provisions of the Award Notice. In no event shall the number of such Performance-Qualified Shares exceed two hundred and fifty percent (250%) of the designated number of Performance Shares set forth in the Performance Shares section of the Award Notice. Each Performance-Qualified Share that vests pursuant to the terms of the Award shall entitle Participant to receive one Share.</w:t>
      </w:r>
    </w:p>
    <w:p>
      <w:pPr>
        <w:spacing w:after="0" w:line="144" w:lineRule="exact"/>
        <w:rPr>
          <w:rFonts w:ascii="Arial" w:cs="Arial" w:eastAsia="Arial" w:hAnsi="Arial"/>
          <w:sz w:val="19"/>
          <w:szCs w:val="19"/>
          <w:color w:val="auto"/>
        </w:rPr>
      </w:pPr>
    </w:p>
    <w:p>
      <w:pPr>
        <w:jc w:val="both"/>
        <w:ind w:firstLine="1304"/>
        <w:spacing w:after="0" w:line="239" w:lineRule="auto"/>
        <w:tabs>
          <w:tab w:leader="none" w:pos="1944" w:val="left"/>
        </w:tabs>
        <w:numPr>
          <w:ilvl w:val="0"/>
          <w:numId w:val="143"/>
        </w:numPr>
        <w:rPr>
          <w:rFonts w:ascii="Arial" w:cs="Arial" w:eastAsia="Arial" w:hAnsi="Arial"/>
          <w:sz w:val="22"/>
          <w:szCs w:val="22"/>
          <w:color w:val="auto"/>
        </w:rPr>
      </w:pPr>
      <w:r>
        <w:rPr>
          <w:rFonts w:ascii="Arial" w:cs="Arial" w:eastAsia="Arial" w:hAnsi="Arial"/>
          <w:sz w:val="22"/>
          <w:szCs w:val="22"/>
          <w:b w:val="1"/>
          <w:bCs w:val="1"/>
          <w:u w:val="single" w:color="auto"/>
          <w:color w:val="auto"/>
        </w:rPr>
        <w:t>Performance Shares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number of phantom shares of Common Stock awarded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this Agreement that shall be applied to the calculation of the maximum number of Performance-Qualified Shares (if any) based on the level at which the Performance Goal is in fact attained over the applicable Performance Period.</w:t>
      </w:r>
    </w:p>
    <w:p>
      <w:pPr>
        <w:spacing w:after="0" w:line="180" w:lineRule="exact"/>
        <w:rPr>
          <w:rFonts w:ascii="Arial" w:cs="Arial" w:eastAsia="Arial" w:hAnsi="Arial"/>
          <w:sz w:val="22"/>
          <w:szCs w:val="22"/>
          <w:color w:val="auto"/>
        </w:rPr>
      </w:pPr>
    </w:p>
    <w:p>
      <w:pPr>
        <w:ind w:left="1960" w:hanging="656"/>
        <w:spacing w:after="0"/>
        <w:tabs>
          <w:tab w:leader="none" w:pos="1960" w:val="left"/>
        </w:tabs>
        <w:numPr>
          <w:ilvl w:val="0"/>
          <w:numId w:val="143"/>
        </w:numPr>
        <w:rPr>
          <w:rFonts w:ascii="Arial" w:cs="Arial" w:eastAsia="Arial" w:hAnsi="Arial"/>
          <w:sz w:val="19"/>
          <w:szCs w:val="19"/>
          <w:color w:val="auto"/>
        </w:rPr>
      </w:pPr>
      <w:r>
        <w:rPr>
          <w:rFonts w:ascii="Arial" w:cs="Arial" w:eastAsia="Arial" w:hAnsi="Arial"/>
          <w:sz w:val="19"/>
          <w:szCs w:val="19"/>
          <w:b w:val="1"/>
          <w:bCs w:val="1"/>
          <w:u w:val="single" w:color="auto"/>
          <w:color w:val="auto"/>
        </w:rPr>
        <w:t>Plan</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Corporation’s 2016 Incentive Compensation Plan, as amended from</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time to time.</w:t>
      </w:r>
    </w:p>
    <w:p>
      <w:pPr>
        <w:spacing w:after="0" w:line="182" w:lineRule="exact"/>
        <w:rPr>
          <w:rFonts w:ascii="Arial" w:cs="Arial" w:eastAsia="Arial" w:hAnsi="Arial"/>
          <w:sz w:val="19"/>
          <w:szCs w:val="19"/>
          <w:color w:val="auto"/>
        </w:rPr>
      </w:pPr>
    </w:p>
    <w:p>
      <w:pPr>
        <w:jc w:val="both"/>
        <w:ind w:firstLine="1304"/>
        <w:spacing w:after="0" w:line="249" w:lineRule="auto"/>
        <w:tabs>
          <w:tab w:leader="none" w:pos="1944" w:val="left"/>
        </w:tabs>
        <w:numPr>
          <w:ilvl w:val="0"/>
          <w:numId w:val="143"/>
        </w:numPr>
        <w:rPr>
          <w:rFonts w:ascii="Arial" w:cs="Arial" w:eastAsia="Arial" w:hAnsi="Arial"/>
          <w:sz w:val="21"/>
          <w:szCs w:val="21"/>
          <w:color w:val="auto"/>
        </w:rPr>
      </w:pPr>
      <w:r>
        <w:rPr>
          <w:rFonts w:ascii="Arial" w:cs="Arial" w:eastAsia="Arial" w:hAnsi="Arial"/>
          <w:sz w:val="21"/>
          <w:szCs w:val="21"/>
          <w:b w:val="1"/>
          <w:bCs w:val="1"/>
          <w:u w:val="single" w:color="auto"/>
          <w:color w:val="auto"/>
        </w:rPr>
        <w:t>Qualifying Change in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date on which there occurs a Change in</w:t>
      </w:r>
      <w:r>
        <w:rPr>
          <w:rFonts w:ascii="Arial" w:cs="Arial" w:eastAsia="Arial" w:hAnsi="Arial"/>
          <w:sz w:val="21"/>
          <w:szCs w:val="21"/>
          <w:b w:val="1"/>
          <w:bCs w:val="1"/>
          <w:color w:val="auto"/>
        </w:rPr>
        <w:t xml:space="preserve"> </w:t>
      </w:r>
      <w:r>
        <w:rPr>
          <w:rFonts w:ascii="Arial" w:cs="Arial" w:eastAsia="Arial" w:hAnsi="Arial"/>
          <w:sz w:val="21"/>
          <w:szCs w:val="21"/>
          <w:color w:val="auto"/>
        </w:rPr>
        <w:t>Control that also qualifies as: (i) a change in the ownership of the Corporation, as determined in accordance with Section 1.409A-3(i)((5)(v) of the Treasury Regulations, (ii) a change in the effective control of the Corporation, as determined in accordance with Section 1.409A-3(i)((5)(vi) of the Treasury Regulations, or (iii) a change in the ownership of a substantial portion of the assets of the Corporation, as determined in accordance with Section 1.409A-3(i)((5)(vii) of the Treasury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7" w:name="page138"/>
    <w:bookmarkEnd w:id="137"/>
    <w:p>
      <w:pPr>
        <w:jc w:val="both"/>
        <w:ind w:firstLine="1304"/>
        <w:spacing w:after="0" w:line="270" w:lineRule="auto"/>
        <w:tabs>
          <w:tab w:leader="none" w:pos="1944" w:val="left"/>
        </w:tabs>
        <w:numPr>
          <w:ilvl w:val="0"/>
          <w:numId w:val="144"/>
        </w:numPr>
        <w:rPr>
          <w:rFonts w:ascii="Arial" w:cs="Arial" w:eastAsia="Arial" w:hAnsi="Arial"/>
          <w:sz w:val="19"/>
          <w:szCs w:val="19"/>
          <w:color w:val="auto"/>
        </w:rPr>
      </w:pPr>
      <w:r>
        <w:rPr>
          <w:rFonts w:ascii="Arial" w:cs="Arial" w:eastAsia="Arial" w:hAnsi="Arial"/>
          <w:sz w:val="19"/>
          <w:szCs w:val="19"/>
          <w:b w:val="1"/>
          <w:bCs w:val="1"/>
          <w:u w:val="single" w:color="auto"/>
          <w:color w:val="auto"/>
        </w:rPr>
        <w:t>Separation from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Participant’s cessation of Employee status by</w:t>
      </w:r>
      <w:r>
        <w:rPr>
          <w:rFonts w:ascii="Arial" w:cs="Arial" w:eastAsia="Arial" w:hAnsi="Arial"/>
          <w:sz w:val="19"/>
          <w:szCs w:val="19"/>
          <w:b w:val="1"/>
          <w:bCs w:val="1"/>
          <w:color w:val="auto"/>
        </w:rPr>
        <w:t xml:space="preserve"> </w:t>
      </w:r>
      <w:r>
        <w:rPr>
          <w:rFonts w:ascii="Arial" w:cs="Arial" w:eastAsia="Arial" w:hAnsi="Arial"/>
          <w:sz w:val="19"/>
          <w:szCs w:val="19"/>
          <w:color w:val="auto"/>
        </w:rPr>
        <w:t>reason of his or her death, retirement or termination of employment. The Participant shall be deemed to have terminated employment for such purpose at such time as the level of his or her bona fide services to be performed as an Employee (or as a consultant or independent contractor) permanently decreases to a level that is less than fifty percent (50%) of the average level of services 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jc w:val="both"/>
        <w:ind w:firstLine="1304"/>
        <w:spacing w:after="0" w:line="239" w:lineRule="auto"/>
        <w:tabs>
          <w:tab w:leader="none" w:pos="1944" w:val="left"/>
        </w:tabs>
        <w:numPr>
          <w:ilvl w:val="0"/>
          <w:numId w:val="144"/>
        </w:numPr>
        <w:rPr>
          <w:rFonts w:ascii="Arial" w:cs="Arial" w:eastAsia="Arial" w:hAnsi="Arial"/>
          <w:sz w:val="22"/>
          <w:szCs w:val="22"/>
          <w:color w:val="auto"/>
        </w:rPr>
      </w:pPr>
      <w:r>
        <w:rPr>
          <w:rFonts w:ascii="Arial" w:cs="Arial" w:eastAsia="Arial" w:hAnsi="Arial"/>
          <w:sz w:val="22"/>
          <w:szCs w:val="22"/>
          <w:b w:val="1"/>
          <w:bCs w:val="1"/>
          <w:u w:val="single" w:color="auto"/>
          <w:color w:val="auto"/>
        </w:rPr>
        <w:t>Service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Participant’s performance of services for the Corporation (or any Parent</w:t>
      </w:r>
      <w:r>
        <w:rPr>
          <w:rFonts w:ascii="Arial" w:cs="Arial" w:eastAsia="Arial" w:hAnsi="Arial"/>
          <w:sz w:val="22"/>
          <w:szCs w:val="22"/>
          <w:b w:val="1"/>
          <w:bCs w:val="1"/>
          <w:color w:val="auto"/>
        </w:rPr>
        <w:t xml:space="preserve"> </w:t>
      </w:r>
      <w:r>
        <w:rPr>
          <w:rFonts w:ascii="Arial" w:cs="Arial" w:eastAsia="Arial" w:hAnsi="Arial"/>
          <w:sz w:val="22"/>
          <w:szCs w:val="22"/>
          <w:color w:val="auto"/>
        </w:rPr>
        <w:t>or Subsidiary) in the capacity of an Employee, a non-employee member of the board of directors or a consultant or independent advisor. In addition, the following provisions shall govern the determination of Participant’s period of Service:</w:t>
      </w:r>
    </w:p>
    <w:p>
      <w:pPr>
        <w:spacing w:after="0" w:line="186" w:lineRule="exact"/>
        <w:rPr>
          <w:rFonts w:ascii="Arial" w:cs="Arial" w:eastAsia="Arial" w:hAnsi="Arial"/>
          <w:sz w:val="22"/>
          <w:szCs w:val="22"/>
          <w:color w:val="auto"/>
        </w:rPr>
      </w:pPr>
    </w:p>
    <w:p>
      <w:pPr>
        <w:jc w:val="both"/>
        <w:ind w:left="660" w:firstLine="1292"/>
        <w:spacing w:after="0" w:line="257" w:lineRule="auto"/>
        <w:tabs>
          <w:tab w:leader="none" w:pos="2658" w:val="left"/>
        </w:tabs>
        <w:numPr>
          <w:ilvl w:val="1"/>
          <w:numId w:val="144"/>
        </w:numPr>
        <w:rPr>
          <w:rFonts w:ascii="Arial" w:cs="Arial" w:eastAsia="Arial" w:hAnsi="Arial"/>
          <w:sz w:val="21"/>
          <w:szCs w:val="21"/>
          <w:color w:val="auto"/>
        </w:rPr>
      </w:pPr>
      <w:r>
        <w:rPr>
          <w:rFonts w:ascii="Arial" w:cs="Arial" w:eastAsia="Arial" w:hAnsi="Arial"/>
          <w:sz w:val="21"/>
          <w:szCs w:val="21"/>
          <w:color w:val="auto"/>
        </w:rPr>
        <w:t>Participant shall be deemed to continue in Service for so long as Participant performs services for the Corporation (or any Parent or Subsidiary) in the capacity of an Employee, a non-employee member of the board of directors or a consultant or independent advisor.</w:t>
      </w:r>
    </w:p>
    <w:p>
      <w:pPr>
        <w:spacing w:after="0" w:line="196" w:lineRule="exact"/>
        <w:rPr>
          <w:rFonts w:ascii="Arial" w:cs="Arial" w:eastAsia="Arial" w:hAnsi="Arial"/>
          <w:sz w:val="21"/>
          <w:szCs w:val="21"/>
          <w:color w:val="auto"/>
        </w:rPr>
      </w:pPr>
    </w:p>
    <w:p>
      <w:pPr>
        <w:jc w:val="both"/>
        <w:ind w:left="660" w:firstLine="1292"/>
        <w:spacing w:after="0" w:line="249" w:lineRule="auto"/>
        <w:tabs>
          <w:tab w:leader="none" w:pos="2604" w:val="left"/>
        </w:tabs>
        <w:numPr>
          <w:ilvl w:val="1"/>
          <w:numId w:val="144"/>
        </w:numPr>
        <w:rPr>
          <w:rFonts w:ascii="Arial" w:cs="Arial" w:eastAsia="Arial" w:hAnsi="Arial"/>
          <w:sz w:val="21"/>
          <w:szCs w:val="21"/>
          <w:color w:val="auto"/>
        </w:rPr>
      </w:pPr>
      <w:r>
        <w:rPr>
          <w:rFonts w:ascii="Arial" w:cs="Arial" w:eastAsia="Arial" w:hAnsi="Arial"/>
          <w:sz w:val="21"/>
          <w:szCs w:val="21"/>
          <w:color w:val="auto"/>
        </w:rPr>
        <w:t>Participant shall be deemed to cease Service immediately upon the occurrence of the either of the following events: (a) Participant no longer performs services in any of the foregoing capacities for the Corporation (or any Parent or Subsidiary) or (b) the entity for which Participant performs such services ceases to remain a Parent or Subsidiary of the Corporation, even though Participant may subsequently continue to perform services for that entity.</w:t>
      </w:r>
    </w:p>
    <w:p>
      <w:pPr>
        <w:spacing w:after="0" w:line="205" w:lineRule="exact"/>
        <w:rPr>
          <w:rFonts w:ascii="Arial" w:cs="Arial" w:eastAsia="Arial" w:hAnsi="Arial"/>
          <w:sz w:val="21"/>
          <w:szCs w:val="21"/>
          <w:color w:val="auto"/>
        </w:rPr>
      </w:pPr>
    </w:p>
    <w:p>
      <w:pPr>
        <w:jc w:val="both"/>
        <w:ind w:left="660" w:firstLine="1292"/>
        <w:spacing w:after="0" w:line="238" w:lineRule="auto"/>
        <w:tabs>
          <w:tab w:leader="none" w:pos="2604" w:val="left"/>
        </w:tabs>
        <w:numPr>
          <w:ilvl w:val="1"/>
          <w:numId w:val="144"/>
        </w:numPr>
        <w:rPr>
          <w:rFonts w:ascii="Arial" w:cs="Arial" w:eastAsia="Arial" w:hAnsi="Arial"/>
          <w:sz w:val="22"/>
          <w:szCs w:val="22"/>
          <w:color w:val="auto"/>
        </w:rPr>
      </w:pPr>
      <w:r>
        <w:rPr>
          <w:rFonts w:ascii="Arial" w:cs="Arial" w:eastAsia="Arial" w:hAnsi="Arial"/>
          <w:sz w:val="22"/>
          <w:szCs w:val="22"/>
          <w:color w:val="auto"/>
        </w:rPr>
        <w:t>Service as an Employee shall not be deemed to cease during a period of military leave, sick leave or other personal leave approved by the Plan Administrator (or any Parent or Subsidiary) employing Participant; provided, however, that the following special provisions shall be in effect for any such leave: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38" w:name="page139"/>
    <w:bookmarkEnd w:id="138"/>
    <w:p>
      <w:pPr>
        <w:jc w:val="both"/>
        <w:ind w:left="660" w:firstLine="1940"/>
        <w:spacing w:after="0" w:line="287" w:lineRule="auto"/>
        <w:tabs>
          <w:tab w:leader="none" w:pos="3252" w:val="left"/>
        </w:tabs>
        <w:numPr>
          <w:ilvl w:val="0"/>
          <w:numId w:val="145"/>
        </w:numPr>
        <w:rPr>
          <w:rFonts w:ascii="Arial" w:cs="Arial" w:eastAsia="Arial" w:hAnsi="Arial"/>
          <w:sz w:val="19"/>
          <w:szCs w:val="19"/>
          <w:color w:val="auto"/>
        </w:rPr>
      </w:pPr>
      <w:r>
        <w:rPr>
          <w:rFonts w:ascii="Arial" w:cs="Arial" w:eastAsia="Arial" w:hAnsi="Arial"/>
          <w:sz w:val="19"/>
          <w:szCs w:val="19"/>
          <w:color w:val="auto"/>
        </w:rPr>
        <w:t>Should the period of such leave (other than a disability leave) exceed six (6) months, then Participant shall be deemed to cease Service and to incur a Separation from Service upon the expiration of the initial six (6)-month period of that leave, unless Participant retains a right to re-employment under applicable law or by contract with the Corporation (or any Parent or Subsidiary).</w:t>
      </w:r>
    </w:p>
    <w:p>
      <w:pPr>
        <w:spacing w:after="0" w:line="169" w:lineRule="exact"/>
        <w:rPr>
          <w:rFonts w:ascii="Arial" w:cs="Arial" w:eastAsia="Arial" w:hAnsi="Arial"/>
          <w:sz w:val="19"/>
          <w:szCs w:val="19"/>
          <w:color w:val="auto"/>
        </w:rPr>
      </w:pPr>
    </w:p>
    <w:p>
      <w:pPr>
        <w:jc w:val="both"/>
        <w:ind w:left="660" w:firstLine="1940"/>
        <w:spacing w:after="0" w:line="275" w:lineRule="auto"/>
        <w:tabs>
          <w:tab w:leader="none" w:pos="3252" w:val="left"/>
        </w:tabs>
        <w:numPr>
          <w:ilvl w:val="0"/>
          <w:numId w:val="145"/>
        </w:numPr>
        <w:rPr>
          <w:rFonts w:ascii="Arial" w:cs="Arial" w:eastAsia="Arial" w:hAnsi="Arial"/>
          <w:sz w:val="19"/>
          <w:szCs w:val="19"/>
          <w:color w:val="auto"/>
        </w:rPr>
      </w:pPr>
      <w:r>
        <w:rPr>
          <w:rFonts w:ascii="Arial" w:cs="Arial" w:eastAsia="Arial" w:hAnsi="Arial"/>
          <w:sz w:val="19"/>
          <w:szCs w:val="19"/>
          <w:color w:val="auto"/>
        </w:rPr>
        <w:t>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spacing w:after="0" w:line="184" w:lineRule="exact"/>
        <w:rPr>
          <w:rFonts w:ascii="Arial" w:cs="Arial" w:eastAsia="Arial" w:hAnsi="Arial"/>
          <w:sz w:val="19"/>
          <w:szCs w:val="19"/>
          <w:color w:val="auto"/>
        </w:rPr>
      </w:pPr>
    </w:p>
    <w:p>
      <w:pPr>
        <w:jc w:val="both"/>
        <w:ind w:left="660" w:firstLine="1940"/>
        <w:spacing w:after="0" w:line="257" w:lineRule="auto"/>
        <w:tabs>
          <w:tab w:leader="none" w:pos="3265" w:val="left"/>
        </w:tabs>
        <w:numPr>
          <w:ilvl w:val="0"/>
          <w:numId w:val="145"/>
        </w:numPr>
        <w:rPr>
          <w:rFonts w:ascii="Arial" w:cs="Arial" w:eastAsia="Arial" w:hAnsi="Arial"/>
          <w:sz w:val="21"/>
          <w:szCs w:val="21"/>
          <w:color w:val="auto"/>
        </w:rPr>
      </w:pPr>
      <w:r>
        <w:rPr>
          <w:rFonts w:ascii="Arial" w:cs="Arial" w:eastAsia="Arial" w:hAnsi="Arial"/>
          <w:sz w:val="21"/>
          <w:szCs w:val="21"/>
          <w:color w:val="auto"/>
        </w:rPr>
        <w:t>Except to the extent otherwise required by law or expressly authorized by the Plan Administrator or by the Corporation’s written policy on leaves of absence no Service credit shall be given for vesting purposes for any period Participant is on a leave of absence.</w:t>
      </w:r>
    </w:p>
    <w:p>
      <w:pPr>
        <w:spacing w:after="0" w:line="196" w:lineRule="exact"/>
        <w:rPr>
          <w:sz w:val="20"/>
          <w:szCs w:val="20"/>
          <w:color w:val="auto"/>
        </w:rPr>
      </w:pPr>
    </w:p>
    <w:p>
      <w:pPr>
        <w:jc w:val="both"/>
        <w:ind w:left="660" w:firstLine="644"/>
        <w:spacing w:after="0" w:line="257" w:lineRule="auto"/>
        <w:tabs>
          <w:tab w:leader="none" w:pos="1956" w:val="left"/>
        </w:tabs>
        <w:numPr>
          <w:ilvl w:val="0"/>
          <w:numId w:val="146"/>
        </w:numPr>
        <w:rPr>
          <w:rFonts w:ascii="Arial" w:cs="Arial" w:eastAsia="Arial" w:hAnsi="Arial"/>
          <w:sz w:val="21"/>
          <w:szCs w:val="21"/>
          <w:color w:val="auto"/>
        </w:rPr>
      </w:pPr>
      <w:r>
        <w:rPr>
          <w:rFonts w:ascii="Arial" w:cs="Arial" w:eastAsia="Arial" w:hAnsi="Arial"/>
          <w:sz w:val="21"/>
          <w:szCs w:val="21"/>
          <w:color w:val="auto"/>
        </w:rPr>
        <w:t>Notwithstanding anything to the contrary in the foregoing provisions of this Service definition, the Participant shall in all events be deemed to cease Service for all purposes of this Award immediately upon Participant’s incurrence of a Separation from Service.</w:t>
      </w:r>
    </w:p>
    <w:p>
      <w:pPr>
        <w:spacing w:after="0" w:line="190" w:lineRule="exact"/>
        <w:rPr>
          <w:sz w:val="20"/>
          <w:szCs w:val="20"/>
          <w:color w:val="auto"/>
        </w:rPr>
      </w:pPr>
    </w:p>
    <w:p>
      <w:pPr>
        <w:ind w:left="1960" w:hanging="656"/>
        <w:spacing w:after="0"/>
        <w:tabs>
          <w:tab w:leader="none" w:pos="1960" w:val="left"/>
        </w:tabs>
        <w:numPr>
          <w:ilvl w:val="0"/>
          <w:numId w:val="147"/>
        </w:numPr>
        <w:rPr>
          <w:rFonts w:ascii="Arial" w:cs="Arial" w:eastAsia="Arial" w:hAnsi="Arial"/>
          <w:sz w:val="21"/>
          <w:szCs w:val="21"/>
          <w:color w:val="auto"/>
        </w:rPr>
      </w:pPr>
      <w:r>
        <w:rPr>
          <w:rFonts w:ascii="Arial" w:cs="Arial" w:eastAsia="Arial" w:hAnsi="Arial"/>
          <w:sz w:val="21"/>
          <w:szCs w:val="21"/>
          <w:b w:val="1"/>
          <w:bCs w:val="1"/>
          <w:u w:val="single" w:color="auto"/>
          <w:color w:val="auto"/>
        </w:rPr>
        <w:t>Service Vesting Date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three (3)-year anniversary of the Award Date.</w:t>
      </w:r>
    </w:p>
    <w:p>
      <w:pPr>
        <w:spacing w:after="0" w:line="217" w:lineRule="exact"/>
        <w:rPr>
          <w:rFonts w:ascii="Arial" w:cs="Arial" w:eastAsia="Arial" w:hAnsi="Arial"/>
          <w:sz w:val="21"/>
          <w:szCs w:val="21"/>
          <w:color w:val="auto"/>
        </w:rPr>
      </w:pPr>
    </w:p>
    <w:p>
      <w:pPr>
        <w:ind w:firstLine="1304"/>
        <w:spacing w:after="0" w:line="256" w:lineRule="auto"/>
        <w:tabs>
          <w:tab w:leader="none" w:pos="1944" w:val="left"/>
        </w:tabs>
        <w:numPr>
          <w:ilvl w:val="0"/>
          <w:numId w:val="147"/>
        </w:numPr>
        <w:rPr>
          <w:rFonts w:ascii="Arial" w:cs="Arial" w:eastAsia="Arial" w:hAnsi="Arial"/>
          <w:sz w:val="22"/>
          <w:szCs w:val="22"/>
          <w:color w:val="auto"/>
        </w:rPr>
      </w:pPr>
      <w:r>
        <w:rPr>
          <w:rFonts w:ascii="Arial" w:cs="Arial" w:eastAsia="Arial" w:hAnsi="Arial"/>
          <w:sz w:val="22"/>
          <w:szCs w:val="22"/>
          <w:b w:val="1"/>
          <w:bCs w:val="1"/>
          <w:u w:val="single" w:color="auto"/>
          <w:color w:val="auto"/>
        </w:rPr>
        <w:t>Shares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shares of Common Stock which may vest and become issuable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Award pursuant to the terms of this Agreement and the Award Notice.</w:t>
      </w:r>
    </w:p>
    <w:p>
      <w:pPr>
        <w:spacing w:after="0" w:line="162" w:lineRule="exact"/>
        <w:rPr>
          <w:rFonts w:ascii="Arial" w:cs="Arial" w:eastAsia="Arial" w:hAnsi="Arial"/>
          <w:sz w:val="22"/>
          <w:szCs w:val="22"/>
          <w:color w:val="auto"/>
        </w:rPr>
      </w:pPr>
    </w:p>
    <w:p>
      <w:pPr>
        <w:ind w:firstLine="1304"/>
        <w:spacing w:after="0" w:line="334" w:lineRule="auto"/>
        <w:tabs>
          <w:tab w:leader="none" w:pos="1944" w:val="left"/>
        </w:tabs>
        <w:numPr>
          <w:ilvl w:val="0"/>
          <w:numId w:val="147"/>
        </w:numPr>
        <w:rPr>
          <w:rFonts w:ascii="Arial" w:cs="Arial" w:eastAsia="Arial" w:hAnsi="Arial"/>
          <w:sz w:val="19"/>
          <w:szCs w:val="19"/>
          <w:color w:val="auto"/>
        </w:rPr>
      </w:pPr>
      <w:r>
        <w:rPr>
          <w:rFonts w:ascii="Arial" w:cs="Arial" w:eastAsia="Arial" w:hAnsi="Arial"/>
          <w:sz w:val="19"/>
          <w:szCs w:val="19"/>
          <w:b w:val="1"/>
          <w:bCs w:val="1"/>
          <w:u w:val="single" w:color="auto"/>
          <w:color w:val="auto"/>
        </w:rPr>
        <w:t>Target Level Attainment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Corporation’s achievement of the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Goal set forth in Schedule I to the Award Notice at the level designated as Target Level attainment for that goal.</w:t>
      </w:r>
    </w:p>
    <w:p>
      <w:pPr>
        <w:spacing w:after="0" w:line="93" w:lineRule="exact"/>
        <w:rPr>
          <w:rFonts w:ascii="Arial" w:cs="Arial" w:eastAsia="Arial" w:hAnsi="Arial"/>
          <w:sz w:val="19"/>
          <w:szCs w:val="19"/>
          <w:color w:val="auto"/>
        </w:rPr>
      </w:pPr>
    </w:p>
    <w:p>
      <w:pPr>
        <w:jc w:val="both"/>
        <w:ind w:firstLine="1304"/>
        <w:spacing w:after="0" w:line="239" w:lineRule="auto"/>
        <w:tabs>
          <w:tab w:leader="none" w:pos="1944" w:val="left"/>
        </w:tabs>
        <w:numPr>
          <w:ilvl w:val="0"/>
          <w:numId w:val="147"/>
        </w:numPr>
        <w:rPr>
          <w:rFonts w:ascii="Arial" w:cs="Arial" w:eastAsia="Arial" w:hAnsi="Arial"/>
          <w:sz w:val="22"/>
          <w:szCs w:val="22"/>
          <w:color w:val="auto"/>
        </w:rPr>
      </w:pPr>
      <w:r>
        <w:rPr>
          <w:rFonts w:ascii="Arial" w:cs="Arial" w:eastAsia="Arial" w:hAnsi="Arial"/>
          <w:sz w:val="22"/>
          <w:szCs w:val="22"/>
          <w:b w:val="1"/>
          <w:bCs w:val="1"/>
          <w:u w:val="single" w:color="auto"/>
          <w:color w:val="auto"/>
        </w:rPr>
        <w:t>Vested Percentage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(i) fifty percent (50%) if the Change in Control is</w:t>
      </w:r>
      <w:r>
        <w:rPr>
          <w:rFonts w:ascii="Arial" w:cs="Arial" w:eastAsia="Arial" w:hAnsi="Arial"/>
          <w:sz w:val="22"/>
          <w:szCs w:val="22"/>
          <w:b w:val="1"/>
          <w:bCs w:val="1"/>
          <w:color w:val="auto"/>
        </w:rPr>
        <w:t xml:space="preserve"> </w:t>
      </w:r>
      <w:r>
        <w:rPr>
          <w:rFonts w:ascii="Arial" w:cs="Arial" w:eastAsia="Arial" w:hAnsi="Arial"/>
          <w:sz w:val="22"/>
          <w:szCs w:val="22"/>
          <w:color w:val="auto"/>
        </w:rPr>
        <w:t>consummated during the first eighteen (18) months of the Performance Period and (ii) one hundred percent (100%) if the Change in Control is consummated after the first eighteen (18) months of the Performance Period, but prior to the completion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39" w:name="page140"/>
    <w:bookmarkEnd w:id="139"/>
    <w:p>
      <w:pPr>
        <w:jc w:val="center"/>
        <w:spacing w:after="0"/>
        <w:rPr>
          <w:sz w:val="20"/>
          <w:szCs w:val="20"/>
          <w:color w:val="auto"/>
        </w:rPr>
      </w:pPr>
      <w:r>
        <w:rPr>
          <w:rFonts w:ascii="Arial" w:cs="Arial" w:eastAsia="Arial" w:hAnsi="Arial"/>
          <w:sz w:val="22"/>
          <w:szCs w:val="22"/>
          <w:b w:val="1"/>
          <w:bCs w:val="1"/>
          <w:color w:val="auto"/>
        </w:rPr>
        <w:t>APPENDIX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ILLUSTRATION OF VESTING CALCULATIONS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examples are for illustration purposes only:</w:t>
      </w:r>
    </w:p>
    <w:p>
      <w:pPr>
        <w:spacing w:after="0" w:line="206" w:lineRule="exact"/>
        <w:rPr>
          <w:sz w:val="20"/>
          <w:szCs w:val="20"/>
          <w:color w:val="auto"/>
        </w:rPr>
      </w:pPr>
    </w:p>
    <w:p>
      <w:pPr>
        <w:jc w:val="both"/>
        <w:ind w:firstLine="8"/>
        <w:spacing w:after="0" w:line="236" w:lineRule="auto"/>
        <w:tabs>
          <w:tab w:leader="none" w:pos="324" w:val="left"/>
        </w:tabs>
        <w:numPr>
          <w:ilvl w:val="0"/>
          <w:numId w:val="148"/>
        </w:numPr>
        <w:rPr>
          <w:rFonts w:ascii="Arial" w:cs="Arial" w:eastAsia="Arial" w:hAnsi="Arial"/>
          <w:sz w:val="22"/>
          <w:szCs w:val="22"/>
          <w:color w:val="auto"/>
        </w:rPr>
      </w:pPr>
      <w:r>
        <w:rPr>
          <w:rFonts w:ascii="Arial" w:cs="Arial" w:eastAsia="Arial" w:hAnsi="Arial"/>
          <w:sz w:val="22"/>
          <w:szCs w:val="22"/>
          <w:color w:val="auto"/>
        </w:rPr>
        <w:t>Participant receives an Award for 100 Shares at Target Level and Participant continues in Service until the expiration of the requisite three (3)-year Service vesting period. If the Performance Goal is attained at the Target Level, Participant shall vest in 100 Shares upon the Service Vesting Date. If the Performance Goal is attained at the Extraordinary Level, Participant shall vest in an additional 150 Shares for a total of 250 Shares following the completion of the Performance Period.</w:t>
      </w:r>
    </w:p>
    <w:p>
      <w:pPr>
        <w:spacing w:after="0" w:line="187" w:lineRule="exact"/>
        <w:rPr>
          <w:rFonts w:ascii="Arial" w:cs="Arial" w:eastAsia="Arial" w:hAnsi="Arial"/>
          <w:sz w:val="22"/>
          <w:szCs w:val="22"/>
          <w:color w:val="auto"/>
        </w:rPr>
      </w:pPr>
    </w:p>
    <w:p>
      <w:pPr>
        <w:jc w:val="both"/>
        <w:ind w:firstLine="8"/>
        <w:spacing w:after="0" w:line="287" w:lineRule="auto"/>
        <w:tabs>
          <w:tab w:leader="none" w:pos="324" w:val="left"/>
        </w:tabs>
        <w:numPr>
          <w:ilvl w:val="0"/>
          <w:numId w:val="148"/>
        </w:numPr>
        <w:rPr>
          <w:rFonts w:ascii="Arial" w:cs="Arial" w:eastAsia="Arial" w:hAnsi="Arial"/>
          <w:sz w:val="19"/>
          <w:szCs w:val="19"/>
          <w:color w:val="auto"/>
        </w:rPr>
      </w:pPr>
      <w:r>
        <w:rPr>
          <w:rFonts w:ascii="Arial" w:cs="Arial" w:eastAsia="Arial" w:hAnsi="Arial"/>
          <w:sz w:val="19"/>
          <w:szCs w:val="19"/>
          <w:color w:val="auto"/>
        </w:rPr>
        <w:t>Participant receives an Award for 100 Shares at Target Level and Participant ceases Service due to Permanent Disability halfway through the Performance Period. If the Performance Goal is attained at the Target Level, Participant shall vest in 50 of the Shares. On the other hand, if the Performance Goal is attained at the Extraordinary Level, Participant shall vest in an additional 75 Shares for a total of 125 Shares.</w:t>
      </w:r>
    </w:p>
    <w:p>
      <w:pPr>
        <w:spacing w:after="0" w:line="142" w:lineRule="exact"/>
        <w:rPr>
          <w:rFonts w:ascii="Arial" w:cs="Arial" w:eastAsia="Arial" w:hAnsi="Arial"/>
          <w:sz w:val="19"/>
          <w:szCs w:val="19"/>
          <w:color w:val="auto"/>
        </w:rPr>
      </w:pPr>
    </w:p>
    <w:p>
      <w:pPr>
        <w:jc w:val="both"/>
        <w:ind w:firstLine="8"/>
        <w:spacing w:after="0" w:line="235" w:lineRule="auto"/>
        <w:tabs>
          <w:tab w:leader="none" w:pos="324" w:val="left"/>
        </w:tabs>
        <w:numPr>
          <w:ilvl w:val="0"/>
          <w:numId w:val="148"/>
        </w:numPr>
        <w:rPr>
          <w:rFonts w:ascii="Arial" w:cs="Arial" w:eastAsia="Arial" w:hAnsi="Arial"/>
          <w:sz w:val="22"/>
          <w:szCs w:val="22"/>
          <w:color w:val="auto"/>
        </w:rPr>
      </w:pPr>
      <w:r>
        <w:rPr>
          <w:rFonts w:ascii="Arial" w:cs="Arial" w:eastAsia="Arial" w:hAnsi="Arial"/>
          <w:sz w:val="22"/>
          <w:szCs w:val="22"/>
          <w:color w:val="auto"/>
        </w:rPr>
        <w:t>Participant receives an Award for 100 Shares at Target Level and Participant continues in Service until the Service Vesting Date. If the Performance Goal is attained at a point halfway between the Threshold and Target Levels, Participant would vest in 63 of the Shares following the completion of the Performance Period upon the Service Vesting Date. On the other hand, if the Performance Goal is attained at a point halfway between the Target and Extraordinary Levels, Participant would vest in 175 of the Shares following the completion of the Performance Period.</w:t>
      </w:r>
    </w:p>
    <w:p>
      <w:pPr>
        <w:spacing w:after="0" w:line="187" w:lineRule="exact"/>
        <w:rPr>
          <w:rFonts w:ascii="Arial" w:cs="Arial" w:eastAsia="Arial" w:hAnsi="Arial"/>
          <w:sz w:val="22"/>
          <w:szCs w:val="22"/>
          <w:color w:val="auto"/>
        </w:rPr>
      </w:pPr>
    </w:p>
    <w:p>
      <w:pPr>
        <w:jc w:val="both"/>
        <w:ind w:firstLine="8"/>
        <w:spacing w:after="0" w:line="235" w:lineRule="auto"/>
        <w:tabs>
          <w:tab w:leader="none" w:pos="381" w:val="left"/>
        </w:tabs>
        <w:numPr>
          <w:ilvl w:val="0"/>
          <w:numId w:val="148"/>
        </w:numPr>
        <w:rPr>
          <w:rFonts w:ascii="Arial" w:cs="Arial" w:eastAsia="Arial" w:hAnsi="Arial"/>
          <w:sz w:val="22"/>
          <w:szCs w:val="22"/>
          <w:color w:val="auto"/>
        </w:rPr>
      </w:pPr>
      <w:r>
        <w:rPr>
          <w:rFonts w:ascii="Arial" w:cs="Arial" w:eastAsia="Arial" w:hAnsi="Arial"/>
          <w:sz w:val="22"/>
          <w:szCs w:val="22"/>
          <w:color w:val="auto"/>
        </w:rPr>
        <w:t>Participant receives an Award for 100 Shares at Target Level and Participant ceases Service due to Permanent Disability halfway through the Performance Period. If the Performance Goal is attained at a point halfway between the Threshold and Target Levels, Participant would vest in 32 of the Shares following the completion of the Performance Period. On the other hand, if the Performance Goal is attained at a point halfway between the Target and Extraordinary Levels, Participant would vest in 88 of the Shares following the completion of the Performance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b w:val="1"/>
          <w:bCs w:val="1"/>
          <w:color w:val="auto"/>
        </w:rPr>
        <w:t>Exhibit 10.49</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Performance Share Award Package - Non-Executives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MATSON,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OF AWARD OF PERFORMANCE SHARES</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Corporation hereby awards to Participant, as of the Award Date indicated below, an award (the “Award”) of Performance Shares under the Corporation’s 2016 Incentive Compensation Plan (as amended from time to time, the “Plan”). Each Performance Share represents the right to receive one or more shares of Common Stock on the applicable issuance date following the vesting of that Performance Share. The number of Performance Shares subject to this Award and the applicable performance vesting requirements for those Performance Shares and the underlying shares are set forth below. The remaining terms and conditions governing the Award, including the applicable service vesting requirements and the applicable issuance date or dates for the shares of Common Stock that vest under the Award, shall be as set forth in the form Performance Share Award Agreement for Awards with combined performance and service vesting requirements.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340" w:type="dxa"/>
            <w:vAlign w:val="bottom"/>
          </w:tcPr>
          <w:p>
            <w:pPr>
              <w:ind w:left="380"/>
              <w:spacing w:after="0"/>
              <w:rPr>
                <w:sz w:val="20"/>
                <w:szCs w:val="20"/>
                <w:color w:val="auto"/>
              </w:rPr>
            </w:pPr>
            <w:r>
              <w:rPr>
                <w:rFonts w:ascii="Arial" w:cs="Arial" w:eastAsia="Arial" w:hAnsi="Arial"/>
                <w:sz w:val="22"/>
                <w:szCs w:val="22"/>
                <w:b w:val="1"/>
                <w:bCs w:val="1"/>
                <w:color w:val="auto"/>
              </w:rPr>
              <w:t>AWARD SUMMARY</w:t>
            </w:r>
          </w:p>
        </w:tc>
      </w:tr>
      <w:tr>
        <w:trPr>
          <w:trHeight w:val="422"/>
        </w:trPr>
        <w:tc>
          <w:tcPr>
            <w:tcW w:w="2000" w:type="dxa"/>
            <w:vAlign w:val="bottom"/>
            <w:gridSpan w:val="5"/>
          </w:tcPr>
          <w:p>
            <w:pPr>
              <w:spacing w:after="0"/>
              <w:rPr>
                <w:sz w:val="20"/>
                <w:szCs w:val="20"/>
                <w:color w:val="auto"/>
              </w:rPr>
            </w:pPr>
            <w:r>
              <w:rPr>
                <w:rFonts w:ascii="Arial" w:cs="Arial" w:eastAsia="Arial" w:hAnsi="Arial"/>
                <w:sz w:val="22"/>
                <w:szCs w:val="22"/>
                <w:color w:val="auto"/>
              </w:rPr>
              <w:t>Participant</w:t>
            </w:r>
          </w:p>
        </w:tc>
        <w:tc>
          <w:tcPr>
            <w:tcW w:w="158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466"/>
        </w:trPr>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9"/>
              </w:rPr>
              <w:t>Award Date:</w:t>
            </w:r>
          </w:p>
        </w:tc>
        <w:tc>
          <w:tcPr>
            <w:tcW w:w="900" w:type="dxa"/>
            <w:vAlign w:val="bottom"/>
            <w:gridSpan w:val="3"/>
          </w:tcPr>
          <w:p>
            <w:pPr>
              <w:spacing w:after="0"/>
              <w:rPr>
                <w:sz w:val="24"/>
                <w:szCs w:val="24"/>
                <w:color w:val="auto"/>
              </w:rPr>
            </w:pPr>
          </w:p>
        </w:tc>
        <w:tc>
          <w:tcPr>
            <w:tcW w:w="158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466"/>
        </w:trPr>
        <w:tc>
          <w:tcPr>
            <w:tcW w:w="2000" w:type="dxa"/>
            <w:vAlign w:val="bottom"/>
            <w:gridSpan w:val="5"/>
          </w:tcPr>
          <w:p>
            <w:pPr>
              <w:spacing w:after="0"/>
              <w:rPr>
                <w:sz w:val="20"/>
                <w:szCs w:val="20"/>
                <w:color w:val="auto"/>
              </w:rPr>
            </w:pPr>
            <w:r>
              <w:rPr>
                <w:rFonts w:ascii="Arial" w:cs="Arial" w:eastAsia="Arial" w:hAnsi="Arial"/>
                <w:sz w:val="22"/>
                <w:szCs w:val="22"/>
                <w:color w:val="auto"/>
                <w:w w:val="95"/>
              </w:rPr>
              <w:t>Performance Shares:</w:t>
            </w:r>
          </w:p>
        </w:tc>
        <w:tc>
          <w:tcPr>
            <w:tcW w:w="7920" w:type="dxa"/>
            <w:vAlign w:val="bottom"/>
            <w:gridSpan w:val="2"/>
          </w:tcPr>
          <w:p>
            <w:pPr>
              <w:spacing w:after="0"/>
              <w:rPr>
                <w:sz w:val="20"/>
                <w:szCs w:val="20"/>
                <w:color w:val="auto"/>
              </w:rPr>
            </w:pPr>
            <w:r>
              <w:rPr>
                <w:rFonts w:ascii="Arial" w:cs="Arial" w:eastAsia="Arial" w:hAnsi="Arial"/>
                <w:sz w:val="22"/>
                <w:szCs w:val="22"/>
                <w:color w:val="auto"/>
              </w:rPr>
              <w:t>The number of shares of Common Stock issuable pursuant to the Award shall be</w:t>
            </w:r>
          </w:p>
        </w:tc>
      </w:tr>
      <w:tr>
        <w:trPr>
          <w:trHeight w:val="242"/>
        </w:trPr>
        <w:tc>
          <w:tcPr>
            <w:tcW w:w="9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920" w:type="dxa"/>
            <w:vAlign w:val="bottom"/>
            <w:gridSpan w:val="2"/>
          </w:tcPr>
          <w:p>
            <w:pPr>
              <w:spacing w:after="0" w:line="242" w:lineRule="exact"/>
              <w:rPr>
                <w:sz w:val="20"/>
                <w:szCs w:val="20"/>
                <w:color w:val="auto"/>
              </w:rPr>
            </w:pPr>
            <w:r>
              <w:rPr>
                <w:rFonts w:ascii="Arial" w:cs="Arial" w:eastAsia="Arial" w:hAnsi="Arial"/>
                <w:sz w:val="22"/>
                <w:szCs w:val="22"/>
                <w:color w:val="auto"/>
                <w:w w:val="88"/>
              </w:rPr>
              <w:t>determined in accordance with the Vesting Schedule below. For purposes of the percentage</w:t>
            </w: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920" w:type="dxa"/>
            <w:vAlign w:val="bottom"/>
            <w:gridSpan w:val="2"/>
          </w:tcPr>
          <w:p>
            <w:pPr>
              <w:spacing w:after="0" w:line="243" w:lineRule="exact"/>
              <w:rPr>
                <w:sz w:val="20"/>
                <w:szCs w:val="20"/>
                <w:color w:val="auto"/>
              </w:rPr>
            </w:pPr>
            <w:r>
              <w:rPr>
                <w:rFonts w:ascii="Arial" w:cs="Arial" w:eastAsia="Arial" w:hAnsi="Arial"/>
                <w:sz w:val="22"/>
                <w:szCs w:val="22"/>
                <w:color w:val="auto"/>
                <w:w w:val="91"/>
              </w:rPr>
              <w:t>calculations set forth in the performance vesting section of such schedule, the number of</w:t>
            </w: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920" w:type="dxa"/>
            <w:vAlign w:val="bottom"/>
            <w:gridSpan w:val="2"/>
          </w:tcPr>
          <w:p>
            <w:pPr>
              <w:spacing w:after="0" w:line="243" w:lineRule="exact"/>
              <w:rPr>
                <w:sz w:val="20"/>
                <w:szCs w:val="20"/>
                <w:color w:val="auto"/>
              </w:rPr>
            </w:pPr>
            <w:r>
              <w:rPr>
                <w:rFonts w:ascii="Arial" w:cs="Arial" w:eastAsia="Arial" w:hAnsi="Arial"/>
                <w:sz w:val="22"/>
                <w:szCs w:val="22"/>
                <w:color w:val="auto"/>
                <w:w w:val="91"/>
              </w:rPr>
              <w:t>shares of Common Stock to be utilized is  ____ shares (the “Performance Shares”).  The</w:t>
            </w: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920" w:type="dxa"/>
            <w:vAlign w:val="bottom"/>
            <w:gridSpan w:val="2"/>
          </w:tcPr>
          <w:p>
            <w:pPr>
              <w:spacing w:after="0" w:line="243" w:lineRule="exact"/>
              <w:rPr>
                <w:sz w:val="20"/>
                <w:szCs w:val="20"/>
                <w:color w:val="auto"/>
              </w:rPr>
            </w:pPr>
            <w:r>
              <w:rPr>
                <w:rFonts w:ascii="Arial" w:cs="Arial" w:eastAsia="Arial" w:hAnsi="Arial"/>
                <w:sz w:val="22"/>
                <w:szCs w:val="22"/>
                <w:color w:val="auto"/>
                <w:w w:val="88"/>
              </w:rPr>
              <w:t>specific number of Performance Shares set forth in this paragraph shall be referred to as the</w:t>
            </w:r>
          </w:p>
        </w:tc>
      </w:tr>
      <w:tr>
        <w:trPr>
          <w:trHeight w:val="274"/>
        </w:trPr>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920" w:type="dxa"/>
            <w:vAlign w:val="bottom"/>
            <w:gridSpan w:val="2"/>
          </w:tcPr>
          <w:p>
            <w:pPr>
              <w:spacing w:after="0"/>
              <w:rPr>
                <w:sz w:val="20"/>
                <w:szCs w:val="20"/>
                <w:color w:val="auto"/>
              </w:rPr>
            </w:pPr>
            <w:r>
              <w:rPr>
                <w:rFonts w:ascii="Arial" w:cs="Arial" w:eastAsia="Arial" w:hAnsi="Arial"/>
                <w:sz w:val="22"/>
                <w:szCs w:val="22"/>
                <w:color w:val="auto"/>
              </w:rPr>
              <w:t>“Designated Shares”.</w:t>
            </w:r>
          </w:p>
        </w:tc>
      </w:tr>
      <w:tr>
        <w:trPr>
          <w:trHeight w:val="435"/>
        </w:trPr>
        <w:tc>
          <w:tcPr>
            <w:tcW w:w="2000" w:type="dxa"/>
            <w:vAlign w:val="bottom"/>
            <w:gridSpan w:val="5"/>
          </w:tcPr>
          <w:p>
            <w:pPr>
              <w:spacing w:after="0"/>
              <w:rPr>
                <w:sz w:val="20"/>
                <w:szCs w:val="20"/>
                <w:color w:val="auto"/>
              </w:rPr>
            </w:pPr>
            <w:r>
              <w:rPr>
                <w:rFonts w:ascii="Arial" w:cs="Arial" w:eastAsia="Arial" w:hAnsi="Arial"/>
                <w:sz w:val="22"/>
                <w:szCs w:val="22"/>
                <w:color w:val="auto"/>
              </w:rPr>
              <w:t>Vesting Schedule:</w:t>
            </w:r>
          </w:p>
        </w:tc>
        <w:tc>
          <w:tcPr>
            <w:tcW w:w="7920" w:type="dxa"/>
            <w:vAlign w:val="bottom"/>
            <w:gridSpan w:val="2"/>
          </w:tcPr>
          <w:p>
            <w:pPr>
              <w:spacing w:after="0"/>
              <w:rPr>
                <w:sz w:val="20"/>
                <w:szCs w:val="20"/>
                <w:color w:val="auto"/>
              </w:rPr>
            </w:pPr>
            <w:r>
              <w:rPr>
                <w:rFonts w:ascii="Arial" w:cs="Arial" w:eastAsia="Arial" w:hAnsi="Arial"/>
                <w:sz w:val="22"/>
                <w:szCs w:val="22"/>
                <w:color w:val="auto"/>
                <w:w w:val="93"/>
              </w:rPr>
              <w:t>The number of shares of Common Stock which may actually vest and become issuable</w:t>
            </w:r>
          </w:p>
        </w:tc>
      </w:tr>
      <w:tr>
        <w:trPr>
          <w:trHeight w:val="242"/>
        </w:trPr>
        <w:tc>
          <w:tcPr>
            <w:tcW w:w="9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920" w:type="dxa"/>
            <w:vAlign w:val="bottom"/>
            <w:gridSpan w:val="2"/>
          </w:tcPr>
          <w:p>
            <w:pPr>
              <w:spacing w:after="0" w:line="242" w:lineRule="exact"/>
              <w:rPr>
                <w:sz w:val="20"/>
                <w:szCs w:val="20"/>
                <w:color w:val="auto"/>
              </w:rPr>
            </w:pPr>
            <w:r>
              <w:rPr>
                <w:rFonts w:ascii="Arial" w:cs="Arial" w:eastAsia="Arial" w:hAnsi="Arial"/>
                <w:sz w:val="22"/>
                <w:szCs w:val="22"/>
                <w:color w:val="auto"/>
                <w:w w:val="92"/>
              </w:rPr>
              <w:t>pursuant to the Award shall be determined pursuant to a two-step process: (i) first there</w:t>
            </w: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920" w:type="dxa"/>
            <w:vAlign w:val="bottom"/>
            <w:gridSpan w:val="2"/>
          </w:tcPr>
          <w:p>
            <w:pPr>
              <w:spacing w:after="0" w:line="243" w:lineRule="exact"/>
              <w:rPr>
                <w:sz w:val="20"/>
                <w:szCs w:val="20"/>
                <w:color w:val="auto"/>
              </w:rPr>
            </w:pPr>
            <w:r>
              <w:rPr>
                <w:rFonts w:ascii="Arial" w:cs="Arial" w:eastAsia="Arial" w:hAnsi="Arial"/>
                <w:sz w:val="22"/>
                <w:szCs w:val="22"/>
                <w:color w:val="auto"/>
                <w:w w:val="90"/>
              </w:rPr>
              <w:t>shall be calculated the maximum number of shares of Common Stock in which Participant</w:t>
            </w: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920" w:type="dxa"/>
            <w:vAlign w:val="bottom"/>
            <w:gridSpan w:val="2"/>
          </w:tcPr>
          <w:p>
            <w:pPr>
              <w:spacing w:after="0" w:line="243" w:lineRule="exact"/>
              <w:rPr>
                <w:sz w:val="20"/>
                <w:szCs w:val="20"/>
                <w:color w:val="auto"/>
              </w:rPr>
            </w:pPr>
            <w:r>
              <w:rPr>
                <w:rFonts w:ascii="Arial" w:cs="Arial" w:eastAsia="Arial" w:hAnsi="Arial"/>
                <w:sz w:val="22"/>
                <w:szCs w:val="22"/>
                <w:color w:val="auto"/>
                <w:w w:val="89"/>
              </w:rPr>
              <w:t>can vest under the performance vesting section below based upon the actual level at which</w:t>
            </w: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920" w:type="dxa"/>
            <w:vAlign w:val="bottom"/>
            <w:gridSpan w:val="2"/>
          </w:tcPr>
          <w:p>
            <w:pPr>
              <w:spacing w:after="0" w:line="243" w:lineRule="exact"/>
              <w:rPr>
                <w:sz w:val="20"/>
                <w:szCs w:val="20"/>
                <w:color w:val="auto"/>
              </w:rPr>
            </w:pPr>
            <w:r>
              <w:rPr>
                <w:rFonts w:ascii="Arial" w:cs="Arial" w:eastAsia="Arial" w:hAnsi="Arial"/>
                <w:sz w:val="22"/>
                <w:szCs w:val="22"/>
                <w:color w:val="auto"/>
                <w:w w:val="89"/>
              </w:rPr>
              <w:t>the Performance Goal specified on attached Schedule I is attained and (ii) then the number</w:t>
            </w: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920" w:type="dxa"/>
            <w:vAlign w:val="bottom"/>
            <w:gridSpan w:val="2"/>
          </w:tcPr>
          <w:p>
            <w:pPr>
              <w:spacing w:after="0" w:line="243" w:lineRule="exact"/>
              <w:rPr>
                <w:sz w:val="20"/>
                <w:szCs w:val="20"/>
                <w:color w:val="auto"/>
              </w:rPr>
            </w:pPr>
            <w:r>
              <w:rPr>
                <w:rFonts w:ascii="Arial" w:cs="Arial" w:eastAsia="Arial" w:hAnsi="Arial"/>
                <w:sz w:val="22"/>
                <w:szCs w:val="22"/>
                <w:color w:val="auto"/>
                <w:w w:val="98"/>
              </w:rPr>
              <w:t>of shares calculated under clause (i) in which Participant may actually vest shall be</w:t>
            </w: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920" w:type="dxa"/>
            <w:vAlign w:val="bottom"/>
            <w:gridSpan w:val="2"/>
          </w:tcPr>
          <w:p>
            <w:pPr>
              <w:spacing w:after="0" w:line="243" w:lineRule="exact"/>
              <w:rPr>
                <w:sz w:val="20"/>
                <w:szCs w:val="20"/>
                <w:color w:val="auto"/>
              </w:rPr>
            </w:pPr>
            <w:r>
              <w:rPr>
                <w:rFonts w:ascii="Arial" w:cs="Arial" w:eastAsia="Arial" w:hAnsi="Arial"/>
                <w:sz w:val="22"/>
                <w:szCs w:val="22"/>
                <w:color w:val="auto"/>
                <w:w w:val="99"/>
              </w:rPr>
              <w:t>determined on the basis of his or her satisfaction of the applicable Service vesting</w:t>
            </w:r>
          </w:p>
        </w:tc>
      </w:tr>
      <w:tr>
        <w:trPr>
          <w:trHeight w:val="274"/>
        </w:trPr>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920" w:type="dxa"/>
            <w:vAlign w:val="bottom"/>
            <w:gridSpan w:val="2"/>
          </w:tcPr>
          <w:p>
            <w:pPr>
              <w:spacing w:after="0"/>
              <w:rPr>
                <w:sz w:val="20"/>
                <w:szCs w:val="20"/>
                <w:color w:val="auto"/>
              </w:rPr>
            </w:pPr>
            <w:r>
              <w:rPr>
                <w:rFonts w:ascii="Arial" w:cs="Arial" w:eastAsia="Arial" w:hAnsi="Arial"/>
                <w:sz w:val="22"/>
                <w:szCs w:val="22"/>
                <w:color w:val="auto"/>
              </w:rPr>
              <w:t>requirements set forth in the form Performance Share Award Agreement.</w:t>
            </w:r>
          </w:p>
        </w:tc>
      </w:tr>
      <w:tr>
        <w:trPr>
          <w:trHeight w:val="428"/>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20" w:type="dxa"/>
            <w:vAlign w:val="bottom"/>
            <w:gridSpan w:val="2"/>
          </w:tcPr>
          <w:p>
            <w:pPr>
              <w:spacing w:after="0"/>
              <w:rPr>
                <w:sz w:val="20"/>
                <w:szCs w:val="20"/>
                <w:color w:val="auto"/>
              </w:rPr>
            </w:pPr>
            <w:r>
              <w:rPr>
                <w:rFonts w:ascii="Arial" w:cs="Arial" w:eastAsia="Arial" w:hAnsi="Arial"/>
                <w:sz w:val="22"/>
                <w:szCs w:val="22"/>
                <w:b w:val="1"/>
                <w:bCs w:val="1"/>
                <w:i w:val="1"/>
                <w:iCs w:val="1"/>
                <w:color w:val="auto"/>
                <w:w w:val="93"/>
              </w:rPr>
              <w:t>Performance  Vesting</w:t>
            </w:r>
            <w:r>
              <w:rPr>
                <w:rFonts w:ascii="Arial" w:cs="Arial" w:eastAsia="Arial" w:hAnsi="Arial"/>
                <w:sz w:val="22"/>
                <w:szCs w:val="22"/>
                <w:color w:val="auto"/>
                <w:w w:val="93"/>
              </w:rPr>
              <w:t>:   Attached  Schedule  I  specifies  the  Performance  Goal  and</w:t>
            </w:r>
          </w:p>
        </w:tc>
      </w:tr>
      <w:tr>
        <w:trPr>
          <w:trHeight w:val="274"/>
        </w:trPr>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920" w:type="dxa"/>
            <w:vAlign w:val="bottom"/>
            <w:gridSpan w:val="2"/>
          </w:tcPr>
          <w:p>
            <w:pPr>
              <w:spacing w:after="0"/>
              <w:rPr>
                <w:sz w:val="20"/>
                <w:szCs w:val="20"/>
                <w:color w:val="auto"/>
              </w:rPr>
            </w:pPr>
            <w:r>
              <w:rPr>
                <w:rFonts w:ascii="Arial" w:cs="Arial" w:eastAsia="Arial" w:hAnsi="Arial"/>
                <w:sz w:val="22"/>
                <w:szCs w:val="22"/>
                <w:color w:val="auto"/>
              </w:rPr>
              <w:t>Performance Period established for the Award.</w:t>
            </w:r>
          </w:p>
        </w:tc>
      </w:tr>
      <w:tr>
        <w:trPr>
          <w:trHeight w:val="408"/>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20" w:type="dxa"/>
            <w:vAlign w:val="bottom"/>
            <w:gridSpan w:val="2"/>
          </w:tcPr>
          <w:p>
            <w:pPr>
              <w:spacing w:after="0"/>
              <w:rPr>
                <w:sz w:val="20"/>
                <w:szCs w:val="20"/>
                <w:color w:val="auto"/>
              </w:rPr>
            </w:pPr>
            <w:r>
              <w:rPr>
                <w:rFonts w:ascii="Arial" w:cs="Arial" w:eastAsia="Arial" w:hAnsi="Arial"/>
                <w:sz w:val="22"/>
                <w:szCs w:val="22"/>
                <w:color w:val="auto"/>
                <w:w w:val="90"/>
              </w:rPr>
              <w:t>Performance Goal: There are three designated levels of attainment set forth in Schedule I</w:t>
            </w: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242"/>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920" w:type="dxa"/>
            <w:vAlign w:val="bottom"/>
            <w:gridSpan w:val="2"/>
          </w:tcPr>
          <w:p>
            <w:pPr>
              <w:spacing w:after="0" w:line="242" w:lineRule="exact"/>
              <w:rPr>
                <w:sz w:val="20"/>
                <w:szCs w:val="20"/>
                <w:color w:val="auto"/>
              </w:rPr>
            </w:pPr>
            <w:r>
              <w:rPr>
                <w:rFonts w:ascii="Arial" w:cs="Arial" w:eastAsia="Arial" w:hAnsi="Arial"/>
                <w:sz w:val="22"/>
                <w:szCs w:val="22"/>
                <w:color w:val="auto"/>
                <w:w w:val="91"/>
              </w:rPr>
              <w:t>for the Performance Goal: Threshold, Target and Extraordinary. Following the completion</w:t>
            </w: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920" w:type="dxa"/>
            <w:vAlign w:val="bottom"/>
            <w:gridSpan w:val="2"/>
          </w:tcPr>
          <w:p>
            <w:pPr>
              <w:spacing w:after="0" w:line="243" w:lineRule="exact"/>
              <w:rPr>
                <w:sz w:val="20"/>
                <w:szCs w:val="20"/>
                <w:color w:val="auto"/>
              </w:rPr>
            </w:pPr>
            <w:r>
              <w:rPr>
                <w:rFonts w:ascii="Arial" w:cs="Arial" w:eastAsia="Arial" w:hAnsi="Arial"/>
                <w:sz w:val="22"/>
                <w:szCs w:val="22"/>
                <w:color w:val="auto"/>
                <w:w w:val="92"/>
              </w:rPr>
              <w:t>of the Performance Period, the Plan Administrator shall determine and certify the actual</w:t>
            </w: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920" w:type="dxa"/>
            <w:vAlign w:val="bottom"/>
            <w:gridSpan w:val="2"/>
          </w:tcPr>
          <w:p>
            <w:pPr>
              <w:spacing w:after="0" w:line="243" w:lineRule="exact"/>
              <w:rPr>
                <w:sz w:val="20"/>
                <w:szCs w:val="20"/>
                <w:color w:val="auto"/>
              </w:rPr>
            </w:pPr>
            <w:r>
              <w:rPr>
                <w:rFonts w:ascii="Arial" w:cs="Arial" w:eastAsia="Arial" w:hAnsi="Arial"/>
                <w:sz w:val="22"/>
                <w:szCs w:val="22"/>
                <w:color w:val="auto"/>
              </w:rPr>
              <w:t>level of attainment for the Performance Goal and shall then measure that level of</w:t>
            </w:r>
          </w:p>
        </w:tc>
      </w:tr>
      <w:tr>
        <w:trPr>
          <w:trHeight w:val="274"/>
        </w:trPr>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920" w:type="dxa"/>
            <w:vAlign w:val="bottom"/>
            <w:gridSpan w:val="2"/>
          </w:tcPr>
          <w:p>
            <w:pPr>
              <w:spacing w:after="0"/>
              <w:rPr>
                <w:sz w:val="20"/>
                <w:szCs w:val="20"/>
                <w:color w:val="auto"/>
              </w:rPr>
            </w:pPr>
            <w:r>
              <w:rPr>
                <w:rFonts w:ascii="Arial" w:cs="Arial" w:eastAsia="Arial" w:hAnsi="Arial"/>
                <w:sz w:val="22"/>
                <w:szCs w:val="22"/>
                <w:color w:val="auto"/>
              </w:rPr>
              <w:t>attainment</w:t>
            </w:r>
          </w:p>
        </w:tc>
      </w:tr>
      <w:tr>
        <w:trPr>
          <w:trHeight w:val="982"/>
        </w:trPr>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1" w:right="999" w:bottom="1440" w:gutter="0" w:footer="0" w:header="0"/>
        </w:sectPr>
      </w:pPr>
    </w:p>
    <w:bookmarkStart w:id="141" w:name="page142"/>
    <w:bookmarkEnd w:id="141"/>
    <w:p>
      <w:pPr>
        <w:jc w:val="both"/>
        <w:ind w:left="2000"/>
        <w:spacing w:after="0" w:line="246" w:lineRule="auto"/>
        <w:rPr>
          <w:sz w:val="20"/>
          <w:szCs w:val="20"/>
          <w:color w:val="auto"/>
        </w:rPr>
      </w:pPr>
      <w:r>
        <w:rPr>
          <w:rFonts w:ascii="Arial" w:cs="Arial" w:eastAsia="Arial" w:hAnsi="Arial"/>
          <w:sz w:val="21"/>
          <w:szCs w:val="21"/>
          <w:color w:val="auto"/>
        </w:rPr>
        <w:t>against the Threshold, Target and Extraordinary Levels set forth for that Performance Goal in attached Schedule I. The Plan Administrator generally expects to complete this determination within sixty (60) days after the end of the Performance Period. The maximum number of shares of Common Stock in which Participant can vest based upon the actual level of attainment of such Performance Goal shall be determined by applying the corresponding percentage below for that level of attainment to the number of Designated Shares set forth above:</w:t>
      </w:r>
    </w:p>
    <w:p>
      <w:pPr>
        <w:spacing w:after="0" w:line="200" w:lineRule="exact"/>
        <w:rPr>
          <w:sz w:val="20"/>
          <w:szCs w:val="20"/>
          <w:color w:val="auto"/>
        </w:rPr>
      </w:pPr>
    </w:p>
    <w:p>
      <w:pPr>
        <w:spacing w:after="0" w:line="235" w:lineRule="exact"/>
        <w:rPr>
          <w:sz w:val="20"/>
          <w:szCs w:val="20"/>
          <w:color w:val="auto"/>
        </w:rPr>
      </w:pPr>
    </w:p>
    <w:tbl>
      <w:tblPr>
        <w:tblLayout w:type="fixed"/>
        <w:tblInd w:w="2000" w:type="dxa"/>
        <w:tblCellMar>
          <w:top w:w="0" w:type="dxa"/>
          <w:left w:w="0" w:type="dxa"/>
          <w:bottom w:w="0" w:type="dxa"/>
          <w:right w:w="0" w:type="dxa"/>
        </w:tblCellMar>
      </w:tblPr>
      <w:tr>
        <w:trPr>
          <w:trHeight w:val="270"/>
        </w:trPr>
        <w:tc>
          <w:tcPr>
            <w:tcW w:w="4360" w:type="dxa"/>
            <w:vAlign w:val="bottom"/>
            <w:gridSpan w:val="2"/>
          </w:tcPr>
          <w:p>
            <w:pPr>
              <w:spacing w:after="0"/>
              <w:rPr>
                <w:sz w:val="20"/>
                <w:szCs w:val="20"/>
                <w:color w:val="auto"/>
              </w:rPr>
            </w:pPr>
            <w:r>
              <w:rPr>
                <w:rFonts w:ascii="Arial" w:cs="Arial" w:eastAsia="Arial" w:hAnsi="Arial"/>
                <w:sz w:val="22"/>
                <w:szCs w:val="22"/>
                <w:b w:val="1"/>
                <w:bCs w:val="1"/>
                <w:color w:val="auto"/>
              </w:rPr>
              <w:t>Level of Attainment</w:t>
            </w:r>
          </w:p>
        </w:tc>
        <w:tc>
          <w:tcPr>
            <w:tcW w:w="3560" w:type="dxa"/>
            <w:vAlign w:val="bottom"/>
          </w:tcPr>
          <w:p>
            <w:pPr>
              <w:ind w:left="180"/>
              <w:spacing w:after="0"/>
              <w:rPr>
                <w:sz w:val="20"/>
                <w:szCs w:val="20"/>
                <w:color w:val="auto"/>
              </w:rPr>
            </w:pPr>
            <w:r>
              <w:rPr>
                <w:rFonts w:ascii="Arial" w:cs="Arial" w:eastAsia="Arial" w:hAnsi="Arial"/>
                <w:sz w:val="22"/>
                <w:szCs w:val="22"/>
                <w:b w:val="1"/>
                <w:bCs w:val="1"/>
                <w:color w:val="auto"/>
                <w:w w:val="91"/>
              </w:rPr>
              <w:t>Percentage of Performance Shares</w:t>
            </w:r>
          </w:p>
        </w:tc>
      </w:tr>
      <w:tr>
        <w:trPr>
          <w:trHeight w:val="242"/>
        </w:trPr>
        <w:tc>
          <w:tcPr>
            <w:tcW w:w="414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Below the Threshold Level:</w:t>
            </w:r>
          </w:p>
        </w:tc>
        <w:tc>
          <w:tcPr>
            <w:tcW w:w="220" w:type="dxa"/>
            <w:vAlign w:val="bottom"/>
          </w:tcPr>
          <w:p>
            <w:pPr>
              <w:spacing w:after="0"/>
              <w:rPr>
                <w:sz w:val="21"/>
                <w:szCs w:val="21"/>
                <w:color w:val="auto"/>
              </w:rPr>
            </w:pPr>
          </w:p>
        </w:tc>
        <w:tc>
          <w:tcPr>
            <w:tcW w:w="3560" w:type="dxa"/>
            <w:vAlign w:val="bottom"/>
            <w:tcBorders>
              <w:top w:val="single" w:sz="8" w:color="auto"/>
            </w:tcBorders>
          </w:tcPr>
          <w:p>
            <w:pPr>
              <w:jc w:val="center"/>
              <w:spacing w:after="0" w:line="242" w:lineRule="exact"/>
              <w:rPr>
                <w:sz w:val="20"/>
                <w:szCs w:val="20"/>
                <w:color w:val="auto"/>
              </w:rPr>
            </w:pPr>
            <w:r>
              <w:rPr>
                <w:rFonts w:ascii="Arial" w:cs="Arial" w:eastAsia="Arial" w:hAnsi="Arial"/>
                <w:sz w:val="22"/>
                <w:szCs w:val="22"/>
                <w:color w:val="auto"/>
                <w:w w:val="87"/>
              </w:rPr>
              <w:t>0%</w:t>
            </w:r>
          </w:p>
        </w:tc>
      </w:tr>
      <w:tr>
        <w:trPr>
          <w:trHeight w:val="257"/>
        </w:trPr>
        <w:tc>
          <w:tcPr>
            <w:tcW w:w="4360" w:type="dxa"/>
            <w:vAlign w:val="bottom"/>
            <w:gridSpan w:val="2"/>
          </w:tcPr>
          <w:p>
            <w:pPr>
              <w:spacing w:after="0"/>
              <w:rPr>
                <w:sz w:val="20"/>
                <w:szCs w:val="20"/>
                <w:color w:val="auto"/>
              </w:rPr>
            </w:pPr>
            <w:r>
              <w:rPr>
                <w:rFonts w:ascii="Arial" w:cs="Arial" w:eastAsia="Arial" w:hAnsi="Arial"/>
                <w:sz w:val="22"/>
                <w:szCs w:val="22"/>
                <w:color w:val="auto"/>
              </w:rPr>
              <w:t>At the Threshold Level:</w:t>
            </w:r>
          </w:p>
        </w:tc>
        <w:tc>
          <w:tcPr>
            <w:tcW w:w="3560" w:type="dxa"/>
            <w:vAlign w:val="bottom"/>
          </w:tcPr>
          <w:p>
            <w:pPr>
              <w:jc w:val="center"/>
              <w:spacing w:after="0"/>
              <w:rPr>
                <w:sz w:val="20"/>
                <w:szCs w:val="20"/>
                <w:color w:val="auto"/>
              </w:rPr>
            </w:pPr>
            <w:r>
              <w:rPr>
                <w:rFonts w:ascii="Arial" w:cs="Arial" w:eastAsia="Arial" w:hAnsi="Arial"/>
                <w:sz w:val="22"/>
                <w:szCs w:val="22"/>
                <w:color w:val="auto"/>
                <w:w w:val="90"/>
              </w:rPr>
              <w:t>25%</w:t>
            </w:r>
          </w:p>
        </w:tc>
      </w:tr>
      <w:tr>
        <w:trPr>
          <w:trHeight w:val="270"/>
        </w:trPr>
        <w:tc>
          <w:tcPr>
            <w:tcW w:w="4360" w:type="dxa"/>
            <w:vAlign w:val="bottom"/>
            <w:gridSpan w:val="2"/>
          </w:tcPr>
          <w:p>
            <w:pPr>
              <w:spacing w:after="0"/>
              <w:rPr>
                <w:sz w:val="20"/>
                <w:szCs w:val="20"/>
                <w:color w:val="auto"/>
              </w:rPr>
            </w:pPr>
            <w:r>
              <w:rPr>
                <w:rFonts w:ascii="Arial" w:cs="Arial" w:eastAsia="Arial" w:hAnsi="Arial"/>
                <w:sz w:val="22"/>
                <w:szCs w:val="22"/>
                <w:color w:val="auto"/>
              </w:rPr>
              <w:t>At the Target Level:</w:t>
            </w:r>
          </w:p>
        </w:tc>
        <w:tc>
          <w:tcPr>
            <w:tcW w:w="3560" w:type="dxa"/>
            <w:vAlign w:val="bottom"/>
          </w:tcPr>
          <w:p>
            <w:pPr>
              <w:jc w:val="center"/>
              <w:spacing w:after="0"/>
              <w:rPr>
                <w:sz w:val="20"/>
                <w:szCs w:val="20"/>
                <w:color w:val="auto"/>
              </w:rPr>
            </w:pPr>
            <w:r>
              <w:rPr>
                <w:rFonts w:ascii="Arial" w:cs="Arial" w:eastAsia="Arial" w:hAnsi="Arial"/>
                <w:sz w:val="22"/>
                <w:szCs w:val="22"/>
                <w:color w:val="auto"/>
                <w:w w:val="88"/>
              </w:rPr>
              <w:t>100%</w:t>
            </w:r>
          </w:p>
        </w:tc>
      </w:tr>
      <w:tr>
        <w:trPr>
          <w:trHeight w:val="274"/>
        </w:trPr>
        <w:tc>
          <w:tcPr>
            <w:tcW w:w="4360" w:type="dxa"/>
            <w:vAlign w:val="bottom"/>
            <w:gridSpan w:val="2"/>
          </w:tcPr>
          <w:p>
            <w:pPr>
              <w:spacing w:after="0"/>
              <w:rPr>
                <w:sz w:val="20"/>
                <w:szCs w:val="20"/>
                <w:color w:val="auto"/>
              </w:rPr>
            </w:pPr>
            <w:r>
              <w:rPr>
                <w:rFonts w:ascii="Arial" w:cs="Arial" w:eastAsia="Arial" w:hAnsi="Arial"/>
                <w:sz w:val="22"/>
                <w:szCs w:val="22"/>
                <w:color w:val="auto"/>
              </w:rPr>
              <w:t>At the Extraordinary Level:</w:t>
            </w:r>
          </w:p>
        </w:tc>
        <w:tc>
          <w:tcPr>
            <w:tcW w:w="3560" w:type="dxa"/>
            <w:vAlign w:val="bottom"/>
          </w:tcPr>
          <w:p>
            <w:pPr>
              <w:jc w:val="center"/>
              <w:spacing w:after="0"/>
              <w:rPr>
                <w:sz w:val="20"/>
                <w:szCs w:val="20"/>
                <w:color w:val="auto"/>
              </w:rPr>
            </w:pPr>
            <w:r>
              <w:rPr>
                <w:rFonts w:ascii="Arial" w:cs="Arial" w:eastAsia="Arial" w:hAnsi="Arial"/>
                <w:sz w:val="22"/>
                <w:szCs w:val="22"/>
                <w:color w:val="auto"/>
                <w:w w:val="88"/>
              </w:rPr>
              <w:t>200%</w:t>
            </w:r>
          </w:p>
        </w:tc>
      </w:tr>
    </w:tbl>
    <w:p>
      <w:pPr>
        <w:spacing w:after="0" w:line="185" w:lineRule="exact"/>
        <w:rPr>
          <w:sz w:val="20"/>
          <w:szCs w:val="20"/>
          <w:color w:val="auto"/>
        </w:rPr>
      </w:pPr>
    </w:p>
    <w:p>
      <w:pPr>
        <w:jc w:val="both"/>
        <w:ind w:left="2000"/>
        <w:spacing w:after="0" w:line="238" w:lineRule="auto"/>
        <w:rPr>
          <w:sz w:val="20"/>
          <w:szCs w:val="20"/>
          <w:color w:val="auto"/>
        </w:rPr>
      </w:pPr>
      <w:r>
        <w:rPr>
          <w:rFonts w:ascii="Arial" w:cs="Arial" w:eastAsia="Arial" w:hAnsi="Arial"/>
          <w:sz w:val="22"/>
          <w:szCs w:val="22"/>
          <w:color w:val="auto"/>
        </w:rPr>
        <w:t>To the extent the actual level of attainment of the Performance Goal is at a point between the Threshold and Target Levels, the maximum number of shares of Common Stock in which Participant can vest shall be pro-rated between the two points on a straight line basis.</w:t>
      </w:r>
    </w:p>
    <w:p>
      <w:pPr>
        <w:spacing w:after="0" w:line="185" w:lineRule="exact"/>
        <w:rPr>
          <w:sz w:val="20"/>
          <w:szCs w:val="20"/>
          <w:color w:val="auto"/>
        </w:rPr>
      </w:pPr>
    </w:p>
    <w:p>
      <w:pPr>
        <w:jc w:val="both"/>
        <w:ind w:left="2020" w:hanging="15"/>
        <w:spacing w:after="0" w:line="238" w:lineRule="auto"/>
        <w:rPr>
          <w:sz w:val="20"/>
          <w:szCs w:val="20"/>
          <w:color w:val="auto"/>
        </w:rPr>
      </w:pPr>
      <w:r>
        <w:rPr>
          <w:rFonts w:ascii="Arial" w:cs="Arial" w:eastAsia="Arial" w:hAnsi="Arial"/>
          <w:sz w:val="22"/>
          <w:szCs w:val="22"/>
          <w:color w:val="auto"/>
        </w:rPr>
        <w:t>To the extent the actual level of attainment of a Performance Goal is at a point between the Target and Extraordinary Levels, the maximum number of shares of Common Stock in which Participant can vest shall be pro-rated between the two points on a straight line basis.</w:t>
      </w:r>
    </w:p>
    <w:p>
      <w:pPr>
        <w:spacing w:after="0" w:line="185" w:lineRule="exact"/>
        <w:rPr>
          <w:sz w:val="20"/>
          <w:szCs w:val="20"/>
          <w:color w:val="auto"/>
        </w:rPr>
      </w:pPr>
    </w:p>
    <w:p>
      <w:pPr>
        <w:jc w:val="both"/>
        <w:ind w:left="2000"/>
        <w:spacing w:after="0" w:line="236" w:lineRule="auto"/>
        <w:rPr>
          <w:sz w:val="20"/>
          <w:szCs w:val="20"/>
          <w:color w:val="auto"/>
        </w:rPr>
      </w:pPr>
      <w:r>
        <w:rPr>
          <w:rFonts w:ascii="Arial" w:cs="Arial" w:eastAsia="Arial" w:hAnsi="Arial"/>
          <w:sz w:val="22"/>
          <w:szCs w:val="22"/>
          <w:u w:val="single" w:color="auto"/>
          <w:color w:val="auto"/>
        </w:rPr>
        <w:t>Performance-Qualified Shares</w:t>
      </w:r>
      <w:r>
        <w:rPr>
          <w:rFonts w:ascii="Arial" w:cs="Arial" w:eastAsia="Arial" w:hAnsi="Arial"/>
          <w:sz w:val="22"/>
          <w:szCs w:val="22"/>
          <w:color w:val="auto"/>
        </w:rPr>
        <w:t>: The maximum number of shares of Common Stock in which Participant can vest on the basis of the foregoing performance measures shall be hereinafter designated the “Performance-Qualified Shares” and shall in no event exceed in the aggregate 200% of the number of Designated Shares set forth in the Number of Shares Subject to Award section above.</w:t>
      </w:r>
    </w:p>
    <w:p>
      <w:pPr>
        <w:spacing w:after="0" w:line="187" w:lineRule="exact"/>
        <w:rPr>
          <w:sz w:val="20"/>
          <w:szCs w:val="20"/>
          <w:color w:val="auto"/>
        </w:rPr>
      </w:pPr>
    </w:p>
    <w:p>
      <w:pPr>
        <w:ind w:left="2000" w:right="460"/>
        <w:spacing w:after="0" w:line="287" w:lineRule="auto"/>
        <w:rPr>
          <w:sz w:val="20"/>
          <w:szCs w:val="20"/>
          <w:color w:val="auto"/>
        </w:rPr>
      </w:pPr>
      <w:r>
        <w:rPr>
          <w:rFonts w:ascii="Arial" w:cs="Arial" w:eastAsia="Arial" w:hAnsi="Arial"/>
          <w:sz w:val="19"/>
          <w:szCs w:val="19"/>
          <w:b w:val="1"/>
          <w:bCs w:val="1"/>
          <w:i w:val="1"/>
          <w:iCs w:val="1"/>
          <w:color w:val="auto"/>
        </w:rPr>
        <w:t xml:space="preserve">Service Vesting. </w:t>
      </w:r>
      <w:r>
        <w:rPr>
          <w:rFonts w:ascii="Arial" w:cs="Arial" w:eastAsia="Arial" w:hAnsi="Arial"/>
          <w:sz w:val="19"/>
          <w:szCs w:val="19"/>
          <w:color w:val="auto"/>
        </w:rPr>
        <w:t>The number of Performance-Qualified Shares in which Participant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actually vests shall be determined on the basis of his or her satisfaction of the Service-vesting requirements set forth in Paragraph 3 of the form Performance Share Award Agreement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“Award Agreement”).</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Participant understands and agrees that the Award is granted subject to and in accordance with the terms of the Plan and hereby agrees to be bound by the terms of the Plan and the terms of the Award as set forth in the Award Agreement. Participant hereby acknowledges the receipt of a copy of the official prospectus for the Plan. A copy of the Plan is available upon request made to the Corporation’s Human Resources Department at the Corporation’s offices at 555 12th Street, Oakland, California 94607. Participant agrees to electronic delivery of any and all communications relating to the Award, the Award Agreement or the Plan, including but not limited to documentation of the Award, the official prospectus for the Plan, and any and all other documents and materials relating to the Award, the Award Agreement or the Plan.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30" w:right="999" w:bottom="1440" w:gutter="0" w:footer="0" w:header="0"/>
        </w:sectPr>
      </w:pPr>
    </w:p>
    <w:bookmarkStart w:id="142" w:name="page143"/>
    <w:bookmarkEnd w:id="142"/>
    <w:p>
      <w:pPr>
        <w:spacing w:after="0"/>
        <w:rPr>
          <w:sz w:val="20"/>
          <w:szCs w:val="20"/>
          <w:color w:val="auto"/>
        </w:rPr>
      </w:pPr>
      <w:r>
        <w:rPr>
          <w:rFonts w:ascii="Arial" w:cs="Arial" w:eastAsia="Arial" w:hAnsi="Arial"/>
          <w:sz w:val="22"/>
          <w:szCs w:val="22"/>
          <w:u w:val="single" w:color="auto"/>
          <w:color w:val="auto"/>
        </w:rPr>
        <w:t>Coverage under Recoupment Policy</w:t>
      </w:r>
      <w:r>
        <w:rPr>
          <w:rFonts w:ascii="Arial" w:cs="Arial" w:eastAsia="Arial" w:hAnsi="Arial"/>
          <w:sz w:val="22"/>
          <w:szCs w:val="22"/>
          <w:color w:val="auto"/>
        </w:rPr>
        <w:t>. Participant hereby agrees that:</w:t>
      </w:r>
    </w:p>
    <w:p>
      <w:pPr>
        <w:spacing w:after="0" w:line="206" w:lineRule="exact"/>
        <w:rPr>
          <w:sz w:val="20"/>
          <w:szCs w:val="20"/>
          <w:color w:val="auto"/>
        </w:rPr>
      </w:pPr>
    </w:p>
    <w:p>
      <w:pPr>
        <w:jc w:val="both"/>
        <w:ind w:firstLine="1304"/>
        <w:spacing w:after="0" w:line="297" w:lineRule="auto"/>
        <w:tabs>
          <w:tab w:leader="none" w:pos="1944" w:val="left"/>
        </w:tabs>
        <w:numPr>
          <w:ilvl w:val="0"/>
          <w:numId w:val="149"/>
        </w:numPr>
        <w:rPr>
          <w:rFonts w:ascii="Arial" w:cs="Arial" w:eastAsia="Arial" w:hAnsi="Arial"/>
          <w:sz w:val="19"/>
          <w:szCs w:val="19"/>
          <w:color w:val="auto"/>
        </w:rPr>
      </w:pPr>
      <w:r>
        <w:rPr>
          <w:rFonts w:ascii="Arial" w:cs="Arial" w:eastAsia="Arial" w:hAnsi="Arial"/>
          <w:sz w:val="19"/>
          <w:szCs w:val="19"/>
          <w:color w:val="auto"/>
        </w:rPr>
        <w:t>Participant may be subject to the Matson, Inc. Policy Regarding Recoupment of Certain Compensation, as applicable and as it may be amended from time to time, the terms of which are hereby incorporated herein by reference and receipt of a copy of which Participant hereby acknowledges; and</w:t>
      </w:r>
    </w:p>
    <w:p>
      <w:pPr>
        <w:spacing w:after="0" w:line="133" w:lineRule="exact"/>
        <w:rPr>
          <w:rFonts w:ascii="Arial" w:cs="Arial" w:eastAsia="Arial" w:hAnsi="Arial"/>
          <w:sz w:val="19"/>
          <w:szCs w:val="19"/>
          <w:color w:val="auto"/>
        </w:rPr>
      </w:pPr>
    </w:p>
    <w:p>
      <w:pPr>
        <w:ind w:right="20" w:firstLine="1304"/>
        <w:spacing w:after="0" w:line="250" w:lineRule="auto"/>
        <w:tabs>
          <w:tab w:leader="none" w:pos="1944"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any incentive compensation that is paid or granted to, or received by, Participant under the Award shall be subject to recovery and recoupment pursuant to the terms of such policy.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 copy of the recoupment policy is available upon request made to the Corporate Secretary.</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u w:val="single" w:color="auto"/>
          <w:color w:val="auto"/>
        </w:rPr>
        <w:t>Continuing Consent</w:t>
      </w:r>
      <w:r>
        <w:rPr>
          <w:rFonts w:ascii="Arial" w:cs="Arial" w:eastAsia="Arial" w:hAnsi="Arial"/>
          <w:sz w:val="19"/>
          <w:szCs w:val="19"/>
          <w:color w:val="auto"/>
        </w:rPr>
        <w:t>. Participant further acknowledges and agrees that, except to the extent the Plan Administrator notifies Participant in writing to the contrary, each subsequent award of Performance Shares made to him or her under the Plan shall be subject to the same terms and conditions set forth in the Award Agreement, and Participant hereby understands and agrees to those terms and conditions for each such subsequent Performance Shares award that may be made to him or her under the Plan and hereby agrees to be bound by those terms and conditions for any such Performance Share awards, without any further consent or action required on his or her part at the time or times when those awards may be made. However, Participant may, at any time he or she holds an outstanding Performance Share award under the Plan, request a written copy of the Award Agreement from the Corporation by contacting the Corporation’s Human Resources Department at the Corporation’s offices at 555 12th Street, Oakland, California 94607.</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u w:val="single" w:color="auto"/>
          <w:color w:val="auto"/>
        </w:rPr>
        <w:t>Employment at Will</w:t>
      </w:r>
      <w:r>
        <w:rPr>
          <w:rFonts w:ascii="Arial" w:cs="Arial" w:eastAsia="Arial" w:hAnsi="Arial"/>
          <w:sz w:val="19"/>
          <w:szCs w:val="19"/>
          <w:color w:val="auto"/>
        </w:rPr>
        <w:t>. Nothing in this Notice or in the Award Agreement or in the Plan shall confer upon Participant any right to continue in Service for any period of specific duration or interfere with or otherwise restrict in any way the rights of the Corporation (or any Parent or Subsidiary employing or retaining Participant) or of Participant, which rights are hereby expressly reserved by each, to terminate Participant’s Service at any time for any reason or no reason with or without advance notice and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4" w:right="999" w:bottom="1440" w:gutter="0" w:footer="0" w:header="0"/>
        </w:sectPr>
      </w:pPr>
    </w:p>
    <w:bookmarkStart w:id="143" w:name="page144"/>
    <w:bookmarkEnd w:id="143"/>
    <w:p>
      <w:pPr>
        <w:spacing w:after="0" w:line="250" w:lineRule="auto"/>
        <w:rPr>
          <w:sz w:val="20"/>
          <w:szCs w:val="20"/>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All capitalized terms in this Notice shall have the meaning assigned to them in this Notice or in the Award Agreement.</w:t>
      </w:r>
    </w:p>
    <w:p>
      <w:pPr>
        <w:spacing w:after="0" w:line="182"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MATSON, INC.</w:t>
      </w:r>
    </w:p>
    <w:p>
      <w:pPr>
        <w:spacing w:after="0" w:line="239"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4740"/>
        <w:spacing w:after="0"/>
        <w:tabs>
          <w:tab w:leader="none" w:pos="53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4445</wp:posOffset>
            </wp:positionV>
            <wp:extent cx="28632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4">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-158115</wp:posOffset>
            </wp:positionV>
            <wp:extent cx="28632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5">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6940"/>
        <w:spacing w:after="0"/>
        <w:rPr>
          <w:sz w:val="20"/>
          <w:szCs w:val="20"/>
          <w:color w:val="auto"/>
        </w:rPr>
      </w:pPr>
      <w:r>
        <w:rPr>
          <w:rFonts w:ascii="Arial" w:cs="Arial" w:eastAsia="Arial" w:hAnsi="Arial"/>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-151130</wp:posOffset>
            </wp:positionV>
            <wp:extent cx="28632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4" w:right="999" w:bottom="1440" w:gutter="0" w:footer="0" w:header="0"/>
        </w:sectPr>
      </w:pPr>
    </w:p>
    <w:bookmarkStart w:id="144" w:name="page145"/>
    <w:bookmarkEnd w:id="144"/>
    <w:p>
      <w:pPr>
        <w:ind w:left="4300"/>
        <w:spacing w:after="0"/>
        <w:rPr>
          <w:sz w:val="20"/>
          <w:szCs w:val="20"/>
          <w:color w:val="auto"/>
        </w:rPr>
      </w:pPr>
      <w:r>
        <w:rPr>
          <w:rFonts w:ascii="Arial" w:cs="Arial" w:eastAsia="Arial" w:hAnsi="Arial"/>
          <w:sz w:val="22"/>
          <w:szCs w:val="22"/>
          <w:b w:val="1"/>
          <w:bCs w:val="1"/>
          <w:color w:val="auto"/>
        </w:rPr>
        <w:t>SCHEDULE I</w:t>
      </w:r>
    </w:p>
    <w:p>
      <w:pPr>
        <w:spacing w:after="0" w:line="206" w:lineRule="exact"/>
        <w:rPr>
          <w:sz w:val="20"/>
          <w:szCs w:val="20"/>
          <w:color w:val="auto"/>
        </w:rPr>
      </w:pPr>
    </w:p>
    <w:p>
      <w:pPr>
        <w:ind w:left="2420"/>
        <w:spacing w:after="0"/>
        <w:rPr>
          <w:sz w:val="20"/>
          <w:szCs w:val="20"/>
          <w:color w:val="auto"/>
        </w:rPr>
      </w:pPr>
      <w:r>
        <w:rPr>
          <w:rFonts w:ascii="Arial" w:cs="Arial" w:eastAsia="Arial" w:hAnsi="Arial"/>
          <w:sz w:val="22"/>
          <w:szCs w:val="22"/>
          <w:b w:val="1"/>
          <w:bCs w:val="1"/>
          <w:color w:val="auto"/>
        </w:rPr>
        <w:t>PERFORMANCE PERIOD, PERFORMANCE GOAL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LEVELS OF ATTAINMENT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PERFORMANCE PERIOD</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Performance Period shall be the three (3)-year period beginning January 1, 2021 and ending December 31, 2023.</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PERFORMANCE GOAL – RETURN ON INVESTED CAPITAL</w:t>
      </w:r>
    </w:p>
    <w:p>
      <w:pPr>
        <w:spacing w:after="0" w:line="20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The performance vesting requirement for this Award shall be tied to the level of attainment of the Average ROIC for the Performance Period. The required levels of attainment of Average ROIC for the Performance Period at the Threshold, Target and Extraordinary Levels are as follows:</w:t>
      </w:r>
    </w:p>
    <w:p>
      <w:pPr>
        <w:spacing w:after="0" w:line="169"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Threshold Level:</w:t>
      </w:r>
      <w:r>
        <w:rPr>
          <w:sz w:val="20"/>
          <w:szCs w:val="20"/>
          <w:color w:val="auto"/>
        </w:rPr>
        <w:tab/>
      </w:r>
      <w:r>
        <w:rPr>
          <w:rFonts w:ascii="Arial" w:cs="Arial" w:eastAsia="Arial" w:hAnsi="Arial"/>
          <w:sz w:val="21"/>
          <w:szCs w:val="21"/>
          <w:color w:val="auto"/>
        </w:rPr>
        <w:t>[·] %</w:t>
      </w:r>
    </w:p>
    <w:p>
      <w:pPr>
        <w:ind w:left="1300"/>
        <w:spacing w:after="0"/>
        <w:tabs>
          <w:tab w:leader="none" w:pos="3160" w:val="left"/>
        </w:tabs>
        <w:rPr>
          <w:sz w:val="20"/>
          <w:szCs w:val="20"/>
          <w:color w:val="auto"/>
        </w:rPr>
      </w:pPr>
      <w:r>
        <w:rPr>
          <w:rFonts w:ascii="Arial" w:cs="Arial" w:eastAsia="Arial" w:hAnsi="Arial"/>
          <w:sz w:val="22"/>
          <w:szCs w:val="22"/>
          <w:color w:val="auto"/>
        </w:rPr>
        <w:t>Target Level:</w:t>
      </w:r>
      <w:r>
        <w:rPr>
          <w:sz w:val="20"/>
          <w:szCs w:val="20"/>
          <w:color w:val="auto"/>
        </w:rPr>
        <w:tab/>
      </w:r>
      <w:r>
        <w:rPr>
          <w:rFonts w:ascii="Arial" w:cs="Arial" w:eastAsia="Arial" w:hAnsi="Arial"/>
          <w:sz w:val="21"/>
          <w:szCs w:val="21"/>
          <w:color w:val="auto"/>
        </w:rPr>
        <w:t>[·] %</w:t>
      </w:r>
    </w:p>
    <w:p>
      <w:pPr>
        <w:ind w:left="1300"/>
        <w:spacing w:after="0"/>
        <w:rPr>
          <w:sz w:val="20"/>
          <w:szCs w:val="20"/>
          <w:color w:val="auto"/>
        </w:rPr>
      </w:pPr>
      <w:r>
        <w:rPr>
          <w:rFonts w:ascii="Arial" w:cs="Arial" w:eastAsia="Arial" w:hAnsi="Arial"/>
          <w:sz w:val="22"/>
          <w:szCs w:val="22"/>
          <w:color w:val="auto"/>
        </w:rPr>
        <w:t>Extraordinary Level [·] %</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“Average ROIC” shall be the percentage, rounded down to the nearest tenth of a percent, determined as follows: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Annual ROIC for 2021 +Annual ROIC for 2022 +Annual ROIC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6985</wp:posOffset>
            </wp:positionV>
            <wp:extent cx="43459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8">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“Annual ROIC” for a calendar year shall be the percentage determined as follows:</w:t>
      </w:r>
    </w:p>
    <w:p>
      <w:pPr>
        <w:spacing w:after="0" w:line="233" w:lineRule="exact"/>
        <w:rPr>
          <w:sz w:val="20"/>
          <w:szCs w:val="20"/>
          <w:color w:val="auto"/>
        </w:rPr>
      </w:pPr>
    </w:p>
    <w:tbl>
      <w:tblPr>
        <w:tblLayout w:type="fixed"/>
        <w:tblInd w:w="2120" w:type="dxa"/>
        <w:tblCellMar>
          <w:top w:w="0" w:type="dxa"/>
          <w:left w:w="0" w:type="dxa"/>
          <w:bottom w:w="0" w:type="dxa"/>
          <w:right w:w="0" w:type="dxa"/>
        </w:tblCellMar>
      </w:tblPr>
      <w:tr>
        <w:trPr>
          <w:trHeight w:val="264"/>
        </w:trPr>
        <w:tc>
          <w:tcPr>
            <w:tcW w:w="48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4"/>
              </w:rPr>
              <w:t>Net Income After Tax + After Tax Interest Expense</w:t>
            </w:r>
          </w:p>
        </w:tc>
        <w:tc>
          <w:tcPr>
            <w:tcW w:w="640" w:type="dxa"/>
            <w:vAlign w:val="bottom"/>
            <w:vMerge w:val="restart"/>
          </w:tcPr>
          <w:p>
            <w:pPr>
              <w:ind w:left="160"/>
              <w:spacing w:after="0"/>
              <w:rPr>
                <w:sz w:val="20"/>
                <w:szCs w:val="20"/>
                <w:color w:val="auto"/>
              </w:rPr>
            </w:pPr>
            <w:r>
              <w:rPr>
                <w:rFonts w:ascii="Arial" w:cs="Arial" w:eastAsia="Arial" w:hAnsi="Arial"/>
                <w:sz w:val="22"/>
                <w:szCs w:val="22"/>
                <w:color w:val="auto"/>
                <w:w w:val="85"/>
              </w:rPr>
              <w:t>x 100</w:t>
            </w:r>
          </w:p>
        </w:tc>
        <w:tc>
          <w:tcPr>
            <w:tcW w:w="0" w:type="dxa"/>
            <w:vAlign w:val="bottom"/>
          </w:tcPr>
          <w:p>
            <w:pPr>
              <w:spacing w:after="0"/>
              <w:rPr>
                <w:sz w:val="1"/>
                <w:szCs w:val="1"/>
                <w:color w:val="auto"/>
              </w:rPr>
            </w:pPr>
          </w:p>
        </w:tc>
      </w:tr>
      <w:tr>
        <w:trPr>
          <w:trHeight w:val="112"/>
        </w:trPr>
        <w:tc>
          <w:tcPr>
            <w:tcW w:w="4860" w:type="dxa"/>
            <w:vAlign w:val="bottom"/>
            <w:vMerge w:val="restart"/>
          </w:tcPr>
          <w:p>
            <w:pPr>
              <w:jc w:val="right"/>
              <w:ind w:right="72"/>
              <w:spacing w:after="0"/>
              <w:rPr>
                <w:sz w:val="20"/>
                <w:szCs w:val="20"/>
                <w:color w:val="auto"/>
              </w:rPr>
            </w:pPr>
            <w:r>
              <w:rPr>
                <w:rFonts w:ascii="Arial" w:cs="Arial" w:eastAsia="Arial" w:hAnsi="Arial"/>
                <w:sz w:val="22"/>
                <w:szCs w:val="22"/>
                <w:color w:val="auto"/>
                <w:w w:val="92"/>
              </w:rPr>
              <w:t>Average Debt + Average Total Shareholders’ Equity</w:t>
            </w: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86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Annual ROIC for a calendar year shall be calculated on a consolidated basis with the Corporation’s consolidated subsidiaries for U.S. financial reporting purposes and shall be determined on the basis of the Corporation’s audited financial statements for such year prepared in accordance with United States generally accepted accounting principles, subject to any adjustments as determined by the Plan Administrator that are needed to accurately reflect the performance of the Corporation (e.g., because of changes in accounting rules, extraordinary gains from the sale of the Corporation’s assets, unforeseen extraordinary events affecting the Corporation or any of its business operations, or other similar or dissimilar circumstances occurring during the Performance Period that may or may not have been beyond the control of the Corporation).</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“Average Debt” for a calendar year means the average of the Debt at the beginning of the year and Debt at the end of the year.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95" w:right="999" w:bottom="1440" w:gutter="0" w:footer="0" w:header="0"/>
        </w:sectPr>
      </w:pPr>
    </w:p>
    <w:bookmarkStart w:id="145" w:name="page146"/>
    <w:bookmarkEnd w:id="145"/>
    <w:p>
      <w:pPr>
        <w:jc w:val="both"/>
        <w:spacing w:after="0"/>
        <w:rPr>
          <w:sz w:val="20"/>
          <w:szCs w:val="20"/>
          <w:color w:val="auto"/>
        </w:rPr>
      </w:pPr>
      <w:r>
        <w:rPr>
          <w:rFonts w:ascii="Arial" w:cs="Arial" w:eastAsia="Arial" w:hAnsi="Arial"/>
          <w:sz w:val="22"/>
          <w:szCs w:val="22"/>
          <w:color w:val="auto"/>
        </w:rPr>
        <w:t>“Debt” means long-term debt plus notes payable and current portion of the long term debt, as determined in accordance with United States generally accepted accounting principles, and is intended to include potential convertible debt and other hybrid debt issued in the future.</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Unless otherwise defined above or in the Notice of Award of Performance Shares to which this Schedule is attached, capitalized terms used in this Schedule shall be construed in accordance with accounting principles generally accepted in the United States.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4" w:right="999" w:bottom="1440" w:gutter="0" w:footer="0" w:header="0"/>
        </w:sectPr>
      </w:pPr>
    </w:p>
    <w:bookmarkStart w:id="146" w:name="page147"/>
    <w:bookmarkEnd w:id="146"/>
    <w:p>
      <w:pPr>
        <w:jc w:val="center"/>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MATSON,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PERFORMANCE SHARE AWARD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RECITALS</w:t>
      </w:r>
    </w:p>
    <w:p>
      <w:pPr>
        <w:spacing w:after="0" w:line="239" w:lineRule="exact"/>
        <w:rPr>
          <w:sz w:val="20"/>
          <w:szCs w:val="20"/>
          <w:color w:val="auto"/>
        </w:rPr>
      </w:pPr>
    </w:p>
    <w:p>
      <w:pPr>
        <w:jc w:val="both"/>
        <w:ind w:firstLine="1304"/>
        <w:spacing w:after="0" w:line="282" w:lineRule="auto"/>
        <w:tabs>
          <w:tab w:leader="none" w:pos="194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Matson, Inc., a Hawaii corporation (along with any subsequent corporate successor to all or substantially all of the assets or voting stock of Matson, Inc., which has by appropriate action assumed the Plan, the “Corporation”), has implemented the Plan for the purpose of providing eligible persons in the Corporation’s service with the opportunity to participate in one or more cash or equity incentive compensation programs designed to motivate, attract and retain the services of persons who contribute to the success of the Corporation.</w:t>
      </w:r>
    </w:p>
    <w:p>
      <w:pPr>
        <w:spacing w:after="0" w:line="147" w:lineRule="exact"/>
        <w:rPr>
          <w:rFonts w:ascii="Arial" w:cs="Arial" w:eastAsia="Arial" w:hAnsi="Arial"/>
          <w:sz w:val="19"/>
          <w:szCs w:val="19"/>
          <w:color w:val="auto"/>
        </w:rPr>
      </w:pPr>
    </w:p>
    <w:p>
      <w:pPr>
        <w:jc w:val="both"/>
        <w:ind w:firstLine="1304"/>
        <w:spacing w:after="0" w:line="297" w:lineRule="auto"/>
        <w:tabs>
          <w:tab w:leader="none" w:pos="194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spacing w:after="0" w:line="133" w:lineRule="exact"/>
        <w:rPr>
          <w:rFonts w:ascii="Arial" w:cs="Arial" w:eastAsia="Arial" w:hAnsi="Arial"/>
          <w:sz w:val="19"/>
          <w:szCs w:val="19"/>
          <w:color w:val="auto"/>
        </w:rPr>
      </w:pPr>
    </w:p>
    <w:p>
      <w:pPr>
        <w:ind w:firstLine="1304"/>
        <w:spacing w:after="0" w:line="250" w:lineRule="auto"/>
        <w:tabs>
          <w:tab w:leader="none" w:pos="1944" w:val="left"/>
        </w:tabs>
        <w:numPr>
          <w:ilvl w:val="0"/>
          <w:numId w:val="150"/>
        </w:numPr>
        <w:rPr>
          <w:rFonts w:ascii="Arial" w:cs="Arial" w:eastAsia="Arial" w:hAnsi="Arial"/>
          <w:sz w:val="22"/>
          <w:szCs w:val="22"/>
          <w:color w:val="auto"/>
        </w:rPr>
      </w:pPr>
      <w:r>
        <w:rPr>
          <w:rFonts w:ascii="Arial" w:cs="Arial" w:eastAsia="Arial" w:hAnsi="Arial"/>
          <w:sz w:val="22"/>
          <w:szCs w:val="22"/>
          <w:color w:val="auto"/>
        </w:rPr>
        <w:t xml:space="preserve">All capitalized terms in this Agreement shall have the meaning assigned to them in the attached </w:t>
      </w:r>
      <w:r>
        <w:rPr>
          <w:rFonts w:ascii="Arial" w:cs="Arial" w:eastAsia="Arial" w:hAnsi="Arial"/>
          <w:sz w:val="22"/>
          <w:szCs w:val="22"/>
          <w:u w:val="single" w:color="auto"/>
          <w:color w:val="auto"/>
        </w:rPr>
        <w:t>Appendix A</w:t>
      </w:r>
      <w:r>
        <w:rPr>
          <w:rFonts w:ascii="Arial" w:cs="Arial" w:eastAsia="Arial" w:hAnsi="Arial"/>
          <w:sz w:val="22"/>
          <w:szCs w:val="22"/>
          <w:color w:val="auto"/>
        </w:rPr>
        <w:t>, or if not defined in that appendix, as defined in the Plan.</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it is hereby agreed as follows:</w:t>
      </w:r>
    </w:p>
    <w:p>
      <w:pPr>
        <w:spacing w:after="0" w:line="206" w:lineRule="exact"/>
        <w:rPr>
          <w:sz w:val="20"/>
          <w:szCs w:val="20"/>
          <w:color w:val="auto"/>
        </w:rPr>
      </w:pPr>
    </w:p>
    <w:p>
      <w:pPr>
        <w:jc w:val="both"/>
        <w:ind w:firstLine="1304"/>
        <w:spacing w:after="0" w:line="254" w:lineRule="auto"/>
        <w:tabs>
          <w:tab w:leader="none" w:pos="1944" w:val="left"/>
        </w:tabs>
        <w:numPr>
          <w:ilvl w:val="0"/>
          <w:numId w:val="151"/>
        </w:numPr>
        <w:rPr>
          <w:rFonts w:ascii="Arial" w:cs="Arial" w:eastAsia="Arial" w:hAnsi="Arial"/>
          <w:sz w:val="21"/>
          <w:szCs w:val="21"/>
          <w:color w:val="auto"/>
        </w:rPr>
      </w:pPr>
      <w:r>
        <w:rPr>
          <w:rFonts w:ascii="Arial" w:cs="Arial" w:eastAsia="Arial" w:hAnsi="Arial"/>
          <w:sz w:val="21"/>
          <w:szCs w:val="21"/>
          <w:b w:val="1"/>
          <w:bCs w:val="1"/>
          <w:u w:val="single" w:color="auto"/>
          <w:color w:val="auto"/>
        </w:rPr>
        <w:t>Grant of Performance Shares</w:t>
      </w:r>
      <w:r>
        <w:rPr>
          <w:rFonts w:ascii="Arial" w:cs="Arial" w:eastAsia="Arial" w:hAnsi="Arial"/>
          <w:sz w:val="21"/>
          <w:szCs w:val="21"/>
          <w:color w:val="auto"/>
        </w:rPr>
        <w:t>. The Corporation hereby awards to Participant, as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Award Date, Performance Shares under the Plan. The number of shares of Common Stock underlying the award and the applicable performance vesting requirements for those shares are set forth in the Award Notice. The remaining terms and conditions governing the Award shall be as set forth in this Agreement.</w:t>
      </w:r>
    </w:p>
    <w:p>
      <w:pPr>
        <w:spacing w:after="0" w:line="165" w:lineRule="exact"/>
        <w:rPr>
          <w:rFonts w:ascii="Arial" w:cs="Arial" w:eastAsia="Arial" w:hAnsi="Arial"/>
          <w:sz w:val="21"/>
          <w:szCs w:val="21"/>
          <w:color w:val="auto"/>
        </w:rPr>
      </w:pPr>
    </w:p>
    <w:p>
      <w:pPr>
        <w:jc w:val="both"/>
        <w:ind w:firstLine="1304"/>
        <w:spacing w:after="0" w:line="273" w:lineRule="auto"/>
        <w:tabs>
          <w:tab w:leader="none" w:pos="1944" w:val="left"/>
        </w:tabs>
        <w:numPr>
          <w:ilvl w:val="0"/>
          <w:numId w:val="151"/>
        </w:numPr>
        <w:rPr>
          <w:rFonts w:ascii="Arial" w:cs="Arial" w:eastAsia="Arial" w:hAnsi="Arial"/>
          <w:sz w:val="19"/>
          <w:szCs w:val="19"/>
          <w:color w:val="auto"/>
        </w:rPr>
      </w:pPr>
      <w:r>
        <w:rPr>
          <w:rFonts w:ascii="Arial" w:cs="Arial" w:eastAsia="Arial" w:hAnsi="Arial"/>
          <w:sz w:val="19"/>
          <w:szCs w:val="19"/>
          <w:b w:val="1"/>
          <w:bCs w:val="1"/>
          <w:u w:val="single" w:color="auto"/>
          <w:color w:val="auto"/>
        </w:rPr>
        <w:t>Limited Transferability</w:t>
      </w:r>
      <w:r>
        <w:rPr>
          <w:rFonts w:ascii="Arial" w:cs="Arial" w:eastAsia="Arial" w:hAnsi="Arial"/>
          <w:sz w:val="19"/>
          <w:szCs w:val="19"/>
          <w:color w:val="auto"/>
        </w:rPr>
        <w:t>. Prior to the actual issuance of the Shares which vest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may not transfer any interest in the Performance Shares subject to the Award or the underlying Shares or pledge or otherwise hedge the sale of those Performance Shares or underlying Shares, including (without limitation) any short sale or any acquisition or disposition of any put or call option or other instrument tied to the value of those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vest and become issuable hereunder in the name of a revocable living trust established for the exclusive benefit of either Participant or Participant and his or her spouse. Participant may make such a beneficiary designation or ownership directive at any time by filing the appropriate form with the Plan Administrator or its designee.</w:t>
      </w:r>
    </w:p>
    <w:p>
      <w:pPr>
        <w:spacing w:after="0" w:line="155" w:lineRule="exact"/>
        <w:rPr>
          <w:rFonts w:ascii="Arial" w:cs="Arial" w:eastAsia="Arial" w:hAnsi="Arial"/>
          <w:sz w:val="19"/>
          <w:szCs w:val="19"/>
          <w:color w:val="auto"/>
        </w:rPr>
      </w:pPr>
    </w:p>
    <w:p>
      <w:pPr>
        <w:ind w:left="1960" w:hanging="656"/>
        <w:spacing w:after="0"/>
        <w:tabs>
          <w:tab w:leader="none" w:pos="1960" w:val="left"/>
        </w:tabs>
        <w:numPr>
          <w:ilvl w:val="0"/>
          <w:numId w:val="151"/>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 Requirements</w:t>
      </w:r>
      <w:r>
        <w:rPr>
          <w:rFonts w:ascii="Arial" w:cs="Arial" w:eastAsia="Arial" w:hAnsi="Arial"/>
          <w:sz w:val="22"/>
          <w:szCs w:val="22"/>
          <w:color w:val="auto"/>
        </w:rPr>
        <w:t>. The actual number of Shares that may vest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38" w:right="999" w:bottom="1440" w:gutter="0" w:footer="0" w:header="0"/>
        </w:sectPr>
      </w:pPr>
    </w:p>
    <w:bookmarkStart w:id="147" w:name="page148"/>
    <w:bookmarkEnd w:id="147"/>
    <w:p>
      <w:pPr>
        <w:jc w:val="both"/>
        <w:spacing w:after="0" w:line="279" w:lineRule="auto"/>
        <w:rPr>
          <w:sz w:val="20"/>
          <w:szCs w:val="20"/>
          <w:color w:val="auto"/>
        </w:rPr>
      </w:pPr>
      <w:r>
        <w:rPr>
          <w:rFonts w:ascii="Arial" w:cs="Arial" w:eastAsia="Arial" w:hAnsi="Arial"/>
          <w:sz w:val="19"/>
          <w:szCs w:val="19"/>
          <w:color w:val="auto"/>
        </w:rPr>
        <w:t>become issuable pursuant to the Performance Shares shall be determined pursuant to a two-step process: (i) first there shall be calculated the maximum number of Shares in which Participant can vest based upon the level at which the Performance Goal specified on Schedule I to the Award Notice is actually attained and (ii) then the number of the Performance-Qualified Shares resulting from the clause (i) calculation in which Participant shall actually vest shall be determined on the basis of his or her completion of the applicable Service vesting provisions set forth below. Accordingly, the vesting of the Shares shall be calculated as follows:</w:t>
      </w:r>
    </w:p>
    <w:p>
      <w:pPr>
        <w:spacing w:after="0" w:line="150" w:lineRule="exact"/>
        <w:rPr>
          <w:sz w:val="20"/>
          <w:szCs w:val="20"/>
          <w:color w:val="auto"/>
        </w:rPr>
      </w:pPr>
    </w:p>
    <w:p>
      <w:pPr>
        <w:jc w:val="both"/>
        <w:ind w:firstLine="1952"/>
        <w:spacing w:after="0" w:line="279" w:lineRule="auto"/>
        <w:tabs>
          <w:tab w:leader="none" w:pos="2592" w:val="left"/>
        </w:tabs>
        <w:numPr>
          <w:ilvl w:val="0"/>
          <w:numId w:val="152"/>
        </w:numPr>
        <w:rPr>
          <w:rFonts w:ascii="Arial" w:cs="Arial" w:eastAsia="Arial" w:hAnsi="Arial"/>
          <w:sz w:val="19"/>
          <w:szCs w:val="19"/>
          <w:color w:val="auto"/>
        </w:rPr>
      </w:pPr>
      <w:r>
        <w:rPr>
          <w:rFonts w:ascii="Arial" w:cs="Arial" w:eastAsia="Arial" w:hAnsi="Arial"/>
          <w:sz w:val="19"/>
          <w:szCs w:val="19"/>
          <w:b w:val="1"/>
          <w:bCs w:val="1"/>
          <w:i w:val="1"/>
          <w:iCs w:val="1"/>
          <w:color w:val="auto"/>
        </w:rPr>
        <w:t>Performance Vesting</w:t>
      </w:r>
      <w:r>
        <w:rPr>
          <w:rFonts w:ascii="Arial" w:cs="Arial" w:eastAsia="Arial" w:hAnsi="Arial"/>
          <w:sz w:val="19"/>
          <w:szCs w:val="19"/>
          <w:color w:val="auto"/>
        </w:rPr>
        <w:t>: Following the completion of the Performance Period,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Plan Administrator shall determine the applicable number of Performance-Qualified Shares in accordance with the provisions of the Award Notice and Schedule I attached thereto. The Plan Administrator generally expects to complete this determination within sixty (60) days after the end of the Performance Period. Appendix B attached to this Agreement sets forth examples illustrating the calculation of the number of Shares in which the Participant may vest based upon hypothetical levels of Performance Goal attainment and service vesting requirements.</w:t>
      </w:r>
    </w:p>
    <w:p>
      <w:pPr>
        <w:spacing w:after="0" w:line="150" w:lineRule="exact"/>
        <w:rPr>
          <w:rFonts w:ascii="Arial" w:cs="Arial" w:eastAsia="Arial" w:hAnsi="Arial"/>
          <w:sz w:val="19"/>
          <w:szCs w:val="19"/>
          <w:color w:val="auto"/>
        </w:rPr>
      </w:pPr>
    </w:p>
    <w:p>
      <w:pPr>
        <w:jc w:val="both"/>
        <w:ind w:firstLine="1952"/>
        <w:spacing w:after="0"/>
        <w:tabs>
          <w:tab w:leader="none" w:pos="2592" w:val="left"/>
        </w:tabs>
        <w:numPr>
          <w:ilvl w:val="0"/>
          <w:numId w:val="152"/>
        </w:numPr>
        <w:rPr>
          <w:rFonts w:ascii="Arial" w:cs="Arial" w:eastAsia="Arial" w:hAnsi="Arial"/>
          <w:sz w:val="22"/>
          <w:szCs w:val="22"/>
          <w:color w:val="auto"/>
        </w:rPr>
      </w:pPr>
      <w:r>
        <w:rPr>
          <w:rFonts w:ascii="Arial" w:cs="Arial" w:eastAsia="Arial" w:hAnsi="Arial"/>
          <w:sz w:val="22"/>
          <w:szCs w:val="22"/>
          <w:b w:val="1"/>
          <w:bCs w:val="1"/>
          <w:i w:val="1"/>
          <w:iCs w:val="1"/>
          <w:color w:val="auto"/>
        </w:rPr>
        <w:t>Service Vesting</w:t>
      </w:r>
      <w:r>
        <w:rPr>
          <w:rFonts w:ascii="Arial" w:cs="Arial" w:eastAsia="Arial" w:hAnsi="Arial"/>
          <w:sz w:val="22"/>
          <w:szCs w:val="22"/>
          <w:color w:val="auto"/>
        </w:rPr>
        <w:t>: The Performance-Qualified Shares so determined represent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maximum number of Shares in which Participant can vest hereunder. The actual number of Shares in which Participant shall vest shall be determined as follows:</w:t>
      </w:r>
    </w:p>
    <w:p>
      <w:pPr>
        <w:spacing w:after="0" w:line="186" w:lineRule="exact"/>
        <w:rPr>
          <w:rFonts w:ascii="Arial" w:cs="Arial" w:eastAsia="Arial" w:hAnsi="Arial"/>
          <w:sz w:val="22"/>
          <w:szCs w:val="22"/>
          <w:color w:val="auto"/>
        </w:rPr>
      </w:pPr>
    </w:p>
    <w:p>
      <w:pPr>
        <w:jc w:val="both"/>
        <w:ind w:left="660" w:firstLine="1940"/>
        <w:spacing w:after="0" w:line="234" w:lineRule="auto"/>
        <w:tabs>
          <w:tab w:leader="none" w:pos="3252" w:val="left"/>
        </w:tabs>
        <w:numPr>
          <w:ilvl w:val="1"/>
          <w:numId w:val="152"/>
        </w:numPr>
        <w:rPr>
          <w:rFonts w:ascii="Arial" w:cs="Arial" w:eastAsia="Arial" w:hAnsi="Arial"/>
          <w:sz w:val="22"/>
          <w:szCs w:val="22"/>
          <w:color w:val="auto"/>
        </w:rPr>
      </w:pPr>
      <w:r>
        <w:rPr>
          <w:rFonts w:ascii="Arial" w:cs="Arial" w:eastAsia="Arial" w:hAnsi="Arial"/>
          <w:sz w:val="22"/>
          <w:szCs w:val="22"/>
          <w:color w:val="auto"/>
        </w:rPr>
        <w:t>If Participant continues in Service through the Service Vesting Date, Participant shall vest in all of the Performance-Qualified Shares. The Shares underlying those particular Performance-Qualified Shares shall generally be issued to Participant during the period beginning with the Service Vesting Date and ending on March 15th of that year; provided that, if the Service Vesting Date is after the end of the Performance Period, then the Shares shall be issued as soon as administratively practicable after the Service Vesting Date, but in no event later than sixty (60) days after the Service Vesting Date.</w:t>
      </w:r>
    </w:p>
    <w:p>
      <w:pPr>
        <w:spacing w:after="0" w:line="190" w:lineRule="exact"/>
        <w:rPr>
          <w:rFonts w:ascii="Arial" w:cs="Arial" w:eastAsia="Arial" w:hAnsi="Arial"/>
          <w:sz w:val="22"/>
          <w:szCs w:val="22"/>
          <w:color w:val="auto"/>
        </w:rPr>
      </w:pPr>
    </w:p>
    <w:p>
      <w:pPr>
        <w:jc w:val="both"/>
        <w:ind w:left="660" w:firstLine="1940"/>
        <w:spacing w:after="0" w:line="271" w:lineRule="auto"/>
        <w:tabs>
          <w:tab w:leader="none" w:pos="3252" w:val="left"/>
        </w:tabs>
        <w:numPr>
          <w:ilvl w:val="1"/>
          <w:numId w:val="152"/>
        </w:numPr>
        <w:rPr>
          <w:rFonts w:ascii="Arial" w:cs="Arial" w:eastAsia="Arial" w:hAnsi="Arial"/>
          <w:sz w:val="19"/>
          <w:szCs w:val="19"/>
          <w:color w:val="auto"/>
        </w:rPr>
      </w:pPr>
      <w:r>
        <w:rPr>
          <w:rFonts w:ascii="Arial" w:cs="Arial" w:eastAsia="Arial" w:hAnsi="Arial"/>
          <w:sz w:val="19"/>
          <w:szCs w:val="19"/>
          <w:color w:val="auto"/>
        </w:rPr>
        <w:t xml:space="preserve">If Participant ceases Service </w:t>
      </w:r>
      <w:r>
        <w:rPr>
          <w:rFonts w:ascii="Arial" w:cs="Arial" w:eastAsia="Arial" w:hAnsi="Arial"/>
          <w:sz w:val="19"/>
          <w:szCs w:val="19"/>
          <w:b w:val="1"/>
          <w:bCs w:val="1"/>
          <w:i w:val="1"/>
          <w:iCs w:val="1"/>
          <w:color w:val="auto"/>
        </w:rPr>
        <w:t>prior to</w:t>
      </w:r>
      <w:r>
        <w:rPr>
          <w:rFonts w:ascii="Arial" w:cs="Arial" w:eastAsia="Arial" w:hAnsi="Arial"/>
          <w:sz w:val="19"/>
          <w:szCs w:val="19"/>
          <w:color w:val="auto"/>
        </w:rPr>
        <w:t xml:space="preserve"> the Service Vesting Date by reason of Early Retirement, Normal Retirement, death or Permanent Disability, then Participant shall, upon the determination by the Plan Administrator of the maximum number of Performance-Qualified Shares, vest in a portion of the Performance-Qualified Shares determined by a two-step process: (i) prior to the Service Vesting Date, the Designated Shares will be prorated by multiplying (x) the number of Designated Shares by (y) a fraction, the numerator of which is the number of whole months of actual Service completed by Participant in such Performance Period, and the denominator of which is thirty-six (36) months, the product to be rounded up to the next whole share and (ii) then the number of shares calculated under clause (i) in which Participant may actually vest shall be the maximum number of shares of Common Stock in which Participant can vest under the Performance Vesting section based upon the actual level at which the Performance Goal specified on attached Schedule I is attained. The Shares underlying the Performance-Qualified Shares in which Participant vests in accordance with this subparagraph (ii) shall generally be issued to Participant (or in the event of the death of Participant, then to Participant’s heirs or beneficiaries)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4" w:right="999" w:bottom="1440" w:gutter="0" w:footer="0" w:header="0"/>
        </w:sectPr>
      </w:pPr>
    </w:p>
    <w:bookmarkStart w:id="148" w:name="page149"/>
    <w:bookmarkEnd w:id="148"/>
    <w:p>
      <w:pPr>
        <w:jc w:val="both"/>
        <w:ind w:left="660"/>
        <w:spacing w:after="0" w:line="238" w:lineRule="auto"/>
        <w:rPr>
          <w:sz w:val="20"/>
          <w:szCs w:val="20"/>
          <w:color w:val="auto"/>
        </w:rPr>
      </w:pPr>
      <w:r>
        <w:rPr>
          <w:rFonts w:ascii="Arial" w:cs="Arial" w:eastAsia="Arial" w:hAnsi="Arial"/>
          <w:sz w:val="22"/>
          <w:szCs w:val="22"/>
          <w:color w:val="auto"/>
        </w:rPr>
        <w:t>during the period beginning with the Service Vesting Date and ending on March 15th of that year; provided that, if the Service Vesting Date is after the end of the Performance Period, then the Shares shall be issued as soon as administratively practicable after the Service Vesting Date, but in no event later than sixty (60) days after the Service Vesting Date.</w:t>
      </w:r>
    </w:p>
    <w:p>
      <w:pPr>
        <w:spacing w:after="0" w:line="185" w:lineRule="exact"/>
        <w:rPr>
          <w:sz w:val="20"/>
          <w:szCs w:val="20"/>
          <w:color w:val="auto"/>
        </w:rPr>
      </w:pPr>
    </w:p>
    <w:p>
      <w:pPr>
        <w:jc w:val="both"/>
        <w:ind w:left="660" w:firstLine="1940"/>
        <w:spacing w:after="0" w:line="257" w:lineRule="auto"/>
        <w:tabs>
          <w:tab w:leader="none" w:pos="3252" w:val="left"/>
        </w:tabs>
        <w:numPr>
          <w:ilvl w:val="2"/>
          <w:numId w:val="153"/>
        </w:numPr>
        <w:rPr>
          <w:rFonts w:ascii="Arial" w:cs="Arial" w:eastAsia="Arial" w:hAnsi="Arial"/>
          <w:sz w:val="21"/>
          <w:szCs w:val="21"/>
          <w:color w:val="auto"/>
        </w:rPr>
      </w:pPr>
      <w:r>
        <w:rPr>
          <w:rFonts w:ascii="Arial" w:cs="Arial" w:eastAsia="Arial" w:hAnsi="Arial"/>
          <w:sz w:val="21"/>
          <w:szCs w:val="21"/>
          <w:color w:val="auto"/>
        </w:rPr>
        <w:t>If Participant’s Service ceases for any other reason prior to the Service Vesting Date, then Participant shall not vest in any of the Performance-Qualified Shares and all of Participant's right, title and interest to the Shares subject to this Award shall cease.</w:t>
      </w:r>
    </w:p>
    <w:p>
      <w:pPr>
        <w:spacing w:after="0" w:line="163" w:lineRule="exact"/>
        <w:rPr>
          <w:rFonts w:ascii="Arial" w:cs="Arial" w:eastAsia="Arial" w:hAnsi="Arial"/>
          <w:sz w:val="21"/>
          <w:szCs w:val="21"/>
          <w:color w:val="auto"/>
        </w:rPr>
      </w:pPr>
    </w:p>
    <w:p>
      <w:pPr>
        <w:jc w:val="both"/>
        <w:ind w:firstLine="1304"/>
        <w:spacing w:after="0" w:line="239" w:lineRule="auto"/>
        <w:tabs>
          <w:tab w:leader="none" w:pos="1944" w:val="left"/>
        </w:tabs>
        <w:numPr>
          <w:ilvl w:val="0"/>
          <w:numId w:val="154"/>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Stockholder Rights</w:t>
      </w:r>
      <w:r>
        <w:rPr>
          <w:rFonts w:ascii="Arial" w:cs="Arial" w:eastAsia="Arial" w:hAnsi="Arial"/>
          <w:sz w:val="22"/>
          <w:szCs w:val="22"/>
          <w:color w:val="auto"/>
        </w:rPr>
        <w:t>. The holder of this Award shall not have any stockholder rights,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voting, dividend or liquidation rights, with respect to the Shares subject to the Award until Participant becomes the record holder of those Shares upon their actual issuance following the Corporation’s collection of the applicable Withholding Taxes.</w:t>
      </w:r>
    </w:p>
    <w:p>
      <w:pPr>
        <w:spacing w:after="0" w:line="180" w:lineRule="exact"/>
        <w:rPr>
          <w:rFonts w:ascii="Arial" w:cs="Arial" w:eastAsia="Arial" w:hAnsi="Arial"/>
          <w:sz w:val="22"/>
          <w:szCs w:val="22"/>
          <w:color w:val="auto"/>
        </w:rPr>
      </w:pPr>
    </w:p>
    <w:p>
      <w:pPr>
        <w:jc w:val="both"/>
        <w:ind w:firstLine="1304"/>
        <w:spacing w:after="0" w:line="239" w:lineRule="auto"/>
        <w:tabs>
          <w:tab w:leader="none" w:pos="1944" w:val="left"/>
        </w:tabs>
        <w:numPr>
          <w:ilvl w:val="0"/>
          <w:numId w:val="154"/>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Paragraph 3 above, the following provisions shall</w:t>
      </w:r>
      <w:r>
        <w:rPr>
          <w:rFonts w:ascii="Arial" w:cs="Arial" w:eastAsia="Arial" w:hAnsi="Arial"/>
          <w:sz w:val="22"/>
          <w:szCs w:val="22"/>
          <w:b w:val="1"/>
          <w:bCs w:val="1"/>
          <w:color w:val="auto"/>
        </w:rPr>
        <w:t xml:space="preserve"> </w:t>
      </w:r>
      <w:r>
        <w:rPr>
          <w:rFonts w:ascii="Arial" w:cs="Arial" w:eastAsia="Arial" w:hAnsi="Arial"/>
          <w:sz w:val="22"/>
          <w:szCs w:val="22"/>
          <w:color w:val="auto"/>
        </w:rPr>
        <w:t>apply to the extent a Change in Control is consummated prior to the completion of the applicable Performance Period and shall have no force or effect in the event the closing of the Change in Control occurs on or after the completion of the Performance Period.</w:t>
      </w:r>
    </w:p>
    <w:p>
      <w:pPr>
        <w:spacing w:after="0" w:line="186" w:lineRule="exact"/>
        <w:rPr>
          <w:rFonts w:ascii="Arial" w:cs="Arial" w:eastAsia="Arial" w:hAnsi="Arial"/>
          <w:sz w:val="22"/>
          <w:szCs w:val="22"/>
          <w:color w:val="auto"/>
        </w:rPr>
      </w:pPr>
    </w:p>
    <w:p>
      <w:pPr>
        <w:jc w:val="both"/>
        <w:ind w:firstLine="1952"/>
        <w:spacing w:after="0" w:line="287" w:lineRule="auto"/>
        <w:tabs>
          <w:tab w:leader="none" w:pos="2592" w:val="left"/>
        </w:tabs>
        <w:numPr>
          <w:ilvl w:val="1"/>
          <w:numId w:val="154"/>
        </w:numPr>
        <w:rPr>
          <w:rFonts w:ascii="Arial" w:cs="Arial" w:eastAsia="Arial" w:hAnsi="Arial"/>
          <w:sz w:val="19"/>
          <w:szCs w:val="19"/>
          <w:color w:val="auto"/>
        </w:rPr>
      </w:pPr>
      <w:r>
        <w:rPr>
          <w:rFonts w:ascii="Arial" w:cs="Arial" w:eastAsia="Arial" w:hAnsi="Arial"/>
          <w:sz w:val="19"/>
          <w:szCs w:val="19"/>
          <w:color w:val="auto"/>
        </w:rPr>
        <w:t>This Award may be assumed by the successor entity or otherwise continued in full force and effect, provided, however, that the securities subject to such Award following such assumption or continuation are actively traded on an established securities exchange, or may be replaced with a substitute equivalent award established by the successor entity. In such event, the following provisions shall be in effect:</w:t>
      </w:r>
    </w:p>
    <w:p>
      <w:pPr>
        <w:spacing w:after="0" w:line="142" w:lineRule="exact"/>
        <w:rPr>
          <w:rFonts w:ascii="Arial" w:cs="Arial" w:eastAsia="Arial" w:hAnsi="Arial"/>
          <w:sz w:val="19"/>
          <w:szCs w:val="19"/>
          <w:color w:val="auto"/>
        </w:rPr>
      </w:pPr>
    </w:p>
    <w:p>
      <w:pPr>
        <w:jc w:val="both"/>
        <w:ind w:left="660" w:firstLine="1940"/>
        <w:spacing w:after="0" w:line="287" w:lineRule="auto"/>
        <w:tabs>
          <w:tab w:leader="none" w:pos="3252" w:val="left"/>
        </w:tabs>
        <w:numPr>
          <w:ilvl w:val="2"/>
          <w:numId w:val="154"/>
        </w:numPr>
        <w:rPr>
          <w:rFonts w:ascii="Arial" w:cs="Arial" w:eastAsia="Arial" w:hAnsi="Arial"/>
          <w:sz w:val="19"/>
          <w:szCs w:val="19"/>
          <w:color w:val="auto"/>
        </w:rPr>
      </w:pPr>
      <w:r>
        <w:rPr>
          <w:rFonts w:ascii="Arial" w:cs="Arial" w:eastAsia="Arial" w:hAnsi="Arial"/>
          <w:sz w:val="19"/>
          <w:szCs w:val="19"/>
          <w:color w:val="auto"/>
        </w:rPr>
        <w:t>The Performance-Vesting requirements of this Agreement shall terminate, and the assumption or continuation of this Award shall be effected in accordance with Paragraph 5(b) below on the basis of the number of Change in Control Shares. The Service-vesting and issuance provisions of Paragraph 3(b)(i) shall continue in effect with respect to the assumed or continued Award.</w:t>
      </w:r>
    </w:p>
    <w:p>
      <w:pPr>
        <w:spacing w:after="0" w:line="143" w:lineRule="exact"/>
        <w:rPr>
          <w:sz w:val="20"/>
          <w:szCs w:val="20"/>
          <w:color w:val="auto"/>
        </w:rPr>
      </w:pPr>
    </w:p>
    <w:p>
      <w:pPr>
        <w:jc w:val="both"/>
        <w:ind w:left="660" w:firstLine="1940"/>
        <w:spacing w:after="0" w:line="244" w:lineRule="auto"/>
        <w:tabs>
          <w:tab w:leader="none" w:pos="3252" w:val="left"/>
        </w:tabs>
        <w:numPr>
          <w:ilvl w:val="0"/>
          <w:numId w:val="155"/>
        </w:numPr>
        <w:rPr>
          <w:rFonts w:ascii="Arial" w:cs="Arial" w:eastAsia="Arial" w:hAnsi="Arial"/>
          <w:sz w:val="21"/>
          <w:szCs w:val="21"/>
          <w:color w:val="auto"/>
        </w:rPr>
      </w:pPr>
      <w:r>
        <w:rPr>
          <w:rFonts w:ascii="Arial" w:cs="Arial" w:eastAsia="Arial" w:hAnsi="Arial"/>
          <w:sz w:val="21"/>
          <w:szCs w:val="21"/>
          <w:color w:val="auto"/>
        </w:rPr>
        <w:t>If Participant ceases Service prior to the Service Vesting Date by reason of Early Retirement, Normal Retirement, death or Permanent Disability, then Participant shall, upon the closing of the Change in Control or (if later) such cessation of Service, vest in that number of Shares determined by multiplying (x) the number of Change in Control Shares by (y) a fraction, the numerator of which is the number of whole months of actual Service completed by Participant in such Performance Period, and the denominator of which is thirty-six (36) months. The Shares in which Participant so vests shall be issued to Participant on the earlier of (i) the date the Shares would have otherwise been issued pursuant to the provisions of Paragraph 3(b)(ii) in the absence of such Change in Control or, should such cessation of Service occur after such Change in Control but within twenty-four (24) months after the closing of a Qualifying Change in Control, (ii) the date of Participant’s Separation from Service due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4" w:right="999" w:bottom="1440" w:gutter="0" w:footer="0" w:header="0"/>
        </w:sectPr>
      </w:pPr>
    </w:p>
    <w:bookmarkStart w:id="149" w:name="page150"/>
    <w:bookmarkEnd w:id="149"/>
    <w:p>
      <w:pPr>
        <w:ind w:left="660"/>
        <w:spacing w:after="0"/>
        <w:rPr>
          <w:sz w:val="20"/>
          <w:szCs w:val="20"/>
          <w:color w:val="auto"/>
        </w:rPr>
      </w:pPr>
      <w:r>
        <w:rPr>
          <w:rFonts w:ascii="Arial" w:cs="Arial" w:eastAsia="Arial" w:hAnsi="Arial"/>
          <w:sz w:val="22"/>
          <w:szCs w:val="22"/>
          <w:color w:val="auto"/>
        </w:rPr>
        <w:t>cessation of Service.</w:t>
      </w:r>
    </w:p>
    <w:p>
      <w:pPr>
        <w:spacing w:after="0" w:line="206" w:lineRule="exact"/>
        <w:rPr>
          <w:sz w:val="20"/>
          <w:szCs w:val="20"/>
          <w:color w:val="auto"/>
        </w:rPr>
      </w:pPr>
    </w:p>
    <w:p>
      <w:pPr>
        <w:jc w:val="both"/>
        <w:ind w:left="660" w:firstLine="1940"/>
        <w:spacing w:after="0" w:line="244" w:lineRule="auto"/>
        <w:tabs>
          <w:tab w:leader="none" w:pos="3252" w:val="left"/>
        </w:tabs>
        <w:numPr>
          <w:ilvl w:val="1"/>
          <w:numId w:val="156"/>
        </w:numPr>
        <w:rPr>
          <w:rFonts w:ascii="Arial" w:cs="Arial" w:eastAsia="Arial" w:hAnsi="Arial"/>
          <w:sz w:val="21"/>
          <w:szCs w:val="21"/>
          <w:color w:val="auto"/>
        </w:rPr>
      </w:pPr>
      <w:r>
        <w:rPr>
          <w:rFonts w:ascii="Arial" w:cs="Arial" w:eastAsia="Arial" w:hAnsi="Arial"/>
          <w:sz w:val="21"/>
          <w:szCs w:val="21"/>
          <w:color w:val="auto"/>
        </w:rPr>
        <w:t xml:space="preserve">To the extent the substitute equivalent award is in the form of cash, a cash retention account shall be established and shall initially be credited with the Fair Market Value (at the effective time of the Change in Control) of the number of Change in Control Shares, and interest shall accrue on the outstanding balance of such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by </w:t>
      </w:r>
      <w:r>
        <w:rPr>
          <w:rFonts w:ascii="Arial" w:cs="Arial" w:eastAsia="Arial" w:hAnsi="Arial"/>
          <w:sz w:val="21"/>
          <w:szCs w:val="21"/>
          <w:b w:val="1"/>
          <w:bCs w:val="1"/>
          <w:i w:val="1"/>
          <w:iCs w:val="1"/>
          <w:color w:val="auto"/>
        </w:rPr>
        <w:t>The Wall Street Journal</w:t>
      </w:r>
      <w:r>
        <w:rPr>
          <w:rFonts w:ascii="Arial" w:cs="Arial" w:eastAsia="Arial" w:hAnsi="Arial"/>
          <w:sz w:val="21"/>
          <w:szCs w:val="21"/>
          <w:color w:val="auto"/>
        </w:rPr>
        <w:t>. The cash retention account shall vest and be paid out in accordance with the Service vesting and issuance provisions of Paragraph 3(b)(i) or (to the extent applicable) in accordance with the pro-rata Service vesting and issuance provisions of Paragraph 5(a)(ii) above. The Participant’s interest in the account shall at all times be that of a general, unsecured creditor.</w:t>
      </w:r>
    </w:p>
    <w:p>
      <w:pPr>
        <w:spacing w:after="0" w:line="185" w:lineRule="exact"/>
        <w:rPr>
          <w:rFonts w:ascii="Arial" w:cs="Arial" w:eastAsia="Arial" w:hAnsi="Arial"/>
          <w:sz w:val="21"/>
          <w:szCs w:val="21"/>
          <w:color w:val="auto"/>
        </w:rPr>
      </w:pPr>
    </w:p>
    <w:p>
      <w:pPr>
        <w:jc w:val="both"/>
        <w:ind w:left="660" w:firstLine="1940"/>
        <w:spacing w:after="0" w:line="287" w:lineRule="auto"/>
        <w:tabs>
          <w:tab w:leader="none" w:pos="3252" w:val="left"/>
        </w:tabs>
        <w:numPr>
          <w:ilvl w:val="1"/>
          <w:numId w:val="156"/>
        </w:numPr>
        <w:rPr>
          <w:rFonts w:ascii="Arial" w:cs="Arial" w:eastAsia="Arial" w:hAnsi="Arial"/>
          <w:sz w:val="19"/>
          <w:szCs w:val="19"/>
          <w:color w:val="auto"/>
        </w:rPr>
      </w:pPr>
      <w:r>
        <w:rPr>
          <w:rFonts w:ascii="Arial" w:cs="Arial" w:eastAsia="Arial" w:hAnsi="Arial"/>
          <w:sz w:val="19"/>
          <w:szCs w:val="19"/>
          <w:color w:val="auto"/>
        </w:rPr>
        <w:t>In the event of such assumption or continuation of this Award or such replacement of the Award with a substitute equivalent award, no accelerated vesting of the Performance Shares subject to this Award or the underlying Shares shall occur at the time of the Change in Control, and the Service-vesting provisions of Paragraph 3(b) shall continue in full force and effect.</w:t>
      </w:r>
    </w:p>
    <w:p>
      <w:pPr>
        <w:spacing w:after="0" w:line="142" w:lineRule="exact"/>
        <w:rPr>
          <w:rFonts w:ascii="Arial" w:cs="Arial" w:eastAsia="Arial" w:hAnsi="Arial"/>
          <w:sz w:val="19"/>
          <w:szCs w:val="19"/>
          <w:color w:val="auto"/>
        </w:rPr>
      </w:pPr>
    </w:p>
    <w:p>
      <w:pPr>
        <w:jc w:val="both"/>
        <w:ind w:firstLine="1952"/>
        <w:spacing w:after="0" w:line="273" w:lineRule="auto"/>
        <w:tabs>
          <w:tab w:leader="none" w:pos="2592" w:val="left"/>
        </w:tabs>
        <w:numPr>
          <w:ilvl w:val="0"/>
          <w:numId w:val="157"/>
        </w:numPr>
        <w:rPr>
          <w:rFonts w:ascii="Arial" w:cs="Arial" w:eastAsia="Arial" w:hAnsi="Arial"/>
          <w:sz w:val="19"/>
          <w:szCs w:val="19"/>
          <w:color w:val="auto"/>
        </w:rPr>
      </w:pPr>
      <w:r>
        <w:rPr>
          <w:rFonts w:ascii="Arial" w:cs="Arial" w:eastAsia="Arial" w:hAnsi="Arial"/>
          <w:sz w:val="19"/>
          <w:szCs w:val="19"/>
          <w:color w:val="auto"/>
        </w:rPr>
        <w:t>In the event this Award is assumed, otherwise continued in effect, or replaced in connection with such Change in Control, the securities subject to the Award shall be adjusted immediately after the consummation of that Change in Control so as to apply to the number and class of securities into which the number of Change in Control Shares would have been converted in consummation of that Change in Control had that number of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Performance Shares subject to the Award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spacing w:after="0" w:line="155" w:lineRule="exact"/>
        <w:rPr>
          <w:rFonts w:ascii="Arial" w:cs="Arial" w:eastAsia="Arial" w:hAnsi="Arial"/>
          <w:sz w:val="19"/>
          <w:szCs w:val="19"/>
          <w:color w:val="auto"/>
        </w:rPr>
      </w:pPr>
    </w:p>
    <w:p>
      <w:pPr>
        <w:jc w:val="both"/>
        <w:ind w:firstLine="1952"/>
        <w:spacing w:after="0" w:line="275" w:lineRule="auto"/>
        <w:tabs>
          <w:tab w:leader="none" w:pos="2592" w:val="left"/>
        </w:tabs>
        <w:numPr>
          <w:ilvl w:val="0"/>
          <w:numId w:val="157"/>
        </w:numPr>
        <w:rPr>
          <w:rFonts w:ascii="Arial" w:cs="Arial" w:eastAsia="Arial" w:hAnsi="Arial"/>
          <w:sz w:val="19"/>
          <w:szCs w:val="19"/>
          <w:color w:val="auto"/>
        </w:rPr>
      </w:pPr>
      <w:r>
        <w:rPr>
          <w:rFonts w:ascii="Arial" w:cs="Arial" w:eastAsia="Arial" w:hAnsi="Arial"/>
          <w:sz w:val="19"/>
          <w:szCs w:val="19"/>
          <w:color w:val="auto"/>
        </w:rPr>
        <w:t>Upon Participant’s Separation from Service due to an Involuntary Termination occurring within twenty-four (24) months after a Change in Control in which this Award is assumed or continued in effect, Participant shall immediately vest in that number of Shares equal to the Change in Control Shares that remain unvested, and that number of Shares shall be issued to Participant on the date of Participant’s Separation from Service due to such cessation of Service. Should this Award be replaced with a substitute equivalent award in accordance with Paragraph 5(a), then that award shall vest upon Participant’s Separation from Service due to the Involuntary Termination, provided and only if such Involuntary Termination occurs within twenty-four (24) months following the Change in Control. Such vested portion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4" w:right="999" w:bottom="1440" w:gutter="0" w:footer="0" w:header="0"/>
        </w:sectPr>
      </w:pPr>
    </w:p>
    <w:bookmarkStart w:id="150" w:name="page151"/>
    <w:bookmarkEnd w:id="150"/>
    <w:p>
      <w:pPr>
        <w:jc w:val="both"/>
        <w:spacing w:after="0" w:line="249" w:lineRule="auto"/>
        <w:rPr>
          <w:sz w:val="20"/>
          <w:szCs w:val="20"/>
          <w:color w:val="auto"/>
        </w:rPr>
      </w:pPr>
      <w:r>
        <w:rPr>
          <w:rFonts w:ascii="Arial" w:cs="Arial" w:eastAsia="Arial" w:hAnsi="Arial"/>
          <w:sz w:val="21"/>
          <w:szCs w:val="21"/>
          <w:color w:val="auto"/>
        </w:rPr>
        <w:t>the award shall be issued or distributed, as applicable, on the date of Participant’s Separation from Service, provided such Separation from Service occurs within twenty-four (24) months after a Qualifying Change in Control. Except for the number of Shares, or such equivalent award, distributed in accordance with the foregoing provisions of this Paragraph 5(c), Participant shall have no further right or entitlement to any additional Shares or other cash or property hereunder upon such Separation from Service.</w:t>
      </w:r>
    </w:p>
    <w:p>
      <w:pPr>
        <w:spacing w:after="0" w:line="178" w:lineRule="exact"/>
        <w:rPr>
          <w:sz w:val="20"/>
          <w:szCs w:val="20"/>
          <w:color w:val="auto"/>
        </w:rPr>
      </w:pPr>
    </w:p>
    <w:p>
      <w:pPr>
        <w:jc w:val="both"/>
        <w:ind w:firstLine="1952"/>
        <w:spacing w:after="0"/>
        <w:tabs>
          <w:tab w:leader="none" w:pos="2592" w:val="left"/>
        </w:tabs>
        <w:numPr>
          <w:ilvl w:val="1"/>
          <w:numId w:val="158"/>
        </w:numPr>
        <w:rPr>
          <w:rFonts w:ascii="Arial" w:cs="Arial" w:eastAsia="Arial" w:hAnsi="Arial"/>
          <w:sz w:val="22"/>
          <w:szCs w:val="22"/>
          <w:color w:val="auto"/>
        </w:rPr>
      </w:pPr>
      <w:r>
        <w:rPr>
          <w:rFonts w:ascii="Arial" w:cs="Arial" w:eastAsia="Arial" w:hAnsi="Arial"/>
          <w:sz w:val="22"/>
          <w:szCs w:val="22"/>
          <w:color w:val="auto"/>
        </w:rPr>
        <w:t>If the Award is not (1) assumed by the successor entity, (2) otherwise continued in effect or (3) replaced with a substitute equivalent award in accordance with Paragraph 5(a), then the following provisions shall apply:</w:t>
      </w:r>
    </w:p>
    <w:p>
      <w:pPr>
        <w:spacing w:after="0" w:line="186" w:lineRule="exact"/>
        <w:rPr>
          <w:rFonts w:ascii="Arial" w:cs="Arial" w:eastAsia="Arial" w:hAnsi="Arial"/>
          <w:sz w:val="22"/>
          <w:szCs w:val="22"/>
          <w:color w:val="auto"/>
        </w:rPr>
      </w:pPr>
    </w:p>
    <w:p>
      <w:pPr>
        <w:jc w:val="both"/>
        <w:ind w:left="660" w:firstLine="1859"/>
        <w:spacing w:after="0" w:line="269" w:lineRule="auto"/>
        <w:tabs>
          <w:tab w:leader="none" w:pos="3252" w:val="left"/>
        </w:tabs>
        <w:numPr>
          <w:ilvl w:val="2"/>
          <w:numId w:val="158"/>
        </w:numPr>
        <w:rPr>
          <w:rFonts w:ascii="Arial" w:cs="Arial" w:eastAsia="Arial" w:hAnsi="Arial"/>
          <w:sz w:val="19"/>
          <w:szCs w:val="19"/>
          <w:color w:val="auto"/>
        </w:rPr>
      </w:pPr>
      <w:r>
        <w:rPr>
          <w:rFonts w:ascii="Arial" w:cs="Arial" w:eastAsia="Arial" w:hAnsi="Arial"/>
          <w:sz w:val="19"/>
          <w:szCs w:val="19"/>
          <w:color w:val="auto"/>
        </w:rPr>
        <w:t xml:space="preserve">If Participant continues in Service through the effective date of the Change in Control, then Participant shall, upon the closing of such Change in Control, vest in that number of Shares equal to the Change in Control Shares. The Shares in which Participant so vests shall be converted into the right to receive the same consideration per share of Common Stock payable to the other stockholders of the Corporation in consummation of the Change in Control. Such consideration per Share shall be distributed to Participant on the </w:t>
      </w:r>
      <w:r>
        <w:rPr>
          <w:rFonts w:ascii="Arial" w:cs="Arial" w:eastAsia="Arial" w:hAnsi="Arial"/>
          <w:sz w:val="19"/>
          <w:szCs w:val="19"/>
          <w:b w:val="1"/>
          <w:bCs w:val="1"/>
          <w:i w:val="1"/>
          <w:iCs w:val="1"/>
          <w:color w:val="auto"/>
        </w:rPr>
        <w:t>earliest</w:t>
      </w:r>
      <w:r>
        <w:rPr>
          <w:rFonts w:ascii="Arial" w:cs="Arial" w:eastAsia="Arial" w:hAnsi="Arial"/>
          <w:sz w:val="19"/>
          <w:szCs w:val="19"/>
          <w:color w:val="auto"/>
        </w:rPr>
        <w:t xml:space="preserve"> to occur of (x) the date the Share would have otherwise been issued pursuant to the Service vesting and issuance provisions set forth in Paragraph 3(b)(i) in the absence of such Change in Control, (y) the date of Participant’s Separation from Service, provided such Separation from Service occurs within twenty-four (24) months after a Qualifying Change in Control, or</w:t>
      </w:r>
    </w:p>
    <w:p>
      <w:pPr>
        <w:spacing w:after="0" w:line="1" w:lineRule="exact"/>
        <w:rPr>
          <w:rFonts w:ascii="Arial" w:cs="Arial" w:eastAsia="Arial" w:hAnsi="Arial"/>
          <w:sz w:val="19"/>
          <w:szCs w:val="19"/>
          <w:color w:val="auto"/>
        </w:rPr>
      </w:pPr>
    </w:p>
    <w:p>
      <w:pPr>
        <w:jc w:val="both"/>
        <w:ind w:left="660" w:hanging="4"/>
        <w:spacing w:after="0" w:line="234" w:lineRule="auto"/>
        <w:tabs>
          <w:tab w:leader="none" w:pos="97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first date upon or following a Qualifying Change in Control transaction on which the distribution can be made without contravention of any applicable provisions of Section 409A of the Code (“Section 409A”).</w:t>
      </w:r>
    </w:p>
    <w:p>
      <w:pPr>
        <w:spacing w:after="0" w:line="187" w:lineRule="exact"/>
        <w:rPr>
          <w:rFonts w:ascii="Arial" w:cs="Arial" w:eastAsia="Arial" w:hAnsi="Arial"/>
          <w:sz w:val="22"/>
          <w:szCs w:val="22"/>
          <w:color w:val="auto"/>
        </w:rPr>
      </w:pPr>
    </w:p>
    <w:p>
      <w:pPr>
        <w:jc w:val="both"/>
        <w:ind w:left="660" w:firstLine="1859"/>
        <w:spacing w:after="0" w:line="272" w:lineRule="auto"/>
        <w:tabs>
          <w:tab w:leader="none" w:pos="3252" w:val="left"/>
        </w:tabs>
        <w:numPr>
          <w:ilvl w:val="2"/>
          <w:numId w:val="159"/>
        </w:numPr>
        <w:rPr>
          <w:rFonts w:ascii="Arial" w:cs="Arial" w:eastAsia="Arial" w:hAnsi="Arial"/>
          <w:sz w:val="19"/>
          <w:szCs w:val="19"/>
          <w:color w:val="auto"/>
        </w:rPr>
      </w:pPr>
      <w:r>
        <w:rPr>
          <w:rFonts w:ascii="Arial" w:cs="Arial" w:eastAsia="Arial" w:hAnsi="Arial"/>
          <w:sz w:val="19"/>
          <w:szCs w:val="19"/>
          <w:color w:val="auto"/>
        </w:rPr>
        <w:t xml:space="preserve">To the extent the consideration payable per share of Common Stock in the Change in Control is in the form of cash, a fully-vested cash retention account shall be established by the successor entity at the time of such Change in Control for each Share that vests on an accelerated basis in accordance with Paragraph 5(d)(i) above. Such account shall be credited with the amount of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by </w:t>
      </w:r>
      <w:r>
        <w:rPr>
          <w:rFonts w:ascii="Arial" w:cs="Arial" w:eastAsia="Arial" w:hAnsi="Arial"/>
          <w:sz w:val="19"/>
          <w:szCs w:val="19"/>
          <w:b w:val="1"/>
          <w:bCs w:val="1"/>
          <w:i w:val="1"/>
          <w:iCs w:val="1"/>
          <w:color w:val="auto"/>
        </w:rPr>
        <w:t>The Wall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Street Journal</w:t>
      </w:r>
      <w:r>
        <w:rPr>
          <w:rFonts w:ascii="Arial" w:cs="Arial" w:eastAsia="Arial" w:hAnsi="Arial"/>
          <w:sz w:val="19"/>
          <w:szCs w:val="19"/>
          <w:color w:val="auto"/>
        </w:rPr>
        <w:t>. The cash retention account, together with all accrued interest thereon through the actual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payment date, shall be distributed, as to each Share to which that cash retention accounts pertains, in accordance with the foregoing distribution provisions of Paragraph 5(d)(i) above. Participant’s interest in the account shall at all times be that of a general, unsecured creditor.</w:t>
      </w:r>
    </w:p>
    <w:p>
      <w:pPr>
        <w:spacing w:after="0" w:line="156" w:lineRule="exact"/>
        <w:rPr>
          <w:sz w:val="20"/>
          <w:szCs w:val="20"/>
          <w:color w:val="auto"/>
        </w:rPr>
      </w:pPr>
    </w:p>
    <w:p>
      <w:pPr>
        <w:ind w:left="660" w:right="20" w:firstLine="1859"/>
        <w:spacing w:after="0" w:line="250" w:lineRule="auto"/>
        <w:tabs>
          <w:tab w:leader="none" w:pos="3252" w:val="left"/>
        </w:tabs>
        <w:numPr>
          <w:ilvl w:val="0"/>
          <w:numId w:val="160"/>
        </w:numPr>
        <w:rPr>
          <w:rFonts w:ascii="Arial" w:cs="Arial" w:eastAsia="Arial" w:hAnsi="Arial"/>
          <w:sz w:val="22"/>
          <w:szCs w:val="22"/>
          <w:color w:val="auto"/>
        </w:rPr>
      </w:pPr>
      <w:r>
        <w:rPr>
          <w:rFonts w:ascii="Arial" w:cs="Arial" w:eastAsia="Arial" w:hAnsi="Arial"/>
          <w:sz w:val="22"/>
          <w:szCs w:val="22"/>
          <w:color w:val="auto"/>
        </w:rPr>
        <w:t>If Participant ceases Service prior to the effective date of the Change in Control by reason of Early Retirement, Normal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4" w:right="999" w:bottom="1440" w:gutter="0" w:footer="0" w:header="0"/>
        </w:sectPr>
      </w:pPr>
    </w:p>
    <w:bookmarkStart w:id="151" w:name="page152"/>
    <w:bookmarkEnd w:id="151"/>
    <w:p>
      <w:pPr>
        <w:jc w:val="both"/>
        <w:ind w:left="660"/>
        <w:spacing w:after="0" w:line="244" w:lineRule="auto"/>
        <w:rPr>
          <w:sz w:val="20"/>
          <w:szCs w:val="20"/>
          <w:color w:val="auto"/>
        </w:rPr>
      </w:pPr>
      <w:r>
        <w:rPr>
          <w:rFonts w:ascii="Arial" w:cs="Arial" w:eastAsia="Arial" w:hAnsi="Arial"/>
          <w:sz w:val="21"/>
          <w:szCs w:val="21"/>
          <w:color w:val="auto"/>
        </w:rPr>
        <w:t xml:space="preserve">death or Permanent Disability, then Participant shall, upon the closing of such Change in Control, vest in that number of Shares determined by multiplying (x) the number of Change in Control Shares by (y) a fraction, the numerator of which is the number of whole months of actual Service completed by Participant in such Performance Period, and the denominator of which is thirty-six (36) months. The Shares in which Participant so vests shall be converted into the right to receive the same consideration per share of Common Stock payable to the other stockholders of the Corporation in consummation of the Change in Control. Such consideration per Share shall be distributed to Participant on the </w:t>
      </w:r>
      <w:r>
        <w:rPr>
          <w:rFonts w:ascii="Arial" w:cs="Arial" w:eastAsia="Arial" w:hAnsi="Arial"/>
          <w:sz w:val="21"/>
          <w:szCs w:val="21"/>
          <w:b w:val="1"/>
          <w:bCs w:val="1"/>
          <w:i w:val="1"/>
          <w:iCs w:val="1"/>
          <w:color w:val="auto"/>
        </w:rPr>
        <w:t>earlier</w:t>
      </w:r>
      <w:r>
        <w:rPr>
          <w:rFonts w:ascii="Arial" w:cs="Arial" w:eastAsia="Arial" w:hAnsi="Arial"/>
          <w:sz w:val="21"/>
          <w:szCs w:val="21"/>
          <w:color w:val="auto"/>
        </w:rPr>
        <w:t xml:space="preserve"> of (A) the date the Share would have otherwise been issued pursuant to the provisions of Paragraph 3(b)(ii) in the absence of such Change in Control or (B) the first date upon or following a Qualifying Change in Control transaction on which the distribution can be made without contravention of any applicable provisions of Section 409A.</w:t>
      </w:r>
    </w:p>
    <w:p>
      <w:pPr>
        <w:spacing w:after="0" w:line="188" w:lineRule="exact"/>
        <w:rPr>
          <w:sz w:val="20"/>
          <w:szCs w:val="20"/>
          <w:color w:val="auto"/>
        </w:rPr>
      </w:pPr>
    </w:p>
    <w:p>
      <w:pPr>
        <w:ind w:left="660" w:firstLine="1859"/>
        <w:spacing w:after="0" w:line="274" w:lineRule="auto"/>
        <w:tabs>
          <w:tab w:leader="none" w:pos="3252" w:val="left"/>
        </w:tabs>
        <w:numPr>
          <w:ilvl w:val="1"/>
          <w:numId w:val="161"/>
        </w:numPr>
        <w:rPr>
          <w:rFonts w:ascii="Arial" w:cs="Arial" w:eastAsia="Arial" w:hAnsi="Arial"/>
          <w:sz w:val="21"/>
          <w:szCs w:val="21"/>
          <w:color w:val="auto"/>
        </w:rPr>
      </w:pPr>
      <w:r>
        <w:rPr>
          <w:rFonts w:ascii="Arial" w:cs="Arial" w:eastAsia="Arial" w:hAnsi="Arial"/>
          <w:sz w:val="21"/>
          <w:szCs w:val="21"/>
          <w:color w:val="auto"/>
        </w:rPr>
        <w:t>Except for the amount of consideration so calculated, Participant shall have no further right or entitlement to any additional Shares or consideration under this Award.</w:t>
      </w:r>
    </w:p>
    <w:p>
      <w:pPr>
        <w:spacing w:after="0" w:line="144" w:lineRule="exact"/>
        <w:rPr>
          <w:rFonts w:ascii="Arial" w:cs="Arial" w:eastAsia="Arial" w:hAnsi="Arial"/>
          <w:sz w:val="21"/>
          <w:szCs w:val="21"/>
          <w:color w:val="auto"/>
        </w:rPr>
      </w:pPr>
    </w:p>
    <w:p>
      <w:pPr>
        <w:jc w:val="both"/>
        <w:ind w:firstLine="1304"/>
        <w:spacing w:after="0" w:line="274" w:lineRule="auto"/>
        <w:tabs>
          <w:tab w:leader="none" w:pos="1944" w:val="left"/>
        </w:tabs>
        <w:numPr>
          <w:ilvl w:val="0"/>
          <w:numId w:val="162"/>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to the contrary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there is any conflict between the issuance or distribution provisions of this Agreement and the issuance or distribution provisions of the Change in Control Benefits Agreement, the issuance and distribution provisions of this Agreement shall be controlling.</w:t>
      </w:r>
    </w:p>
    <w:p>
      <w:pPr>
        <w:spacing w:after="0" w:line="151" w:lineRule="exact"/>
        <w:rPr>
          <w:rFonts w:ascii="Arial" w:cs="Arial" w:eastAsia="Arial" w:hAnsi="Arial"/>
          <w:sz w:val="19"/>
          <w:szCs w:val="19"/>
          <w:color w:val="auto"/>
        </w:rPr>
      </w:pPr>
    </w:p>
    <w:p>
      <w:pPr>
        <w:jc w:val="both"/>
        <w:ind w:firstLine="1304"/>
        <w:spacing w:after="0" w:line="272" w:lineRule="auto"/>
        <w:tabs>
          <w:tab w:leader="none" w:pos="1944" w:val="left"/>
        </w:tabs>
        <w:numPr>
          <w:ilvl w:val="0"/>
          <w:numId w:val="162"/>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in Shares</w:t>
      </w:r>
      <w:r>
        <w:rPr>
          <w:rFonts w:ascii="Arial" w:cs="Arial" w:eastAsia="Arial" w:hAnsi="Arial"/>
          <w:sz w:val="19"/>
          <w:szCs w:val="19"/>
          <w:color w:val="auto"/>
        </w:rPr>
        <w:t>. Should any change be made to the Common Stock by reason of</w:t>
      </w:r>
      <w:r>
        <w:rPr>
          <w:rFonts w:ascii="Arial" w:cs="Arial" w:eastAsia="Arial" w:hAnsi="Arial"/>
          <w:sz w:val="19"/>
          <w:szCs w:val="19"/>
          <w:b w:val="1"/>
          <w:bCs w:val="1"/>
          <w:color w:val="auto"/>
        </w:rPr>
        <w:t xml:space="preserve"> </w:t>
      </w:r>
      <w:r>
        <w:rPr>
          <w:rFonts w:ascii="Arial" w:cs="Arial" w:eastAsia="Arial" w:hAnsi="Arial"/>
          <w:sz w:val="19"/>
          <w:szCs w:val="19"/>
          <w:color w:val="auto"/>
        </w:rPr>
        <w:t>any 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5 in connection with the transaction, and the determination of the Plan Administrator shall be final, binding and conclusive as provided in Section III.C. of Article One of the Plan. In the event of any Change in Control transaction, the adjustment provisions of Paragraph 5(b) shall be controlling.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4" w:right="999" w:bottom="1440" w:gutter="0" w:footer="0" w:header="0"/>
        </w:sectPr>
      </w:pPr>
    </w:p>
    <w:bookmarkStart w:id="152" w:name="page153"/>
    <w:bookmarkEnd w:id="152"/>
    <w:p>
      <w:pPr>
        <w:ind w:left="1960" w:hanging="656"/>
        <w:spacing w:after="0"/>
        <w:tabs>
          <w:tab w:leader="none" w:pos="1960" w:val="left"/>
        </w:tabs>
        <w:numPr>
          <w:ilvl w:val="0"/>
          <w:numId w:val="163"/>
        </w:numPr>
        <w:rPr>
          <w:rFonts w:ascii="Arial" w:cs="Arial" w:eastAsia="Arial" w:hAnsi="Arial"/>
          <w:sz w:val="22"/>
          <w:szCs w:val="22"/>
          <w:color w:val="auto"/>
        </w:rPr>
      </w:pPr>
      <w:r>
        <w:rPr>
          <w:rFonts w:ascii="Arial" w:cs="Arial" w:eastAsia="Arial" w:hAnsi="Arial"/>
          <w:sz w:val="22"/>
          <w:szCs w:val="22"/>
          <w:b w:val="1"/>
          <w:bCs w:val="1"/>
          <w:u w:val="single" w:color="auto"/>
          <w:color w:val="auto"/>
        </w:rPr>
        <w:t>Issuance of Vested Shares and Applicable Withholding Taxes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line="252" w:lineRule="auto"/>
        <w:tabs>
          <w:tab w:leader="none" w:pos="2592" w:val="left"/>
        </w:tabs>
        <w:numPr>
          <w:ilvl w:val="1"/>
          <w:numId w:val="163"/>
        </w:numPr>
        <w:rPr>
          <w:rFonts w:ascii="Arial" w:cs="Arial" w:eastAsia="Arial" w:hAnsi="Arial"/>
          <w:sz w:val="21"/>
          <w:szCs w:val="21"/>
          <w:color w:val="auto"/>
        </w:rPr>
      </w:pPr>
      <w:r>
        <w:rPr>
          <w:rFonts w:ascii="Arial" w:cs="Arial" w:eastAsia="Arial" w:hAnsi="Arial"/>
          <w:sz w:val="21"/>
          <w:szCs w:val="21"/>
          <w:color w:val="auto"/>
        </w:rPr>
        <w:t>Any Shares to be issued to Participant in accordance with the foregoing provisions of this Agreement shall be in the form of a book entry evidencing ownership of those Shares. Actual certificates for the vested Shares evidenced by book entry ownership shall be promptly delivered upon the request of Participant or any other person having an interest at the time in those Shares.</w:t>
      </w:r>
    </w:p>
    <w:p>
      <w:pPr>
        <w:spacing w:after="0" w:line="173" w:lineRule="exact"/>
        <w:rPr>
          <w:rFonts w:ascii="Arial" w:cs="Arial" w:eastAsia="Arial" w:hAnsi="Arial"/>
          <w:sz w:val="21"/>
          <w:szCs w:val="21"/>
          <w:color w:val="auto"/>
        </w:rPr>
      </w:pPr>
    </w:p>
    <w:p>
      <w:pPr>
        <w:jc w:val="both"/>
        <w:ind w:firstLine="1952"/>
        <w:spacing w:after="0" w:line="257" w:lineRule="auto"/>
        <w:tabs>
          <w:tab w:leader="none" w:pos="2592" w:val="left"/>
        </w:tabs>
        <w:numPr>
          <w:ilvl w:val="1"/>
          <w:numId w:val="163"/>
        </w:numPr>
        <w:rPr>
          <w:rFonts w:ascii="Arial" w:cs="Arial" w:eastAsia="Arial" w:hAnsi="Arial"/>
          <w:sz w:val="21"/>
          <w:szCs w:val="21"/>
          <w:color w:val="auto"/>
        </w:rPr>
      </w:pPr>
      <w:r>
        <w:rPr>
          <w:rFonts w:ascii="Arial" w:cs="Arial" w:eastAsia="Arial" w:hAnsi="Arial"/>
          <w:sz w:val="21"/>
          <w:szCs w:val="21"/>
          <w:color w:val="auto"/>
        </w:rPr>
        <w:t>The Corporation shall collect the Withholding Taxes with respect to each non-Share distribution by withholding a portion of that distribution equal to the amount of the applicable Withholding Taxes, with the cash portion of the distribution to be the first portion so withheld.</w:t>
      </w:r>
    </w:p>
    <w:p>
      <w:pPr>
        <w:spacing w:after="0" w:line="169" w:lineRule="exact"/>
        <w:rPr>
          <w:rFonts w:ascii="Arial" w:cs="Arial" w:eastAsia="Arial" w:hAnsi="Arial"/>
          <w:sz w:val="21"/>
          <w:szCs w:val="21"/>
          <w:color w:val="auto"/>
        </w:rPr>
      </w:pPr>
    </w:p>
    <w:p>
      <w:pPr>
        <w:jc w:val="both"/>
        <w:ind w:firstLine="1952"/>
        <w:spacing w:after="0"/>
        <w:tabs>
          <w:tab w:leader="none" w:pos="2592" w:val="left"/>
        </w:tabs>
        <w:numPr>
          <w:ilvl w:val="1"/>
          <w:numId w:val="163"/>
        </w:numPr>
        <w:rPr>
          <w:rFonts w:ascii="Arial" w:cs="Arial" w:eastAsia="Arial" w:hAnsi="Arial"/>
          <w:sz w:val="22"/>
          <w:szCs w:val="22"/>
          <w:color w:val="auto"/>
        </w:rPr>
      </w:pPr>
      <w:r>
        <w:rPr>
          <w:rFonts w:ascii="Arial" w:cs="Arial" w:eastAsia="Arial" w:hAnsi="Arial"/>
          <w:sz w:val="22"/>
          <w:szCs w:val="22"/>
          <w:color w:val="auto"/>
        </w:rPr>
        <w:t>The following provisions shall govern the US Withholding Taxes on the Shares (or any replacement or substitute securities, property or other amounts under Paragraphs 5 or 7 above) which vest in accordance with the provisions of this Agreement:</w:t>
      </w:r>
    </w:p>
    <w:p>
      <w:pPr>
        <w:spacing w:after="0" w:line="186" w:lineRule="exact"/>
        <w:rPr>
          <w:rFonts w:ascii="Arial" w:cs="Arial" w:eastAsia="Arial" w:hAnsi="Arial"/>
          <w:sz w:val="22"/>
          <w:szCs w:val="22"/>
          <w:color w:val="auto"/>
        </w:rPr>
      </w:pPr>
    </w:p>
    <w:p>
      <w:pPr>
        <w:jc w:val="both"/>
        <w:ind w:left="660" w:firstLine="1940"/>
        <w:spacing w:after="0" w:line="273" w:lineRule="auto"/>
        <w:tabs>
          <w:tab w:leader="none" w:pos="3252" w:val="left"/>
        </w:tabs>
        <w:numPr>
          <w:ilvl w:val="2"/>
          <w:numId w:val="163"/>
        </w:numPr>
        <w:rPr>
          <w:rFonts w:ascii="Arial" w:cs="Arial" w:eastAsia="Arial" w:hAnsi="Arial"/>
          <w:sz w:val="19"/>
          <w:szCs w:val="19"/>
          <w:color w:val="auto"/>
        </w:rPr>
      </w:pPr>
      <w:r>
        <w:rPr>
          <w:rFonts w:ascii="Arial" w:cs="Arial" w:eastAsia="Arial" w:hAnsi="Arial"/>
          <w:sz w:val="19"/>
          <w:szCs w:val="19"/>
          <w:color w:val="auto"/>
        </w:rPr>
        <w:t>The Corporation may, in its sole discretion and subject to the following sentence, establish a procedure to permit the satisfaction of the Withholding Taxes by the Participant in the form of cash and shall inform Participant of any such procedure (the “Alternate Arrangement”). In the event an Alternate Arrangement is approved, Participant shall (i) make satisfactory arrangements with the Corporation’s Human Resources Department, on or before the expiration of the notification period designated by the Corporation preceding the applicable issuance date of the Shares, to pay the applicable Withholding Taxes through the delivery of cash or a cash equivalent to the Corporation in the amount of such Withholding Taxes and (ii) deliver such payment to the Corporation not later than that issuance date. Otherwise the Corporation shall collect the Withholding Taxes applicable to the Share issuance through the automatic share withholding method set forth in Section 8(c)(ii).</w:t>
      </w:r>
    </w:p>
    <w:p>
      <w:pPr>
        <w:spacing w:after="0" w:line="154" w:lineRule="exact"/>
        <w:rPr>
          <w:rFonts w:ascii="Arial" w:cs="Arial" w:eastAsia="Arial" w:hAnsi="Arial"/>
          <w:sz w:val="19"/>
          <w:szCs w:val="19"/>
          <w:color w:val="auto"/>
        </w:rPr>
      </w:pPr>
    </w:p>
    <w:p>
      <w:pPr>
        <w:jc w:val="both"/>
        <w:ind w:left="660" w:firstLine="1940"/>
        <w:spacing w:after="0" w:line="278" w:lineRule="auto"/>
        <w:tabs>
          <w:tab w:leader="none" w:pos="3252" w:val="left"/>
        </w:tabs>
        <w:numPr>
          <w:ilvl w:val="2"/>
          <w:numId w:val="163"/>
        </w:numPr>
        <w:rPr>
          <w:rFonts w:ascii="Arial" w:cs="Arial" w:eastAsia="Arial" w:hAnsi="Arial"/>
          <w:sz w:val="19"/>
          <w:szCs w:val="19"/>
          <w:color w:val="auto"/>
        </w:rPr>
      </w:pPr>
      <w:r>
        <w:rPr>
          <w:rFonts w:ascii="Arial" w:cs="Arial" w:eastAsia="Arial" w:hAnsi="Arial"/>
          <w:sz w:val="19"/>
          <w:szCs w:val="19"/>
          <w:b w:val="1"/>
          <w:bCs w:val="1"/>
          <w:color w:val="auto"/>
        </w:rPr>
        <w:t>Automatic Share Withholding</w:t>
      </w:r>
      <w:r>
        <w:rPr>
          <w:rFonts w:ascii="Arial" w:cs="Arial" w:eastAsia="Arial" w:hAnsi="Arial"/>
          <w:sz w:val="19"/>
          <w:szCs w:val="19"/>
          <w:color w:val="auto"/>
        </w:rPr>
        <w:t>. On the applicable issuance date,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Corporation shall withhold, from the vested Shares otherwise issuable to Participant at that time, a portion of those Shares with a Fair Market Value (measured as of the issuance date) equal to the applicable Withholding Taxes as determined by the Corporation;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number of Shares which the Corporation shall be required to so withhold shall not exceed in Fair Market Value the amount necessary to satisfy the Corporation’s required tax withholding obligations using the minimum statutory withholding rates, except as provided in Section 8(c)(iii) below (the “Applicable Withholding Rate”).</w:t>
      </w:r>
    </w:p>
    <w:p>
      <w:pPr>
        <w:spacing w:after="0" w:line="145" w:lineRule="exact"/>
        <w:rPr>
          <w:rFonts w:ascii="Arial" w:cs="Arial" w:eastAsia="Arial" w:hAnsi="Arial"/>
          <w:sz w:val="19"/>
          <w:szCs w:val="19"/>
          <w:color w:val="auto"/>
        </w:rPr>
      </w:pPr>
    </w:p>
    <w:p>
      <w:pPr>
        <w:jc w:val="both"/>
        <w:ind w:left="660" w:firstLine="1940"/>
        <w:spacing w:after="0" w:line="280" w:lineRule="auto"/>
        <w:tabs>
          <w:tab w:leader="none" w:pos="3252" w:val="left"/>
        </w:tabs>
        <w:numPr>
          <w:ilvl w:val="2"/>
          <w:numId w:val="163"/>
        </w:numPr>
        <w:rPr>
          <w:rFonts w:ascii="Arial" w:cs="Arial" w:eastAsia="Arial" w:hAnsi="Arial"/>
          <w:sz w:val="19"/>
          <w:szCs w:val="19"/>
          <w:color w:val="auto"/>
        </w:rPr>
      </w:pPr>
      <w:r>
        <w:rPr>
          <w:rFonts w:ascii="Arial" w:cs="Arial" w:eastAsia="Arial" w:hAnsi="Arial"/>
          <w:sz w:val="19"/>
          <w:szCs w:val="19"/>
          <w:b w:val="1"/>
          <w:bCs w:val="1"/>
          <w:color w:val="auto"/>
        </w:rPr>
        <w:t>Amount of Withholding</w:t>
      </w:r>
      <w:r>
        <w:rPr>
          <w:rFonts w:ascii="Arial" w:cs="Arial" w:eastAsia="Arial" w:hAnsi="Arial"/>
          <w:sz w:val="19"/>
          <w:szCs w:val="19"/>
          <w:color w:val="auto"/>
        </w:rPr>
        <w:t>. The amount which the Corporation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so withhold shall not exceed in Fair Market Value the amount necessary to satisfy the Corporation’s required tax withholding obligations using the minimum statutory withholding rates for federal and state tax purposes, including payroll taxes, that are applicable to supplemental taxable income. However, Participant may elect an alternate Applicable Withholding Rate equal to the maximum statutory tax rate for the applicable withholding tax in Participant’s applicable jurisdictions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38" w:right="999" w:bottom="1440" w:gutter="0" w:footer="0" w:header="0"/>
        </w:sectPr>
      </w:pPr>
    </w:p>
    <w:bookmarkStart w:id="153" w:name="page154"/>
    <w:bookmarkEnd w:id="153"/>
    <w:p>
      <w:pPr>
        <w:jc w:val="both"/>
        <w:ind w:left="660"/>
        <w:spacing w:after="0" w:line="244" w:lineRule="auto"/>
        <w:rPr>
          <w:sz w:val="20"/>
          <w:szCs w:val="20"/>
          <w:color w:val="auto"/>
        </w:rPr>
      </w:pPr>
      <w:r>
        <w:rPr>
          <w:rFonts w:ascii="Arial" w:cs="Arial" w:eastAsia="Arial" w:hAnsi="Arial"/>
          <w:sz w:val="21"/>
          <w:szCs w:val="21"/>
          <w:color w:val="auto"/>
        </w:rPr>
        <w:t>“Alternate Withholding Rate”). To request an Alternate Withholding Rate, the Participant must complete and return to the Corporation the appropriate Corporation’s Form of Alternate Withholding Rate (the “Alternate Rate Form”) within the required timeframe provided for by the Corporation. The Alternate Rate Form can be obtained from the Corporation’s Human Resources Department. Any election of an Alternate Withholding Rate under an Alternate Rate Form will become the default Applicable Withholding Rate with respect to all of Participant’s outstanding equity awards (including options exercised during the applicable period) until a new Alternate Rate Form is filed with the Corporation in accordance with the administrative procedures provided for by the Corporation. An Alternate Withholding Rate is subject to the Corporation’s approval and can be approved or denied in its sole discretion. Notwithstanding Sections 8(c)(ii) and 8(c)(iii), in the event Participant is determined to be subject to Section 16 of the 1934 Act at the time of settlement, the Alternate Withholding Rate must be approved by the Corporation’s Compensation Committee.</w:t>
      </w:r>
    </w:p>
    <w:p>
      <w:pPr>
        <w:spacing w:after="0" w:line="186" w:lineRule="exact"/>
        <w:rPr>
          <w:sz w:val="20"/>
          <w:szCs w:val="20"/>
          <w:color w:val="auto"/>
        </w:rPr>
      </w:pPr>
    </w:p>
    <w:p>
      <w:pPr>
        <w:jc w:val="both"/>
        <w:ind w:firstLine="1952"/>
        <w:spacing w:after="0" w:line="273" w:lineRule="auto"/>
        <w:tabs>
          <w:tab w:leader="none" w:pos="2592" w:val="left"/>
        </w:tabs>
        <w:numPr>
          <w:ilvl w:val="1"/>
          <w:numId w:val="164"/>
        </w:numPr>
        <w:rPr>
          <w:rFonts w:ascii="Arial" w:cs="Arial" w:eastAsia="Arial" w:hAnsi="Arial"/>
          <w:sz w:val="19"/>
          <w:szCs w:val="19"/>
          <w:color w:val="auto"/>
        </w:rPr>
      </w:pPr>
      <w:r>
        <w:rPr>
          <w:rFonts w:ascii="Arial" w:cs="Arial" w:eastAsia="Arial" w:hAnsi="Arial"/>
          <w:sz w:val="19"/>
          <w:szCs w:val="19"/>
          <w:color w:val="auto"/>
        </w:rPr>
        <w:t>Notwithstanding the foregoing provisions of this Paragraph 8,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8(d) shall be applicable only to the extent necessary to comply with the applicable tax withholding requirements of Section 3121(v) of the Code.</w:t>
      </w:r>
    </w:p>
    <w:p>
      <w:pPr>
        <w:spacing w:after="0" w:line="155" w:lineRule="exact"/>
        <w:rPr>
          <w:rFonts w:ascii="Arial" w:cs="Arial" w:eastAsia="Arial" w:hAnsi="Arial"/>
          <w:sz w:val="19"/>
          <w:szCs w:val="19"/>
          <w:color w:val="auto"/>
        </w:rPr>
      </w:pPr>
    </w:p>
    <w:p>
      <w:pPr>
        <w:jc w:val="both"/>
        <w:ind w:firstLine="1952"/>
        <w:spacing w:after="0" w:line="236" w:lineRule="auto"/>
        <w:tabs>
          <w:tab w:leader="none" w:pos="2592" w:val="left"/>
        </w:tabs>
        <w:numPr>
          <w:ilvl w:val="1"/>
          <w:numId w:val="164"/>
        </w:numPr>
        <w:rPr>
          <w:rFonts w:ascii="Arial" w:cs="Arial" w:eastAsia="Arial" w:hAnsi="Arial"/>
          <w:sz w:val="22"/>
          <w:szCs w:val="22"/>
          <w:color w:val="auto"/>
        </w:rPr>
      </w:pPr>
      <w:r>
        <w:rPr>
          <w:rFonts w:ascii="Arial" w:cs="Arial" w:eastAsia="Arial" w:hAnsi="Arial"/>
          <w:sz w:val="22"/>
          <w:szCs w:val="22"/>
          <w:color w:val="auto"/>
        </w:rPr>
        <w:t>Except as otherwise provided in Paragraph 5 or this Paragraph 8, the settlement of all restricted stock units which vest under the Award shall be made solely in shares of Common Stock. In no event, however, shall any fractional shares be issued. Accordingly, the total number of shares of Common Stock to be issued at the time the Award vests shall, to the extent necessary, be rounded up to the next whole share in order to avoid the issuance of a fractional share.</w:t>
      </w:r>
    </w:p>
    <w:p>
      <w:pPr>
        <w:spacing w:after="0" w:line="181" w:lineRule="exact"/>
        <w:rPr>
          <w:rFonts w:ascii="Arial" w:cs="Arial" w:eastAsia="Arial" w:hAnsi="Arial"/>
          <w:sz w:val="22"/>
          <w:szCs w:val="22"/>
          <w:color w:val="auto"/>
        </w:rPr>
      </w:pPr>
    </w:p>
    <w:p>
      <w:pPr>
        <w:jc w:val="both"/>
        <w:ind w:firstLine="1304"/>
        <w:spacing w:after="0" w:line="243" w:lineRule="auto"/>
        <w:tabs>
          <w:tab w:leader="none" w:pos="1944" w:val="left"/>
        </w:tabs>
        <w:numPr>
          <w:ilvl w:val="0"/>
          <w:numId w:val="165"/>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 Notwithstanding any provision to the contrary in this Agreement,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extent this Award may be deemed to create a deferred compensation arrangement under Section 409A, then the following limitation and provisions shall apply:</w:t>
      </w:r>
    </w:p>
    <w:p>
      <w:pPr>
        <w:spacing w:after="0" w:line="182" w:lineRule="exact"/>
        <w:rPr>
          <w:rFonts w:ascii="Arial" w:cs="Arial" w:eastAsia="Arial" w:hAnsi="Arial"/>
          <w:sz w:val="22"/>
          <w:szCs w:val="22"/>
          <w:color w:val="auto"/>
        </w:rPr>
      </w:pPr>
    </w:p>
    <w:p>
      <w:pPr>
        <w:jc w:val="both"/>
        <w:ind w:firstLine="1952"/>
        <w:spacing w:after="0" w:line="279" w:lineRule="auto"/>
        <w:tabs>
          <w:tab w:leader="none" w:pos="2592" w:val="left"/>
        </w:tabs>
        <w:numPr>
          <w:ilvl w:val="1"/>
          <w:numId w:val="165"/>
        </w:numPr>
        <w:rPr>
          <w:rFonts w:ascii="Arial" w:cs="Arial" w:eastAsia="Arial" w:hAnsi="Arial"/>
          <w:sz w:val="19"/>
          <w:szCs w:val="19"/>
          <w:color w:val="auto"/>
        </w:rPr>
      </w:pPr>
      <w:r>
        <w:rPr>
          <w:rFonts w:ascii="Arial" w:cs="Arial" w:eastAsia="Arial" w:hAnsi="Arial"/>
          <w:sz w:val="19"/>
          <w:szCs w:val="19"/>
          <w:color w:val="auto"/>
        </w:rPr>
        <w:t xml:space="preserve">No Shares or other amounts which become issuable or distributable under this Agreement upon Participant’s Separation from Service shall actually be issued or distributed to Participant prior to the </w:t>
      </w:r>
      <w:r>
        <w:rPr>
          <w:rFonts w:ascii="Arial" w:cs="Arial" w:eastAsia="Arial" w:hAnsi="Arial"/>
          <w:sz w:val="19"/>
          <w:szCs w:val="19"/>
          <w:b w:val="1"/>
          <w:bCs w:val="1"/>
          <w:i w:val="1"/>
          <w:iCs w:val="1"/>
          <w:color w:val="auto"/>
        </w:rPr>
        <w:t>earlier</w:t>
      </w:r>
      <w:r>
        <w:rPr>
          <w:rFonts w:ascii="Arial" w:cs="Arial" w:eastAsia="Arial" w:hAnsi="Arial"/>
          <w:sz w:val="19"/>
          <w:szCs w:val="19"/>
          <w:color w:val="auto"/>
        </w:rPr>
        <w:t xml:space="preserve"> of (i) the first (1st) day of the seventh (7th) month following the date of such Separation from Service or (ii) the date of Participant’s death, if Participant is deemed at the time of such Separation from Service to be a specified employee under Section 1.409A-1(i) of the Treasury Regulations issued under Section 409A, as determined by the Plan Administrator in accordance with consistent and uniform standards applied to all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4" w:right="999" w:bottom="1440" w:gutter="0" w:footer="0" w:header="0"/>
        </w:sectPr>
      </w:pPr>
    </w:p>
    <w:bookmarkStart w:id="154" w:name="page155"/>
    <w:bookmarkEnd w:id="154"/>
    <w:p>
      <w:pPr>
        <w:jc w:val="both"/>
        <w:spacing w:after="0" w:line="249" w:lineRule="auto"/>
        <w:rPr>
          <w:sz w:val="20"/>
          <w:szCs w:val="20"/>
          <w:color w:val="auto"/>
        </w:rPr>
      </w:pPr>
      <w:r>
        <w:rPr>
          <w:rFonts w:ascii="Arial" w:cs="Arial" w:eastAsia="Arial" w:hAnsi="Arial"/>
          <w:sz w:val="21"/>
          <w:szCs w:val="21"/>
          <w:color w:val="auto"/>
        </w:rPr>
        <w:t>Section 409A arrangements of the Corporation, and such delayed commencement is otherwise required in order to avoid a prohibited distribution under Section 409A(a)(2) of the Code. The deferred Shares or other distributable amount shall be issued or distributed in a lump sum on the first (1st) day of the seventh (7th) month following the date of Participant’s Separation from Service or, if earlier, the first day of the month immediately following the date the Corporation receives proof of Participant’s death.</w:t>
      </w:r>
    </w:p>
    <w:p>
      <w:pPr>
        <w:spacing w:after="0" w:line="178" w:lineRule="exact"/>
        <w:rPr>
          <w:sz w:val="20"/>
          <w:szCs w:val="20"/>
          <w:color w:val="auto"/>
        </w:rPr>
      </w:pPr>
    </w:p>
    <w:p>
      <w:pPr>
        <w:jc w:val="both"/>
        <w:ind w:firstLine="1952"/>
        <w:spacing w:after="0"/>
        <w:tabs>
          <w:tab w:leader="none" w:pos="2592" w:val="left"/>
        </w:tabs>
        <w:numPr>
          <w:ilvl w:val="1"/>
          <w:numId w:val="166"/>
        </w:numPr>
        <w:rPr>
          <w:rFonts w:ascii="Arial" w:cs="Arial" w:eastAsia="Arial" w:hAnsi="Arial"/>
          <w:sz w:val="22"/>
          <w:szCs w:val="22"/>
          <w:color w:val="auto"/>
        </w:rPr>
      </w:pPr>
      <w:r>
        <w:rPr>
          <w:rFonts w:ascii="Arial" w:cs="Arial" w:eastAsia="Arial" w:hAnsi="Arial"/>
          <w:sz w:val="22"/>
          <w:szCs w:val="22"/>
          <w:color w:val="auto"/>
        </w:rPr>
        <w:t>Participant’s right to receive each installment of Shares or other installment distribution pursuant to the terms of this Agreement shall, for purposes of Section 409A, be treated as a right to receive a series of separate payments.</w:t>
      </w:r>
    </w:p>
    <w:p>
      <w:pPr>
        <w:spacing w:after="0" w:line="180" w:lineRule="exact"/>
        <w:rPr>
          <w:rFonts w:ascii="Arial" w:cs="Arial" w:eastAsia="Arial" w:hAnsi="Arial"/>
          <w:sz w:val="22"/>
          <w:szCs w:val="22"/>
          <w:color w:val="auto"/>
        </w:rPr>
      </w:pPr>
    </w:p>
    <w:p>
      <w:pPr>
        <w:jc w:val="both"/>
        <w:ind w:firstLine="1304"/>
        <w:spacing w:after="0" w:line="239" w:lineRule="auto"/>
        <w:tabs>
          <w:tab w:leader="none" w:pos="1944" w:val="left"/>
        </w:tabs>
        <w:numPr>
          <w:ilvl w:val="0"/>
          <w:numId w:val="167"/>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Laws and Regulations</w:t>
      </w:r>
      <w:r>
        <w:rPr>
          <w:rFonts w:ascii="Arial" w:cs="Arial" w:eastAsia="Arial" w:hAnsi="Arial"/>
          <w:sz w:val="22"/>
          <w:szCs w:val="22"/>
          <w:color w:val="auto"/>
        </w:rPr>
        <w:t>. The issuance of shares of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80" w:lineRule="exact"/>
        <w:rPr>
          <w:rFonts w:ascii="Arial" w:cs="Arial" w:eastAsia="Arial" w:hAnsi="Arial"/>
          <w:sz w:val="22"/>
          <w:szCs w:val="22"/>
          <w:color w:val="auto"/>
        </w:rPr>
      </w:pPr>
    </w:p>
    <w:p>
      <w:pPr>
        <w:jc w:val="both"/>
        <w:ind w:firstLine="1304"/>
        <w:spacing w:after="0" w:line="283" w:lineRule="auto"/>
        <w:tabs>
          <w:tab w:leader="none" w:pos="1944" w:val="left"/>
        </w:tabs>
        <w:numPr>
          <w:ilvl w:val="0"/>
          <w:numId w:val="167"/>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required to be given or delivered to the Corporation under the terms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in writing and addressed to the Corporation at its principal corporate offices. Any notice required to be given or delivered to Participant shall be in writing and addressed to Participant at the address on file with the Corporation’s Human Resources Department. All notices shall be deemed effective upon personal delivery or upon deposit in the U.S. mail, postage prepaid and properly addressed to the party to be notified.</w:t>
      </w:r>
    </w:p>
    <w:p>
      <w:pPr>
        <w:spacing w:after="0" w:line="142" w:lineRule="exact"/>
        <w:rPr>
          <w:rFonts w:ascii="Arial" w:cs="Arial" w:eastAsia="Arial" w:hAnsi="Arial"/>
          <w:sz w:val="19"/>
          <w:szCs w:val="19"/>
          <w:color w:val="auto"/>
        </w:rPr>
      </w:pPr>
    </w:p>
    <w:p>
      <w:pPr>
        <w:jc w:val="both"/>
        <w:ind w:firstLine="1304"/>
        <w:spacing w:after="0" w:line="289" w:lineRule="auto"/>
        <w:tabs>
          <w:tab w:leader="none" w:pos="1944" w:val="left"/>
        </w:tabs>
        <w:numPr>
          <w:ilvl w:val="0"/>
          <w:numId w:val="167"/>
        </w:numPr>
        <w:rPr>
          <w:rFonts w:ascii="Arial" w:cs="Arial" w:eastAsia="Arial" w:hAnsi="Arial"/>
          <w:sz w:val="19"/>
          <w:szCs w:val="19"/>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color w:val="auto"/>
        </w:rPr>
        <w:t>. Except to the extent otherwise provided in this Agreement,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35" w:lineRule="exact"/>
        <w:rPr>
          <w:rFonts w:ascii="Arial" w:cs="Arial" w:eastAsia="Arial" w:hAnsi="Arial"/>
          <w:sz w:val="19"/>
          <w:szCs w:val="19"/>
          <w:color w:val="auto"/>
        </w:rPr>
      </w:pPr>
    </w:p>
    <w:p>
      <w:pPr>
        <w:ind w:left="1960" w:hanging="656"/>
        <w:spacing w:after="0"/>
        <w:tabs>
          <w:tab w:leader="none" w:pos="1960" w:val="left"/>
        </w:tabs>
        <w:numPr>
          <w:ilvl w:val="0"/>
          <w:numId w:val="167"/>
        </w:numPr>
        <w:rPr>
          <w:rFonts w:ascii="Arial" w:cs="Arial" w:eastAsia="Arial" w:hAnsi="Arial"/>
          <w:sz w:val="22"/>
          <w:szCs w:val="22"/>
          <w:color w:val="auto"/>
        </w:rPr>
      </w:pPr>
      <w:r>
        <w:rPr>
          <w:rFonts w:ascii="Arial" w:cs="Arial" w:eastAsia="Arial" w:hAnsi="Arial"/>
          <w:sz w:val="22"/>
          <w:szCs w:val="22"/>
          <w:b w:val="1"/>
          <w:bCs w:val="1"/>
          <w:u w:val="single" w:color="auto"/>
          <w:color w:val="auto"/>
        </w:rPr>
        <w:t>Construction</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line="287" w:lineRule="auto"/>
        <w:tabs>
          <w:tab w:leader="none" w:pos="2592" w:val="left"/>
        </w:tabs>
        <w:numPr>
          <w:ilvl w:val="1"/>
          <w:numId w:val="167"/>
        </w:numPr>
        <w:rPr>
          <w:rFonts w:ascii="Arial" w:cs="Arial" w:eastAsia="Arial" w:hAnsi="Arial"/>
          <w:sz w:val="19"/>
          <w:szCs w:val="19"/>
          <w:color w:val="auto"/>
        </w:rPr>
      </w:pPr>
      <w:r>
        <w:rPr>
          <w:rFonts w:ascii="Arial" w:cs="Arial" w:eastAsia="Arial" w:hAnsi="Arial"/>
          <w:sz w:val="19"/>
          <w:szCs w:val="19"/>
          <w:color w:val="auto"/>
        </w:rPr>
        <w:t>This Agreement and the Award evidenced hereby are made and granted pursuant to the Plan and are in all respects limited by and subject to the terms of the Plan and any applicable Change in Control Benefits Agreement. All decisions of the Plan Administrator with respect to any question or issue arising under the Plan or this Agreement shall be conclusive and binding on all persons having an interest in the Award.</w:t>
      </w:r>
    </w:p>
    <w:p>
      <w:pPr>
        <w:spacing w:after="0" w:line="142" w:lineRule="exact"/>
        <w:rPr>
          <w:rFonts w:ascii="Arial" w:cs="Arial" w:eastAsia="Arial" w:hAnsi="Arial"/>
          <w:sz w:val="19"/>
          <w:szCs w:val="19"/>
          <w:color w:val="auto"/>
        </w:rPr>
      </w:pPr>
    </w:p>
    <w:p>
      <w:pPr>
        <w:jc w:val="both"/>
        <w:ind w:firstLine="1952"/>
        <w:spacing w:after="0" w:line="287" w:lineRule="auto"/>
        <w:tabs>
          <w:tab w:leader="none" w:pos="2652" w:val="left"/>
        </w:tabs>
        <w:numPr>
          <w:ilvl w:val="1"/>
          <w:numId w:val="167"/>
        </w:numPr>
        <w:rPr>
          <w:rFonts w:ascii="Arial" w:cs="Arial" w:eastAsia="Arial" w:hAnsi="Arial"/>
          <w:sz w:val="19"/>
          <w:szCs w:val="19"/>
          <w:color w:val="auto"/>
        </w:rPr>
      </w:pPr>
      <w:r>
        <w:rPr>
          <w:rFonts w:ascii="Arial" w:cs="Arial" w:eastAsia="Arial" w:hAnsi="Arial"/>
          <w:sz w:val="19"/>
          <w:szCs w:val="19"/>
          <w:color w:val="auto"/>
        </w:rPr>
        <w:t>To the extent there is any ambiguity as to whether any provision of this Agreement would otherwise contravene one or more applicable requirements or limitations of Section 409A and the Treasury Regulations thereunder, such provision shall be interpreted and applied in a manner that complies with the applicable requirements of Section 409A and the Treasury Regulations thereunder.</w:t>
      </w:r>
    </w:p>
    <w:p>
      <w:pPr>
        <w:spacing w:after="0" w:line="142" w:lineRule="exact"/>
        <w:rPr>
          <w:rFonts w:ascii="Arial" w:cs="Arial" w:eastAsia="Arial" w:hAnsi="Arial"/>
          <w:sz w:val="19"/>
          <w:szCs w:val="19"/>
          <w:color w:val="auto"/>
        </w:rPr>
      </w:pPr>
    </w:p>
    <w:p>
      <w:pPr>
        <w:jc w:val="both"/>
        <w:ind w:firstLine="1952"/>
        <w:spacing w:after="0"/>
        <w:tabs>
          <w:tab w:leader="none" w:pos="2592" w:val="left"/>
        </w:tabs>
        <w:numPr>
          <w:ilvl w:val="1"/>
          <w:numId w:val="167"/>
        </w:numPr>
        <w:rPr>
          <w:rFonts w:ascii="Arial" w:cs="Arial" w:eastAsia="Arial" w:hAnsi="Arial"/>
          <w:sz w:val="22"/>
          <w:szCs w:val="22"/>
          <w:color w:val="auto"/>
        </w:rPr>
      </w:pPr>
      <w:r>
        <w:rPr>
          <w:rFonts w:ascii="Arial" w:cs="Arial" w:eastAsia="Arial" w:hAnsi="Arial"/>
          <w:sz w:val="22"/>
          <w:szCs w:val="22"/>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4" w:right="999" w:bottom="1440" w:gutter="0" w:footer="0" w:header="0"/>
        </w:sectPr>
      </w:pPr>
    </w:p>
    <w:bookmarkStart w:id="155" w:name="page156"/>
    <w:bookmarkEnd w:id="155"/>
    <w:p>
      <w:pPr>
        <w:ind w:firstLine="1304"/>
        <w:spacing w:after="0" w:line="280" w:lineRule="auto"/>
        <w:tabs>
          <w:tab w:leader="none" w:pos="1944" w:val="left"/>
        </w:tabs>
        <w:numPr>
          <w:ilvl w:val="0"/>
          <w:numId w:val="168"/>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The interpretation, performance and enforcement of this Agreement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 governed by the laws of the State of Hawaii without regard to that State’s conflict-of-laws rules.</w:t>
      </w:r>
    </w:p>
    <w:p>
      <w:pPr>
        <w:spacing w:after="0" w:line="138" w:lineRule="exact"/>
        <w:rPr>
          <w:rFonts w:ascii="Arial" w:cs="Arial" w:eastAsia="Arial" w:hAnsi="Arial"/>
          <w:sz w:val="21"/>
          <w:szCs w:val="21"/>
          <w:color w:val="auto"/>
        </w:rPr>
      </w:pPr>
    </w:p>
    <w:p>
      <w:pPr>
        <w:ind w:left="1960" w:hanging="656"/>
        <w:spacing w:after="0"/>
        <w:tabs>
          <w:tab w:leader="none" w:pos="1960" w:val="left"/>
        </w:tabs>
        <w:numPr>
          <w:ilvl w:val="0"/>
          <w:numId w:val="168"/>
        </w:numPr>
        <w:rPr>
          <w:rFonts w:ascii="Arial" w:cs="Arial" w:eastAsia="Arial" w:hAnsi="Arial"/>
          <w:sz w:val="22"/>
          <w:szCs w:val="22"/>
          <w:color w:val="auto"/>
        </w:rPr>
      </w:pPr>
      <w:r>
        <w:rPr>
          <w:rFonts w:ascii="Arial" w:cs="Arial" w:eastAsia="Arial" w:hAnsi="Arial"/>
          <w:sz w:val="22"/>
          <w:szCs w:val="22"/>
          <w:b w:val="1"/>
          <w:bCs w:val="1"/>
          <w:u w:val="single" w:color="auto"/>
          <w:color w:val="auto"/>
        </w:rPr>
        <w:t>Arbitration.</w:t>
      </w:r>
    </w:p>
    <w:p>
      <w:pPr>
        <w:spacing w:after="0" w:line="212" w:lineRule="exact"/>
        <w:rPr>
          <w:rFonts w:ascii="Arial" w:cs="Arial" w:eastAsia="Arial" w:hAnsi="Arial"/>
          <w:sz w:val="22"/>
          <w:szCs w:val="22"/>
          <w:color w:val="auto"/>
        </w:rPr>
      </w:pPr>
    </w:p>
    <w:p>
      <w:pPr>
        <w:jc w:val="both"/>
        <w:ind w:firstLine="1952"/>
        <w:spacing w:after="0" w:line="269" w:lineRule="auto"/>
        <w:tabs>
          <w:tab w:leader="none" w:pos="2592" w:val="left"/>
        </w:tabs>
        <w:numPr>
          <w:ilvl w:val="1"/>
          <w:numId w:val="168"/>
        </w:numPr>
        <w:rPr>
          <w:rFonts w:ascii="Arial" w:cs="Arial" w:eastAsia="Arial" w:hAnsi="Arial"/>
          <w:sz w:val="19"/>
          <w:szCs w:val="19"/>
          <w:color w:val="auto"/>
        </w:rPr>
      </w:pPr>
      <w:r>
        <w:rPr>
          <w:rFonts w:ascii="Arial" w:cs="Arial" w:eastAsia="Arial" w:hAnsi="Arial"/>
          <w:sz w:val="19"/>
          <w:szCs w:val="19"/>
          <w:color w:val="auto"/>
        </w:rPr>
        <w:t>Any dispute or controversy arising under or in connection with this Agreement shall be settled exclusively by arbitration, conducted before a single arbitrator who is an attorney or retired judge with expertise and experience in the field of employment law. The arbitration shall be held under the auspices of JAMS in accordance with JAMS then-current Employment Arbitration Rules and Procedures (available at http://www.jamsadr.com/rules-employment-arbitration/) and subject to JAMS Policy on Employment Arbitration Minimum Standards of Procedural Fairness. The arbitration shall take place in or near the city in which Participant is employed by the Corporation or was last employed by the Corporation. The arbitrator shall make a written award and shall prepare a written opinion containing the findings and conclusions on which the award was based. The decision of the arbitrator will be final and binding upon the parties hereto. Judgment may be entered on the arbitrator’s award in any court having jurisdiction. The parties acknowledge and agree that in connection with any such arbitration and regardless of outcome, (a) each party shall pay all of its own costs and expenses, including, without limitation, its own legal fees and expenses, and (b) the arbitration costs shall be borne entirely by the Corporation. The arbitration shall be confidential and no details concerning such arbitration shall be disclosed or released to any third party without the specific written consent of the non-disclosing party, unless required by law or court order, as necessary to prosecute or defend the arbitration, or in connection with enforcement of any decision in such arbitration. This agreement to arbitrate is mutually entered into between the parties. Each party fully understands and agrees that they are giving up certain rights otherwise afforded to them by civil court actions, including but not limited to the right to a jury trial. Nothing in this Agreement shall prevent Participant from filing charges or claims with the Equal Employment Opportunity Commission, the U.S. Department of Labor, or any other federal, state or local government agency. However, Participant may seek individual monetary relief only through arbitration under this Agreement. The Corporation and Participant further agree that any claim submitted to arbitration must be brought in the party’s individual capacity, and not as a plaintiff or class member in any purported class, representative or consolidated proceeding.</w:t>
      </w:r>
    </w:p>
    <w:p>
      <w:pPr>
        <w:spacing w:after="0" w:line="166" w:lineRule="exact"/>
        <w:rPr>
          <w:rFonts w:ascii="Arial" w:cs="Arial" w:eastAsia="Arial" w:hAnsi="Arial"/>
          <w:sz w:val="19"/>
          <w:szCs w:val="19"/>
          <w:color w:val="auto"/>
        </w:rPr>
      </w:pPr>
    </w:p>
    <w:p>
      <w:pPr>
        <w:ind w:firstLine="1952"/>
        <w:spacing w:after="0" w:line="334" w:lineRule="auto"/>
        <w:tabs>
          <w:tab w:leader="none" w:pos="2592" w:val="left"/>
        </w:tabs>
        <w:numPr>
          <w:ilvl w:val="1"/>
          <w:numId w:val="168"/>
        </w:numPr>
        <w:rPr>
          <w:rFonts w:ascii="Arial" w:cs="Arial" w:eastAsia="Arial" w:hAnsi="Arial"/>
          <w:sz w:val="19"/>
          <w:szCs w:val="19"/>
          <w:color w:val="auto"/>
        </w:rPr>
      </w:pPr>
      <w:r>
        <w:rPr>
          <w:rFonts w:ascii="Arial" w:cs="Arial" w:eastAsia="Arial" w:hAnsi="Arial"/>
          <w:sz w:val="19"/>
          <w:szCs w:val="19"/>
          <w:b w:val="1"/>
          <w:bCs w:val="1"/>
          <w:color w:val="auto"/>
        </w:rPr>
        <w:t>Each party fully understands and agrees that they are giving up certain rights otherwise afforded to them by civil court actions, including but not limited to the right to a jury trial.</w:t>
      </w:r>
    </w:p>
    <w:p>
      <w:pPr>
        <w:spacing w:after="0" w:line="93" w:lineRule="exact"/>
        <w:rPr>
          <w:rFonts w:ascii="Arial" w:cs="Arial" w:eastAsia="Arial" w:hAnsi="Arial"/>
          <w:sz w:val="19"/>
          <w:szCs w:val="19"/>
          <w:color w:val="auto"/>
        </w:rPr>
      </w:pPr>
    </w:p>
    <w:p>
      <w:pPr>
        <w:jc w:val="both"/>
        <w:ind w:firstLine="1304"/>
        <w:spacing w:after="0" w:line="249" w:lineRule="auto"/>
        <w:tabs>
          <w:tab w:leader="none" w:pos="1944" w:val="left"/>
        </w:tabs>
        <w:numPr>
          <w:ilvl w:val="0"/>
          <w:numId w:val="168"/>
        </w:numPr>
        <w:rPr>
          <w:rFonts w:ascii="Arial" w:cs="Arial" w:eastAsia="Arial" w:hAnsi="Arial"/>
          <w:sz w:val="21"/>
          <w:szCs w:val="21"/>
          <w:color w:val="auto"/>
        </w:rPr>
      </w:pPr>
      <w:r>
        <w:rPr>
          <w:rFonts w:ascii="Arial" w:cs="Arial" w:eastAsia="Arial" w:hAnsi="Arial"/>
          <w:sz w:val="21"/>
          <w:szCs w:val="21"/>
          <w:b w:val="1"/>
          <w:bCs w:val="1"/>
          <w:u w:val="single" w:color="auto"/>
          <w:color w:val="auto"/>
        </w:rPr>
        <w:t>Coverage under Recoupment Policy</w:t>
      </w:r>
      <w:r>
        <w:rPr>
          <w:rFonts w:ascii="Arial" w:cs="Arial" w:eastAsia="Arial" w:hAnsi="Arial"/>
          <w:sz w:val="21"/>
          <w:szCs w:val="21"/>
          <w:color w:val="auto"/>
        </w:rPr>
        <w:t>. If Participant is on the Award Date, or at any time</w:t>
      </w:r>
      <w:r>
        <w:rPr>
          <w:rFonts w:ascii="Arial" w:cs="Arial" w:eastAsia="Arial" w:hAnsi="Arial"/>
          <w:sz w:val="21"/>
          <w:szCs w:val="21"/>
          <w:b w:val="1"/>
          <w:bCs w:val="1"/>
          <w:color w:val="auto"/>
        </w:rPr>
        <w:t xml:space="preserve"> </w:t>
      </w:r>
      <w:r>
        <w:rPr>
          <w:rFonts w:ascii="Arial" w:cs="Arial" w:eastAsia="Arial" w:hAnsi="Arial"/>
          <w:sz w:val="21"/>
          <w:szCs w:val="21"/>
          <w:color w:val="auto"/>
        </w:rPr>
        <w:t>thereafter becomes, an executive officer of the Corporation subject to Section 16 of the 1934 Act, then Participant shall be subject to the Matson, Inc. Policy Regarding Recoupment of Certain Compensation (as amended from time to time, the “Recoupment Policy”), the terms of which are hereby incorporated herein by reference and receipt of a copy of which Participant hereby acknowledges. A copy of the Recoupment Policy is available upon request made to the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38" w:right="999" w:bottom="1440" w:gutter="0" w:footer="0" w:header="0"/>
        </w:sectPr>
      </w:pPr>
    </w:p>
    <w:bookmarkStart w:id="156" w:name="page157"/>
    <w:bookmarkEnd w:id="156"/>
    <w:p>
      <w:pPr>
        <w:ind w:left="1960" w:hanging="656"/>
        <w:spacing w:after="0"/>
        <w:tabs>
          <w:tab w:leader="none" w:pos="1960" w:val="left"/>
        </w:tabs>
        <w:numPr>
          <w:ilvl w:val="0"/>
          <w:numId w:val="169"/>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line="238" w:lineRule="auto"/>
        <w:tabs>
          <w:tab w:leader="none" w:pos="2592" w:val="left"/>
        </w:tabs>
        <w:numPr>
          <w:ilvl w:val="1"/>
          <w:numId w:val="169"/>
        </w:numPr>
        <w:rPr>
          <w:rFonts w:ascii="Arial" w:cs="Arial" w:eastAsia="Arial" w:hAnsi="Arial"/>
          <w:sz w:val="22"/>
          <w:szCs w:val="22"/>
          <w:color w:val="auto"/>
        </w:rPr>
      </w:pPr>
      <w:r>
        <w:rPr>
          <w:rFonts w:ascii="Arial" w:cs="Arial" w:eastAsia="Arial" w:hAnsi="Arial"/>
          <w:sz w:val="22"/>
          <w:szCs w:val="22"/>
          <w:color w:val="auto"/>
        </w:rPr>
        <w:t>Participant hereby explicitly and unambiguously consents to the collection, use and transfer, in electronic or other form, of Participant’s personal data as described in this Agreement by the Corporation for the exclusive purpose of implementing, administering and managing Participant’s participation in the Plan.</w:t>
      </w:r>
    </w:p>
    <w:p>
      <w:pPr>
        <w:spacing w:after="0" w:line="184" w:lineRule="exact"/>
        <w:rPr>
          <w:rFonts w:ascii="Arial" w:cs="Arial" w:eastAsia="Arial" w:hAnsi="Arial"/>
          <w:sz w:val="22"/>
          <w:szCs w:val="22"/>
          <w:color w:val="auto"/>
        </w:rPr>
      </w:pPr>
    </w:p>
    <w:p>
      <w:pPr>
        <w:jc w:val="both"/>
        <w:ind w:firstLine="1952"/>
        <w:spacing w:after="0" w:line="271" w:lineRule="auto"/>
        <w:tabs>
          <w:tab w:leader="none" w:pos="2592" w:val="left"/>
        </w:tabs>
        <w:numPr>
          <w:ilvl w:val="1"/>
          <w:numId w:val="169"/>
        </w:numPr>
        <w:rPr>
          <w:rFonts w:ascii="Arial" w:cs="Arial" w:eastAsia="Arial" w:hAnsi="Arial"/>
          <w:sz w:val="19"/>
          <w:szCs w:val="19"/>
          <w:color w:val="auto"/>
        </w:rPr>
      </w:pPr>
      <w:r>
        <w:rPr>
          <w:rFonts w:ascii="Arial" w:cs="Arial" w:eastAsia="Arial" w:hAnsi="Arial"/>
          <w:sz w:val="19"/>
          <w:szCs w:val="19"/>
          <w:color w:val="auto"/>
        </w:rPr>
        <w:t>Participant understands that the Corporation holds certain personal 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 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 in electronic or other form, for the purposes of implementing, administering and managing 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spacing w:after="0" w:line="158" w:lineRule="exact"/>
        <w:rPr>
          <w:rFonts w:ascii="Arial" w:cs="Arial" w:eastAsia="Arial" w:hAnsi="Arial"/>
          <w:sz w:val="19"/>
          <w:szCs w:val="19"/>
          <w:color w:val="auto"/>
        </w:rPr>
      </w:pPr>
    </w:p>
    <w:p>
      <w:pPr>
        <w:jc w:val="both"/>
        <w:ind w:right="20" w:firstLine="1304"/>
        <w:spacing w:after="0" w:line="239" w:lineRule="auto"/>
        <w:tabs>
          <w:tab w:leader="none" w:pos="1944" w:val="left"/>
        </w:tabs>
        <w:numPr>
          <w:ilvl w:val="0"/>
          <w:numId w:val="169"/>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This Agreement may not be altered, modified, or amended except by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instrument signed by the parties hereto; provided that the Corporation may alter, modify or amend this Agreement unilaterally if such change is not materially adverse to Participant or to cause this Agreement to comply with applicable law.</w:t>
      </w:r>
    </w:p>
    <w:p>
      <w:pPr>
        <w:spacing w:after="0" w:line="180" w:lineRule="exact"/>
        <w:rPr>
          <w:rFonts w:ascii="Arial" w:cs="Arial" w:eastAsia="Arial" w:hAnsi="Arial"/>
          <w:sz w:val="22"/>
          <w:szCs w:val="22"/>
          <w:color w:val="auto"/>
        </w:rPr>
      </w:pPr>
    </w:p>
    <w:p>
      <w:pPr>
        <w:jc w:val="both"/>
        <w:ind w:firstLine="1304"/>
        <w:spacing w:after="0" w:line="243" w:lineRule="auto"/>
        <w:tabs>
          <w:tab w:leader="none" w:pos="1944" w:val="left"/>
        </w:tabs>
        <w:numPr>
          <w:ilvl w:val="0"/>
          <w:numId w:val="169"/>
        </w:numPr>
        <w:rPr>
          <w:rFonts w:ascii="Arial" w:cs="Arial" w:eastAsia="Arial" w:hAnsi="Arial"/>
          <w:sz w:val="22"/>
          <w:szCs w:val="22"/>
          <w:color w:val="auto"/>
        </w:rPr>
      </w:pPr>
      <w:r>
        <w:rPr>
          <w:rFonts w:ascii="Arial" w:cs="Arial" w:eastAsia="Arial" w:hAnsi="Arial"/>
          <w:sz w:val="22"/>
          <w:szCs w:val="22"/>
          <w:b w:val="1"/>
          <w:bCs w:val="1"/>
          <w:u w:val="single" w:color="auto"/>
          <w:color w:val="auto"/>
        </w:rPr>
        <w:t>Other Agreements Superseded</w:t>
      </w:r>
      <w:r>
        <w:rPr>
          <w:rFonts w:ascii="Arial" w:cs="Arial" w:eastAsia="Arial" w:hAnsi="Arial"/>
          <w:sz w:val="22"/>
          <w:szCs w:val="22"/>
          <w:color w:val="auto"/>
        </w:rPr>
        <w:t>. The Award Notice, this Agreement,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the entire understanding between Participant and the Corporation regarding the Award. Any prior agreements, commitments or negotiations concerning the Award are superseded.</w:t>
      </w:r>
    </w:p>
    <w:p>
      <w:pPr>
        <w:spacing w:after="0" w:line="176" w:lineRule="exact"/>
        <w:rPr>
          <w:rFonts w:ascii="Arial" w:cs="Arial" w:eastAsia="Arial" w:hAnsi="Arial"/>
          <w:sz w:val="22"/>
          <w:szCs w:val="22"/>
          <w:color w:val="auto"/>
        </w:rPr>
      </w:pPr>
    </w:p>
    <w:p>
      <w:pPr>
        <w:jc w:val="both"/>
        <w:ind w:firstLine="1304"/>
        <w:spacing w:after="0" w:line="300" w:lineRule="auto"/>
        <w:tabs>
          <w:tab w:leader="none" w:pos="1944" w:val="left"/>
        </w:tabs>
        <w:numPr>
          <w:ilvl w:val="0"/>
          <w:numId w:val="169"/>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Plan Document</w:t>
      </w:r>
      <w:r>
        <w:rPr>
          <w:rFonts w:ascii="Arial" w:cs="Arial" w:eastAsia="Arial" w:hAnsi="Arial"/>
          <w:sz w:val="19"/>
          <w:szCs w:val="19"/>
          <w:color w:val="auto"/>
        </w:rPr>
        <w:t>. The Award is subject to all the provisions of the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which are hereby made a part of the Award, and is further subject to all interpretations, amendments, rules and regulations, which may from time to time be promulgated and adopted pursuant to the Plan.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38" w:right="999" w:bottom="1440" w:gutter="0" w:footer="0" w:header="0"/>
        </w:sectPr>
      </w:pPr>
    </w:p>
    <w:bookmarkStart w:id="157" w:name="page158"/>
    <w:bookmarkEnd w:id="157"/>
    <w:p>
      <w:pPr>
        <w:jc w:val="center"/>
        <w:spacing w:after="0"/>
        <w:rPr>
          <w:sz w:val="20"/>
          <w:szCs w:val="20"/>
          <w:color w:val="auto"/>
        </w:rPr>
      </w:pPr>
      <w:r>
        <w:rPr>
          <w:rFonts w:ascii="Arial" w:cs="Arial" w:eastAsia="Arial" w:hAnsi="Arial"/>
          <w:sz w:val="22"/>
          <w:szCs w:val="22"/>
          <w:b w:val="1"/>
          <w:bCs w:val="1"/>
          <w:color w:val="auto"/>
        </w:rPr>
        <w:t>APPENDIX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00" w:lineRule="exact"/>
        <w:rPr>
          <w:sz w:val="20"/>
          <w:szCs w:val="20"/>
          <w:color w:val="auto"/>
        </w:rPr>
      </w:pPr>
    </w:p>
    <w:p>
      <w:pPr>
        <w:spacing w:after="0" w:line="2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following definitions shall be in effect under the Agreement:</w:t>
      </w:r>
    </w:p>
    <w:p>
      <w:pPr>
        <w:spacing w:after="0" w:line="200" w:lineRule="exact"/>
        <w:rPr>
          <w:sz w:val="20"/>
          <w:szCs w:val="20"/>
          <w:color w:val="auto"/>
        </w:rPr>
      </w:pPr>
    </w:p>
    <w:p>
      <w:pPr>
        <w:ind w:left="1960" w:hanging="656"/>
        <w:spacing w:after="0"/>
        <w:tabs>
          <w:tab w:leader="none" w:pos="1960" w:val="left"/>
        </w:tabs>
        <w:numPr>
          <w:ilvl w:val="1"/>
          <w:numId w:val="170"/>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this Performance Share Award Agreement.</w:t>
      </w:r>
    </w:p>
    <w:p>
      <w:pPr>
        <w:spacing w:after="0" w:line="206" w:lineRule="exact"/>
        <w:rPr>
          <w:rFonts w:ascii="Arial" w:cs="Arial" w:eastAsia="Arial" w:hAnsi="Arial"/>
          <w:sz w:val="22"/>
          <w:szCs w:val="22"/>
          <w:color w:val="auto"/>
        </w:rPr>
      </w:pPr>
    </w:p>
    <w:p>
      <w:pPr>
        <w:ind w:firstLine="1304"/>
        <w:spacing w:after="0" w:line="256" w:lineRule="auto"/>
        <w:tabs>
          <w:tab w:leader="none" w:pos="1944" w:val="left"/>
        </w:tabs>
        <w:numPr>
          <w:ilvl w:val="1"/>
          <w:numId w:val="170"/>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award of Performance Shares made to Participant pursuant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of this Agreement.</w:t>
      </w:r>
    </w:p>
    <w:p>
      <w:pPr>
        <w:spacing w:after="0" w:line="162" w:lineRule="exact"/>
        <w:rPr>
          <w:rFonts w:ascii="Arial" w:cs="Arial" w:eastAsia="Arial" w:hAnsi="Arial"/>
          <w:sz w:val="22"/>
          <w:szCs w:val="22"/>
          <w:color w:val="auto"/>
        </w:rPr>
      </w:pPr>
    </w:p>
    <w:p>
      <w:pPr>
        <w:ind w:right="20" w:firstLine="1304"/>
        <w:spacing w:after="0" w:line="280" w:lineRule="auto"/>
        <w:tabs>
          <w:tab w:leader="none" w:pos="1944" w:val="left"/>
        </w:tabs>
        <w:numPr>
          <w:ilvl w:val="1"/>
          <w:numId w:val="170"/>
        </w:numPr>
        <w:rPr>
          <w:rFonts w:ascii="Arial" w:cs="Arial" w:eastAsia="Arial" w:hAnsi="Arial"/>
          <w:sz w:val="21"/>
          <w:szCs w:val="21"/>
          <w:color w:val="auto"/>
        </w:rPr>
      </w:pPr>
      <w:r>
        <w:rPr>
          <w:rFonts w:ascii="Arial" w:cs="Arial" w:eastAsia="Arial" w:hAnsi="Arial"/>
          <w:sz w:val="21"/>
          <w:szCs w:val="21"/>
          <w:b w:val="1"/>
          <w:bCs w:val="1"/>
          <w:u w:val="single" w:color="auto"/>
          <w:color w:val="auto"/>
        </w:rPr>
        <w:t>Award Date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date the Performance Shares are awarded to Participant</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the Agreement and shall be the date specified in Paragraph 1 of the Award Notice.</w:t>
      </w:r>
    </w:p>
    <w:p>
      <w:pPr>
        <w:spacing w:after="0" w:line="138" w:lineRule="exact"/>
        <w:rPr>
          <w:rFonts w:ascii="Arial" w:cs="Arial" w:eastAsia="Arial" w:hAnsi="Arial"/>
          <w:sz w:val="21"/>
          <w:szCs w:val="21"/>
          <w:color w:val="auto"/>
        </w:rPr>
      </w:pPr>
    </w:p>
    <w:p>
      <w:pPr>
        <w:ind w:firstLine="1304"/>
        <w:spacing w:after="0" w:line="280" w:lineRule="auto"/>
        <w:tabs>
          <w:tab w:leader="none" w:pos="1944" w:val="left"/>
        </w:tabs>
        <w:numPr>
          <w:ilvl w:val="1"/>
          <w:numId w:val="170"/>
        </w:numPr>
        <w:rPr>
          <w:rFonts w:ascii="Arial" w:cs="Arial" w:eastAsia="Arial" w:hAnsi="Arial"/>
          <w:sz w:val="21"/>
          <w:szCs w:val="21"/>
          <w:color w:val="auto"/>
        </w:rPr>
      </w:pPr>
      <w:r>
        <w:rPr>
          <w:rFonts w:ascii="Arial" w:cs="Arial" w:eastAsia="Arial" w:hAnsi="Arial"/>
          <w:sz w:val="21"/>
          <w:szCs w:val="21"/>
          <w:b w:val="1"/>
          <w:bCs w:val="1"/>
          <w:u w:val="single" w:color="auto"/>
          <w:color w:val="auto"/>
        </w:rPr>
        <w:t>Award Notice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Notice of Award of Performance Shares delivered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in which there is set forth the basic terms of the Performance Shares subject to this Agreement.</w:t>
      </w:r>
    </w:p>
    <w:p>
      <w:pPr>
        <w:spacing w:after="0" w:line="138" w:lineRule="exact"/>
        <w:rPr>
          <w:rFonts w:ascii="Arial" w:cs="Arial" w:eastAsia="Arial" w:hAnsi="Arial"/>
          <w:sz w:val="21"/>
          <w:szCs w:val="21"/>
          <w:color w:val="auto"/>
        </w:rPr>
      </w:pPr>
    </w:p>
    <w:p>
      <w:pPr>
        <w:jc w:val="both"/>
        <w:ind w:firstLine="1304"/>
        <w:spacing w:after="0" w:line="289" w:lineRule="auto"/>
        <w:tabs>
          <w:tab w:leader="none" w:pos="1944" w:val="left"/>
        </w:tabs>
        <w:numPr>
          <w:ilvl w:val="1"/>
          <w:numId w:val="170"/>
        </w:numPr>
        <w:rPr>
          <w:rFonts w:ascii="Arial" w:cs="Arial" w:eastAsia="Arial" w:hAnsi="Arial"/>
          <w:sz w:val="19"/>
          <w:szCs w:val="19"/>
          <w:color w:val="auto"/>
        </w:rPr>
      </w:pPr>
      <w:r>
        <w:rPr>
          <w:rFonts w:ascii="Arial" w:cs="Arial" w:eastAsia="Arial" w:hAnsi="Arial"/>
          <w:sz w:val="19"/>
          <w:szCs w:val="19"/>
          <w:b w:val="1"/>
          <w:bCs w:val="1"/>
          <w:u w:val="single" w:color="auto"/>
          <w:color w:val="auto"/>
        </w:rPr>
        <w:t>Cause</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set forth in the Plan document;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event Participant is, at the time the Corporation (or any Parent or Subsidiary) purports to terminate Participant’s Employee status for Cause, a party to a Change in Control Benefits Agreement applicable to the Award, the term Cause shall have the meaning ascribed to that term in such Change in Control Benefits Agreement.</w:t>
      </w:r>
    </w:p>
    <w:p>
      <w:pPr>
        <w:spacing w:after="0" w:line="135" w:lineRule="exact"/>
        <w:rPr>
          <w:rFonts w:ascii="Arial" w:cs="Arial" w:eastAsia="Arial" w:hAnsi="Arial"/>
          <w:sz w:val="19"/>
          <w:szCs w:val="19"/>
          <w:color w:val="auto"/>
        </w:rPr>
      </w:pPr>
    </w:p>
    <w:p>
      <w:pPr>
        <w:jc w:val="both"/>
        <w:ind w:firstLine="1304"/>
        <w:spacing w:after="0" w:line="300" w:lineRule="auto"/>
        <w:tabs>
          <w:tab w:leader="none" w:pos="1944" w:val="left"/>
        </w:tabs>
        <w:numPr>
          <w:ilvl w:val="1"/>
          <w:numId w:val="170"/>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set forth in the Plan;</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in</w:t>
      </w:r>
      <w:r>
        <w:rPr>
          <w:rFonts w:ascii="Arial" w:cs="Arial" w:eastAsia="Arial" w:hAnsi="Arial"/>
          <w:sz w:val="19"/>
          <w:szCs w:val="19"/>
          <w:b w:val="1"/>
          <w:bCs w:val="1"/>
          <w:color w:val="auto"/>
        </w:rPr>
        <w:t xml:space="preserve"> </w:t>
      </w:r>
      <w:r>
        <w:rPr>
          <w:rFonts w:ascii="Arial" w:cs="Arial" w:eastAsia="Arial" w:hAnsi="Arial"/>
          <w:sz w:val="19"/>
          <w:szCs w:val="19"/>
          <w:color w:val="auto"/>
        </w:rPr>
        <w:t>the event Participant is a party to a Change in Control Benefits Agreement applicable to the Award, the term Change in Control shall have the meaning ascribed to that term in such Change in Control Benefits Agreement.</w:t>
      </w:r>
    </w:p>
    <w:p>
      <w:pPr>
        <w:spacing w:after="0" w:line="125" w:lineRule="exact"/>
        <w:rPr>
          <w:rFonts w:ascii="Arial" w:cs="Arial" w:eastAsia="Arial" w:hAnsi="Arial"/>
          <w:sz w:val="19"/>
          <w:szCs w:val="19"/>
          <w:color w:val="auto"/>
        </w:rPr>
      </w:pPr>
    </w:p>
    <w:p>
      <w:pPr>
        <w:jc w:val="both"/>
        <w:ind w:firstLine="1304"/>
        <w:spacing w:after="0" w:line="283" w:lineRule="auto"/>
        <w:tabs>
          <w:tab w:leader="none" w:pos="1944" w:val="left"/>
        </w:tabs>
        <w:numPr>
          <w:ilvl w:val="1"/>
          <w:numId w:val="170"/>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any separate agreement between</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and the 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spacing w:after="0" w:line="142" w:lineRule="exact"/>
        <w:rPr>
          <w:rFonts w:ascii="Arial" w:cs="Arial" w:eastAsia="Arial" w:hAnsi="Arial"/>
          <w:sz w:val="19"/>
          <w:szCs w:val="19"/>
          <w:color w:val="auto"/>
        </w:rPr>
      </w:pPr>
    </w:p>
    <w:p>
      <w:pPr>
        <w:jc w:val="both"/>
        <w:ind w:firstLine="1304"/>
        <w:spacing w:after="0" w:line="239" w:lineRule="auto"/>
        <w:tabs>
          <w:tab w:leader="none" w:pos="1944" w:val="left"/>
        </w:tabs>
        <w:numPr>
          <w:ilvl w:val="1"/>
          <w:numId w:val="170"/>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 Shares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number of Shares obtained by multiplying the</w:t>
      </w:r>
      <w:r>
        <w:rPr>
          <w:rFonts w:ascii="Arial" w:cs="Arial" w:eastAsia="Arial" w:hAnsi="Arial"/>
          <w:sz w:val="22"/>
          <w:szCs w:val="22"/>
          <w:b w:val="1"/>
          <w:bCs w:val="1"/>
          <w:color w:val="auto"/>
        </w:rPr>
        <w:t xml:space="preserve"> </w:t>
      </w:r>
      <w:r>
        <w:rPr>
          <w:rFonts w:ascii="Arial" w:cs="Arial" w:eastAsia="Arial" w:hAnsi="Arial"/>
          <w:sz w:val="22"/>
          <w:szCs w:val="22"/>
          <w:color w:val="auto"/>
        </w:rPr>
        <w:t>Vested Percentage by the greater of (i) the number of Designated Shares, or (ii) the number of Performance-Qualified Shares issuable under the Award based on actual performance of the Performance Goal through the date of the Change in Control.</w:t>
      </w:r>
    </w:p>
    <w:p>
      <w:pPr>
        <w:spacing w:after="0" w:line="180" w:lineRule="exact"/>
        <w:rPr>
          <w:rFonts w:ascii="Arial" w:cs="Arial" w:eastAsia="Arial" w:hAnsi="Arial"/>
          <w:sz w:val="22"/>
          <w:szCs w:val="22"/>
          <w:color w:val="auto"/>
        </w:rPr>
      </w:pPr>
    </w:p>
    <w:p>
      <w:pPr>
        <w:jc w:val="both"/>
        <w:ind w:firstLine="1304"/>
        <w:spacing w:after="0" w:line="280" w:lineRule="auto"/>
        <w:tabs>
          <w:tab w:leader="none" w:pos="1944" w:val="left"/>
        </w:tabs>
        <w:numPr>
          <w:ilvl w:val="1"/>
          <w:numId w:val="170"/>
        </w:numPr>
        <w:rPr>
          <w:rFonts w:ascii="Arial" w:cs="Arial" w:eastAsia="Arial" w:hAnsi="Arial"/>
          <w:sz w:val="19"/>
          <w:szCs w:val="19"/>
          <w:color w:val="auto"/>
        </w:rPr>
      </w:pPr>
      <w:r>
        <w:rPr>
          <w:rFonts w:ascii="Arial" w:cs="Arial" w:eastAsia="Arial" w:hAnsi="Arial"/>
          <w:sz w:val="19"/>
          <w:szCs w:val="19"/>
          <w:b w:val="1"/>
          <w:bCs w:val="1"/>
          <w:u w:val="single" w:color="auto"/>
          <w:color w:val="auto"/>
        </w:rPr>
        <w:t>Early Retirement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Participant’s retirement from Service, with the prior approval</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Corporation (or the Parent or Subsidiary employing Participant), on or after the attainment of age fifty-five</w:t>
      </w:r>
    </w:p>
    <w:p>
      <w:pPr>
        <w:ind w:left="420" w:hanging="412"/>
        <w:spacing w:after="0"/>
        <w:tabs>
          <w:tab w:leader="none" w:pos="42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and the completion of at least five (5) years of Service.</w:t>
      </w:r>
    </w:p>
    <w:p>
      <w:pPr>
        <w:spacing w:after="0" w:line="182" w:lineRule="exact"/>
        <w:rPr>
          <w:rFonts w:ascii="Arial" w:cs="Arial" w:eastAsia="Arial" w:hAnsi="Arial"/>
          <w:sz w:val="22"/>
          <w:szCs w:val="22"/>
          <w:color w:val="auto"/>
        </w:rPr>
      </w:pPr>
    </w:p>
    <w:p>
      <w:pPr>
        <w:ind w:left="1960" w:hanging="656"/>
        <w:spacing w:after="0"/>
        <w:tabs>
          <w:tab w:leader="none" w:pos="1960" w:val="left"/>
        </w:tabs>
        <w:numPr>
          <w:ilvl w:val="1"/>
          <w:numId w:val="171"/>
        </w:numPr>
        <w:rPr>
          <w:rFonts w:ascii="Arial" w:cs="Arial" w:eastAsia="Arial" w:hAnsi="Arial"/>
          <w:sz w:val="22"/>
          <w:szCs w:val="22"/>
          <w:color w:val="auto"/>
        </w:rPr>
      </w:pPr>
      <w:r>
        <w:rPr>
          <w:rFonts w:ascii="Arial" w:cs="Arial" w:eastAsia="Arial" w:hAnsi="Arial"/>
          <w:sz w:val="22"/>
          <w:szCs w:val="22"/>
          <w:b w:val="1"/>
          <w:bCs w:val="1"/>
          <w:u w:val="single" w:color="auto"/>
          <w:color w:val="auto"/>
        </w:rPr>
        <w:t>Extraordinary Level Attainment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38" w:right="999" w:bottom="1440" w:gutter="0" w:footer="0" w:header="0"/>
        </w:sectPr>
      </w:pPr>
    </w:p>
    <w:bookmarkStart w:id="158" w:name="page159"/>
    <w:bookmarkEnd w:id="158"/>
    <w:p>
      <w:pPr>
        <w:ind w:right="20"/>
        <w:spacing w:after="0" w:line="250" w:lineRule="auto"/>
        <w:rPr>
          <w:sz w:val="20"/>
          <w:szCs w:val="20"/>
          <w:color w:val="auto"/>
        </w:rPr>
      </w:pPr>
      <w:r>
        <w:rPr>
          <w:rFonts w:ascii="Arial" w:cs="Arial" w:eastAsia="Arial" w:hAnsi="Arial"/>
          <w:sz w:val="22"/>
          <w:szCs w:val="22"/>
          <w:color w:val="auto"/>
        </w:rPr>
        <w:t>achievement of the Performance Goal set forth in Schedule I of the Award Notice at the level designated as Extraordinary Level attainment for that goal.</w:t>
      </w:r>
    </w:p>
    <w:p>
      <w:pPr>
        <w:spacing w:after="0" w:line="169" w:lineRule="exact"/>
        <w:rPr>
          <w:sz w:val="20"/>
          <w:szCs w:val="20"/>
          <w:color w:val="auto"/>
        </w:rPr>
      </w:pPr>
    </w:p>
    <w:p>
      <w:pPr>
        <w:jc w:val="both"/>
        <w:ind w:firstLine="1304"/>
        <w:spacing w:after="0" w:line="239" w:lineRule="auto"/>
        <w:tabs>
          <w:tab w:leader="none" w:pos="1944" w:val="left"/>
        </w:tabs>
        <w:numPr>
          <w:ilvl w:val="0"/>
          <w:numId w:val="172"/>
        </w:numPr>
        <w:rPr>
          <w:rFonts w:ascii="Arial" w:cs="Arial" w:eastAsia="Arial" w:hAnsi="Arial"/>
          <w:sz w:val="22"/>
          <w:szCs w:val="22"/>
          <w:color w:val="auto"/>
        </w:rPr>
      </w:pPr>
      <w:r>
        <w:rPr>
          <w:rFonts w:ascii="Arial" w:cs="Arial" w:eastAsia="Arial" w:hAnsi="Arial"/>
          <w:sz w:val="22"/>
          <w:szCs w:val="22"/>
          <w:b w:val="1"/>
          <w:bCs w:val="1"/>
          <w:u w:val="single" w:color="auto"/>
          <w:color w:val="auto"/>
        </w:rPr>
        <w:t>Good Reason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the Plan;</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provided however</w:t>
      </w:r>
      <w:r>
        <w:rPr>
          <w:rFonts w:ascii="Arial" w:cs="Arial" w:eastAsia="Arial" w:hAnsi="Arial"/>
          <w:sz w:val="22"/>
          <w:szCs w:val="22"/>
          <w:color w:val="auto"/>
        </w:rPr>
        <w:t>, in the event</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is at the time of his or her cessation of Employee status a party to a Change in Control Benefits Agreement applicable to the Award evidenced by this Agreement, the term Good Reason shall have the meaning ascribed to that term in such Change in Control Benefits Agreement.</w:t>
      </w:r>
    </w:p>
    <w:p>
      <w:pPr>
        <w:spacing w:after="0" w:line="180" w:lineRule="exact"/>
        <w:rPr>
          <w:rFonts w:ascii="Arial" w:cs="Arial" w:eastAsia="Arial" w:hAnsi="Arial"/>
          <w:sz w:val="22"/>
          <w:szCs w:val="22"/>
          <w:color w:val="auto"/>
        </w:rPr>
      </w:pPr>
    </w:p>
    <w:p>
      <w:pPr>
        <w:ind w:firstLine="1304"/>
        <w:spacing w:after="0" w:line="256" w:lineRule="auto"/>
        <w:tabs>
          <w:tab w:leader="none" w:pos="1944" w:val="left"/>
        </w:tabs>
        <w:numPr>
          <w:ilvl w:val="0"/>
          <w:numId w:val="172"/>
        </w:numPr>
        <w:rPr>
          <w:rFonts w:ascii="Arial" w:cs="Arial" w:eastAsia="Arial" w:hAnsi="Arial"/>
          <w:sz w:val="22"/>
          <w:szCs w:val="22"/>
          <w:color w:val="auto"/>
        </w:rPr>
      </w:pPr>
      <w:r>
        <w:rPr>
          <w:rFonts w:ascii="Arial" w:cs="Arial" w:eastAsia="Arial" w:hAnsi="Arial"/>
          <w:sz w:val="22"/>
          <w:szCs w:val="22"/>
          <w:b w:val="1"/>
          <w:bCs w:val="1"/>
          <w:u w:val="single" w:color="auto"/>
          <w:color w:val="auto"/>
        </w:rPr>
        <w:t>Normal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shall mean the cessation of Service by reason of retirement</w:t>
      </w:r>
      <w:r>
        <w:rPr>
          <w:rFonts w:ascii="Arial" w:cs="Arial" w:eastAsia="Arial" w:hAnsi="Arial"/>
          <w:sz w:val="22"/>
          <w:szCs w:val="22"/>
          <w:b w:val="1"/>
          <w:bCs w:val="1"/>
          <w:color w:val="auto"/>
        </w:rPr>
        <w:t xml:space="preserve"> a</w:t>
      </w:r>
      <w:r>
        <w:rPr>
          <w:rFonts w:ascii="Arial" w:cs="Arial" w:eastAsia="Arial" w:hAnsi="Arial"/>
          <w:sz w:val="22"/>
          <w:szCs w:val="22"/>
          <w:color w:val="auto"/>
        </w:rPr>
        <w:t>t or after the attainment of age sixty-five (65).</w:t>
      </w:r>
    </w:p>
    <w:p>
      <w:pPr>
        <w:spacing w:after="0" w:line="162" w:lineRule="exact"/>
        <w:rPr>
          <w:rFonts w:ascii="Arial" w:cs="Arial" w:eastAsia="Arial" w:hAnsi="Arial"/>
          <w:sz w:val="22"/>
          <w:szCs w:val="22"/>
          <w:color w:val="auto"/>
        </w:rPr>
      </w:pPr>
    </w:p>
    <w:p>
      <w:pPr>
        <w:ind w:left="1960" w:hanging="656"/>
        <w:spacing w:after="0"/>
        <w:tabs>
          <w:tab w:leader="none" w:pos="1960" w:val="left"/>
        </w:tabs>
        <w:numPr>
          <w:ilvl w:val="0"/>
          <w:numId w:val="172"/>
        </w:numPr>
        <w:rPr>
          <w:rFonts w:ascii="Arial" w:cs="Arial" w:eastAsia="Arial" w:hAnsi="Arial"/>
          <w:sz w:val="19"/>
          <w:szCs w:val="19"/>
          <w:color w:val="auto"/>
        </w:rPr>
      </w:pPr>
      <w:r>
        <w:rPr>
          <w:rFonts w:ascii="Arial" w:cs="Arial" w:eastAsia="Arial" w:hAnsi="Arial"/>
          <w:sz w:val="19"/>
          <w:szCs w:val="19"/>
          <w:b w:val="1"/>
          <w:bCs w:val="1"/>
          <w:u w:val="single" w:color="auto"/>
          <w:color w:val="auto"/>
        </w:rPr>
        <w:t>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person to whom the Award is made pursuant to the Agreement.</w:t>
      </w:r>
    </w:p>
    <w:p>
      <w:pPr>
        <w:spacing w:after="0" w:line="240" w:lineRule="exact"/>
        <w:rPr>
          <w:rFonts w:ascii="Arial" w:cs="Arial" w:eastAsia="Arial" w:hAnsi="Arial"/>
          <w:sz w:val="19"/>
          <w:szCs w:val="19"/>
          <w:color w:val="auto"/>
        </w:rPr>
      </w:pPr>
    </w:p>
    <w:p>
      <w:pPr>
        <w:ind w:left="1960" w:hanging="656"/>
        <w:spacing w:after="0"/>
        <w:tabs>
          <w:tab w:leader="none" w:pos="1960" w:val="left"/>
        </w:tabs>
        <w:numPr>
          <w:ilvl w:val="0"/>
          <w:numId w:val="172"/>
        </w:numPr>
        <w:rPr>
          <w:rFonts w:ascii="Arial" w:cs="Arial" w:eastAsia="Arial" w:hAnsi="Arial"/>
          <w:sz w:val="19"/>
          <w:szCs w:val="19"/>
          <w:color w:val="auto"/>
        </w:rPr>
      </w:pPr>
      <w:r>
        <w:rPr>
          <w:rFonts w:ascii="Arial" w:cs="Arial" w:eastAsia="Arial" w:hAnsi="Arial"/>
          <w:sz w:val="19"/>
          <w:szCs w:val="19"/>
          <w:b w:val="1"/>
          <w:bCs w:val="1"/>
          <w:u w:val="single" w:color="auto"/>
          <w:color w:val="auto"/>
        </w:rPr>
        <w:t>Performance Goal</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performance goal specified on Schedule I of the Award</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Notice.</w:t>
      </w:r>
    </w:p>
    <w:p>
      <w:pPr>
        <w:spacing w:after="0" w:line="182" w:lineRule="exact"/>
        <w:rPr>
          <w:rFonts w:ascii="Arial" w:cs="Arial" w:eastAsia="Arial" w:hAnsi="Arial"/>
          <w:sz w:val="19"/>
          <w:szCs w:val="19"/>
          <w:color w:val="auto"/>
        </w:rPr>
      </w:pPr>
    </w:p>
    <w:p>
      <w:pPr>
        <w:ind w:firstLine="1304"/>
        <w:spacing w:after="0" w:line="256" w:lineRule="auto"/>
        <w:tabs>
          <w:tab w:leader="none" w:pos="1944" w:val="left"/>
        </w:tabs>
        <w:numPr>
          <w:ilvl w:val="0"/>
          <w:numId w:val="172"/>
        </w:numPr>
        <w:rPr>
          <w:rFonts w:ascii="Arial" w:cs="Arial" w:eastAsia="Arial" w:hAnsi="Arial"/>
          <w:sz w:val="22"/>
          <w:szCs w:val="22"/>
          <w:color w:val="auto"/>
        </w:rPr>
      </w:pPr>
      <w:r>
        <w:rPr>
          <w:rFonts w:ascii="Arial" w:cs="Arial" w:eastAsia="Arial" w:hAnsi="Arial"/>
          <w:sz w:val="22"/>
          <w:szCs w:val="22"/>
          <w:b w:val="1"/>
          <w:bCs w:val="1"/>
          <w:u w:val="single" w:color="auto"/>
          <w:color w:val="auto"/>
        </w:rPr>
        <w:t>Performance Period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period specified on Schedule I of the Award Notice</w:t>
      </w:r>
      <w:r>
        <w:rPr>
          <w:rFonts w:ascii="Arial" w:cs="Arial" w:eastAsia="Arial" w:hAnsi="Arial"/>
          <w:sz w:val="22"/>
          <w:szCs w:val="22"/>
          <w:b w:val="1"/>
          <w:bCs w:val="1"/>
          <w:color w:val="auto"/>
        </w:rPr>
        <w:t xml:space="preserve"> </w:t>
      </w:r>
      <w:r>
        <w:rPr>
          <w:rFonts w:ascii="Arial" w:cs="Arial" w:eastAsia="Arial" w:hAnsi="Arial"/>
          <w:sz w:val="22"/>
          <w:szCs w:val="22"/>
          <w:color w:val="auto"/>
        </w:rPr>
        <w:t>over which the attainment of the Performance Goal is to be measured.</w:t>
      </w:r>
    </w:p>
    <w:p>
      <w:pPr>
        <w:spacing w:after="0" w:line="162" w:lineRule="exact"/>
        <w:rPr>
          <w:rFonts w:ascii="Arial" w:cs="Arial" w:eastAsia="Arial" w:hAnsi="Arial"/>
          <w:sz w:val="22"/>
          <w:szCs w:val="22"/>
          <w:color w:val="auto"/>
        </w:rPr>
      </w:pPr>
    </w:p>
    <w:p>
      <w:pPr>
        <w:jc w:val="both"/>
        <w:ind w:firstLine="1304"/>
        <w:spacing w:after="0" w:line="280" w:lineRule="auto"/>
        <w:tabs>
          <w:tab w:leader="none" w:pos="1944" w:val="left"/>
        </w:tabs>
        <w:numPr>
          <w:ilvl w:val="0"/>
          <w:numId w:val="172"/>
        </w:numPr>
        <w:rPr>
          <w:rFonts w:ascii="Arial" w:cs="Arial" w:eastAsia="Arial" w:hAnsi="Arial"/>
          <w:sz w:val="19"/>
          <w:szCs w:val="19"/>
          <w:color w:val="auto"/>
        </w:rPr>
      </w:pPr>
      <w:r>
        <w:rPr>
          <w:rFonts w:ascii="Arial" w:cs="Arial" w:eastAsia="Arial" w:hAnsi="Arial"/>
          <w:sz w:val="19"/>
          <w:szCs w:val="19"/>
          <w:b w:val="1"/>
          <w:bCs w:val="1"/>
          <w:u w:val="single" w:color="auto"/>
          <w:color w:val="auto"/>
        </w:rPr>
        <w:t>Performance-Qualified Shares</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maximum number of Shares in which</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can vest based on the level at which the Performance Goal for the Performance Period is attained and shall be calculated in accordance with the provisions of the Award Notice. In no event shall the number of such Performance-Qualified Shares exceed two hundred percent (200%) of the designated number of Performance Shares set forth in the Performance Shares section of the Award Notice. Each Performance-Qualified Share that vests pursuant to the terms of the Award shall entitle Participant to receive one Share.</w:t>
      </w:r>
    </w:p>
    <w:p>
      <w:pPr>
        <w:spacing w:after="0" w:line="144" w:lineRule="exact"/>
        <w:rPr>
          <w:rFonts w:ascii="Arial" w:cs="Arial" w:eastAsia="Arial" w:hAnsi="Arial"/>
          <w:sz w:val="19"/>
          <w:szCs w:val="19"/>
          <w:color w:val="auto"/>
        </w:rPr>
      </w:pPr>
    </w:p>
    <w:p>
      <w:pPr>
        <w:jc w:val="both"/>
        <w:ind w:firstLine="1304"/>
        <w:spacing w:after="0" w:line="239" w:lineRule="auto"/>
        <w:tabs>
          <w:tab w:leader="none" w:pos="1944" w:val="left"/>
        </w:tabs>
        <w:numPr>
          <w:ilvl w:val="0"/>
          <w:numId w:val="172"/>
        </w:numPr>
        <w:rPr>
          <w:rFonts w:ascii="Arial" w:cs="Arial" w:eastAsia="Arial" w:hAnsi="Arial"/>
          <w:sz w:val="22"/>
          <w:szCs w:val="22"/>
          <w:color w:val="auto"/>
        </w:rPr>
      </w:pPr>
      <w:r>
        <w:rPr>
          <w:rFonts w:ascii="Arial" w:cs="Arial" w:eastAsia="Arial" w:hAnsi="Arial"/>
          <w:sz w:val="22"/>
          <w:szCs w:val="22"/>
          <w:b w:val="1"/>
          <w:bCs w:val="1"/>
          <w:u w:val="single" w:color="auto"/>
          <w:color w:val="auto"/>
        </w:rPr>
        <w:t>Performance Shares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number of phantom shares of Common Stock awarded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this Agreement that shall be applied to the calculation of the maximum number of Performance-Qualified Shares (if any) based on the level at which the Performance Goal is in fact attained over the applicable Performance Period.</w:t>
      </w:r>
    </w:p>
    <w:p>
      <w:pPr>
        <w:spacing w:after="0" w:line="180" w:lineRule="exact"/>
        <w:rPr>
          <w:rFonts w:ascii="Arial" w:cs="Arial" w:eastAsia="Arial" w:hAnsi="Arial"/>
          <w:sz w:val="22"/>
          <w:szCs w:val="22"/>
          <w:color w:val="auto"/>
        </w:rPr>
      </w:pPr>
    </w:p>
    <w:p>
      <w:pPr>
        <w:ind w:left="1960" w:hanging="656"/>
        <w:spacing w:after="0"/>
        <w:tabs>
          <w:tab w:leader="none" w:pos="1960" w:val="left"/>
        </w:tabs>
        <w:numPr>
          <w:ilvl w:val="0"/>
          <w:numId w:val="172"/>
        </w:numPr>
        <w:rPr>
          <w:rFonts w:ascii="Arial" w:cs="Arial" w:eastAsia="Arial" w:hAnsi="Arial"/>
          <w:sz w:val="19"/>
          <w:szCs w:val="19"/>
          <w:color w:val="auto"/>
        </w:rPr>
      </w:pPr>
      <w:r>
        <w:rPr>
          <w:rFonts w:ascii="Arial" w:cs="Arial" w:eastAsia="Arial" w:hAnsi="Arial"/>
          <w:sz w:val="19"/>
          <w:szCs w:val="19"/>
          <w:b w:val="1"/>
          <w:bCs w:val="1"/>
          <w:u w:val="single" w:color="auto"/>
          <w:color w:val="auto"/>
        </w:rPr>
        <w:t>Plan</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Corporation’s 2016 Incentive Compensation Plan, as amended from</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time to time.</w:t>
      </w:r>
    </w:p>
    <w:p>
      <w:pPr>
        <w:spacing w:after="0" w:line="182" w:lineRule="exact"/>
        <w:rPr>
          <w:rFonts w:ascii="Arial" w:cs="Arial" w:eastAsia="Arial" w:hAnsi="Arial"/>
          <w:sz w:val="19"/>
          <w:szCs w:val="19"/>
          <w:color w:val="auto"/>
        </w:rPr>
      </w:pPr>
    </w:p>
    <w:p>
      <w:pPr>
        <w:jc w:val="both"/>
        <w:ind w:firstLine="1304"/>
        <w:spacing w:after="0" w:line="249" w:lineRule="auto"/>
        <w:tabs>
          <w:tab w:leader="none" w:pos="1944" w:val="left"/>
        </w:tabs>
        <w:numPr>
          <w:ilvl w:val="0"/>
          <w:numId w:val="172"/>
        </w:numPr>
        <w:rPr>
          <w:rFonts w:ascii="Arial" w:cs="Arial" w:eastAsia="Arial" w:hAnsi="Arial"/>
          <w:sz w:val="21"/>
          <w:szCs w:val="21"/>
          <w:color w:val="auto"/>
        </w:rPr>
      </w:pPr>
      <w:r>
        <w:rPr>
          <w:rFonts w:ascii="Arial" w:cs="Arial" w:eastAsia="Arial" w:hAnsi="Arial"/>
          <w:sz w:val="21"/>
          <w:szCs w:val="21"/>
          <w:b w:val="1"/>
          <w:bCs w:val="1"/>
          <w:u w:val="single" w:color="auto"/>
          <w:color w:val="auto"/>
        </w:rPr>
        <w:t>Qualifying Change in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date on which there occurs a Change in</w:t>
      </w:r>
      <w:r>
        <w:rPr>
          <w:rFonts w:ascii="Arial" w:cs="Arial" w:eastAsia="Arial" w:hAnsi="Arial"/>
          <w:sz w:val="21"/>
          <w:szCs w:val="21"/>
          <w:b w:val="1"/>
          <w:bCs w:val="1"/>
          <w:color w:val="auto"/>
        </w:rPr>
        <w:t xml:space="preserve"> </w:t>
      </w:r>
      <w:r>
        <w:rPr>
          <w:rFonts w:ascii="Arial" w:cs="Arial" w:eastAsia="Arial" w:hAnsi="Arial"/>
          <w:sz w:val="21"/>
          <w:szCs w:val="21"/>
          <w:color w:val="auto"/>
        </w:rPr>
        <w:t>Control that also qualifies as: (i) a change in the ownership of the Corporation, as determined in accordance with Section 1.409A-3(i)((5)(v) of the Treasury Regulations, (ii) a change in the effective control of the Corporation, as determined in accordance with Section 1.409A-3(i)((5)(vi) of the Treasury Regulations, or (iii) a change in the ownership of a substantial portion of the assets of the Corporation, as determined in accordance with Section 1.409A-3(i)((5)(vii) of the Treasury Regulations.</w:t>
      </w:r>
    </w:p>
    <w:p>
      <w:pPr>
        <w:spacing w:after="0" w:line="170" w:lineRule="exact"/>
        <w:rPr>
          <w:rFonts w:ascii="Arial" w:cs="Arial" w:eastAsia="Arial" w:hAnsi="Arial"/>
          <w:sz w:val="21"/>
          <w:szCs w:val="21"/>
          <w:color w:val="auto"/>
        </w:rPr>
      </w:pPr>
    </w:p>
    <w:p>
      <w:pPr>
        <w:jc w:val="both"/>
        <w:ind w:firstLine="1304"/>
        <w:spacing w:after="0" w:line="243" w:lineRule="auto"/>
        <w:tabs>
          <w:tab w:leader="none" w:pos="1944" w:val="left"/>
        </w:tabs>
        <w:numPr>
          <w:ilvl w:val="0"/>
          <w:numId w:val="172"/>
        </w:numPr>
        <w:rPr>
          <w:rFonts w:ascii="Arial" w:cs="Arial" w:eastAsia="Arial" w:hAnsi="Arial"/>
          <w:sz w:val="22"/>
          <w:szCs w:val="22"/>
          <w:color w:val="auto"/>
        </w:rPr>
      </w:pPr>
      <w:r>
        <w:rPr>
          <w:rFonts w:ascii="Arial" w:cs="Arial" w:eastAsia="Arial" w:hAnsi="Arial"/>
          <w:sz w:val="22"/>
          <w:szCs w:val="22"/>
          <w:b w:val="1"/>
          <w:bCs w:val="1"/>
          <w:u w:val="single" w:color="auto"/>
          <w:color w:val="auto"/>
        </w:rPr>
        <w:t>Separation from Service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Participant’s cessation of Employee status by</w:t>
      </w:r>
      <w:r>
        <w:rPr>
          <w:rFonts w:ascii="Arial" w:cs="Arial" w:eastAsia="Arial" w:hAnsi="Arial"/>
          <w:sz w:val="22"/>
          <w:szCs w:val="22"/>
          <w:b w:val="1"/>
          <w:bCs w:val="1"/>
          <w:color w:val="auto"/>
        </w:rPr>
        <w:t xml:space="preserve"> </w:t>
      </w:r>
      <w:r>
        <w:rPr>
          <w:rFonts w:ascii="Arial" w:cs="Arial" w:eastAsia="Arial" w:hAnsi="Arial"/>
          <w:sz w:val="22"/>
          <w:szCs w:val="22"/>
          <w:color w:val="auto"/>
        </w:rPr>
        <w:t>reason of his or her death, retirement or termination of employment. The Participant shall be deemed to have terminated employment for such purpose at such time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4" w:right="999" w:bottom="1440" w:gutter="0" w:footer="0" w:header="0"/>
        </w:sectPr>
      </w:pPr>
    </w:p>
    <w:bookmarkStart w:id="159" w:name="page160"/>
    <w:bookmarkEnd w:id="159"/>
    <w:p>
      <w:pPr>
        <w:jc w:val="both"/>
        <w:spacing w:after="0" w:line="269" w:lineRule="auto"/>
        <w:rPr>
          <w:sz w:val="20"/>
          <w:szCs w:val="20"/>
          <w:color w:val="auto"/>
        </w:rPr>
      </w:pPr>
      <w:r>
        <w:rPr>
          <w:rFonts w:ascii="Arial" w:cs="Arial" w:eastAsia="Arial" w:hAnsi="Arial"/>
          <w:sz w:val="19"/>
          <w:szCs w:val="19"/>
          <w:color w:val="auto"/>
        </w:rPr>
        <w:t>level of his or her bona fide services to be performed as an Employee (or as a consultant or independent contractor) permanently decreases to a level that is less than fifty percent (50%) of the average level of services 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w:t>
      </w:r>
    </w:p>
    <w:p>
      <w:pPr>
        <w:spacing w:after="0" w:line="1" w:lineRule="exact"/>
        <w:rPr>
          <w:sz w:val="20"/>
          <w:szCs w:val="20"/>
          <w:color w:val="auto"/>
        </w:rPr>
      </w:pPr>
    </w:p>
    <w:p>
      <w:pPr>
        <w:jc w:val="both"/>
        <w:ind w:firstLine="8"/>
        <w:spacing w:after="0" w:line="272" w:lineRule="auto"/>
        <w:tabs>
          <w:tab w:leader="none" w:pos="304" w:val="left"/>
        </w:tabs>
        <w:numPr>
          <w:ilvl w:val="0"/>
          <w:numId w:val="173"/>
        </w:numPr>
        <w:rPr>
          <w:rFonts w:ascii="Arial" w:cs="Arial" w:eastAsia="Arial" w:hAnsi="Arial"/>
          <w:sz w:val="19"/>
          <w:szCs w:val="19"/>
          <w:color w:val="auto"/>
        </w:rPr>
      </w:pPr>
      <w:r>
        <w:rPr>
          <w:rFonts w:ascii="Arial" w:cs="Arial" w:eastAsia="Arial" w:hAnsi="Arial"/>
          <w:sz w:val="19"/>
          <w:szCs w:val="19"/>
          <w:color w:val="auto"/>
        </w:rPr>
        <w:t>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w:t>
      </w:r>
    </w:p>
    <w:p>
      <w:pPr>
        <w:spacing w:after="0" w:line="155" w:lineRule="exact"/>
        <w:rPr>
          <w:rFonts w:ascii="Arial" w:cs="Arial" w:eastAsia="Arial" w:hAnsi="Arial"/>
          <w:sz w:val="19"/>
          <w:szCs w:val="19"/>
          <w:color w:val="auto"/>
        </w:rPr>
      </w:pPr>
    </w:p>
    <w:p>
      <w:pPr>
        <w:jc w:val="both"/>
        <w:ind w:firstLine="1304"/>
        <w:spacing w:after="0" w:line="239" w:lineRule="auto"/>
        <w:tabs>
          <w:tab w:leader="none" w:pos="1944" w:val="left"/>
        </w:tabs>
        <w:numPr>
          <w:ilvl w:val="1"/>
          <w:numId w:val="173"/>
        </w:numPr>
        <w:rPr>
          <w:rFonts w:ascii="Arial" w:cs="Arial" w:eastAsia="Arial" w:hAnsi="Arial"/>
          <w:sz w:val="22"/>
          <w:szCs w:val="22"/>
          <w:color w:val="auto"/>
        </w:rPr>
      </w:pPr>
      <w:r>
        <w:rPr>
          <w:rFonts w:ascii="Arial" w:cs="Arial" w:eastAsia="Arial" w:hAnsi="Arial"/>
          <w:sz w:val="22"/>
          <w:szCs w:val="22"/>
          <w:b w:val="1"/>
          <w:bCs w:val="1"/>
          <w:u w:val="single" w:color="auto"/>
          <w:color w:val="auto"/>
        </w:rPr>
        <w:t>Service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Participant’s performance of services for the Corporation (or any Parent</w:t>
      </w:r>
      <w:r>
        <w:rPr>
          <w:rFonts w:ascii="Arial" w:cs="Arial" w:eastAsia="Arial" w:hAnsi="Arial"/>
          <w:sz w:val="22"/>
          <w:szCs w:val="22"/>
          <w:b w:val="1"/>
          <w:bCs w:val="1"/>
          <w:color w:val="auto"/>
        </w:rPr>
        <w:t xml:space="preserve"> </w:t>
      </w:r>
      <w:r>
        <w:rPr>
          <w:rFonts w:ascii="Arial" w:cs="Arial" w:eastAsia="Arial" w:hAnsi="Arial"/>
          <w:sz w:val="22"/>
          <w:szCs w:val="22"/>
          <w:color w:val="auto"/>
        </w:rPr>
        <w:t>or Subsidiary) in the capacity of an Employee, a non-employee member of the board of directors or a consultant or independent advisor. In addition, the following provisions shall govern the determination of Participant’s period of Service:</w:t>
      </w:r>
    </w:p>
    <w:p>
      <w:pPr>
        <w:spacing w:after="0" w:line="186" w:lineRule="exact"/>
        <w:rPr>
          <w:rFonts w:ascii="Arial" w:cs="Arial" w:eastAsia="Arial" w:hAnsi="Arial"/>
          <w:sz w:val="22"/>
          <w:szCs w:val="22"/>
          <w:color w:val="auto"/>
        </w:rPr>
      </w:pPr>
    </w:p>
    <w:p>
      <w:pPr>
        <w:jc w:val="both"/>
        <w:ind w:left="660" w:firstLine="1292"/>
        <w:spacing w:after="0" w:line="257" w:lineRule="auto"/>
        <w:tabs>
          <w:tab w:leader="none" w:pos="2658" w:val="left"/>
        </w:tabs>
        <w:numPr>
          <w:ilvl w:val="2"/>
          <w:numId w:val="173"/>
        </w:numPr>
        <w:rPr>
          <w:rFonts w:ascii="Arial" w:cs="Arial" w:eastAsia="Arial" w:hAnsi="Arial"/>
          <w:sz w:val="21"/>
          <w:szCs w:val="21"/>
          <w:color w:val="auto"/>
        </w:rPr>
      </w:pPr>
      <w:r>
        <w:rPr>
          <w:rFonts w:ascii="Arial" w:cs="Arial" w:eastAsia="Arial" w:hAnsi="Arial"/>
          <w:sz w:val="21"/>
          <w:szCs w:val="21"/>
          <w:color w:val="auto"/>
        </w:rPr>
        <w:t>Participant shall be deemed to continue in Service for so long as Participant performs services for the Corporation (or any Parent or Subsidiary) in the capacity of an Employee, a non-employee member of the board of directors or a consultant or independent advisor.</w:t>
      </w:r>
    </w:p>
    <w:p>
      <w:pPr>
        <w:spacing w:after="0" w:line="196" w:lineRule="exact"/>
        <w:rPr>
          <w:rFonts w:ascii="Arial" w:cs="Arial" w:eastAsia="Arial" w:hAnsi="Arial"/>
          <w:sz w:val="21"/>
          <w:szCs w:val="21"/>
          <w:color w:val="auto"/>
        </w:rPr>
      </w:pPr>
    </w:p>
    <w:p>
      <w:pPr>
        <w:jc w:val="both"/>
        <w:ind w:left="660" w:firstLine="1292"/>
        <w:spacing w:after="0" w:line="249" w:lineRule="auto"/>
        <w:tabs>
          <w:tab w:leader="none" w:pos="2604" w:val="left"/>
        </w:tabs>
        <w:numPr>
          <w:ilvl w:val="2"/>
          <w:numId w:val="173"/>
        </w:numPr>
        <w:rPr>
          <w:rFonts w:ascii="Arial" w:cs="Arial" w:eastAsia="Arial" w:hAnsi="Arial"/>
          <w:sz w:val="21"/>
          <w:szCs w:val="21"/>
          <w:color w:val="auto"/>
        </w:rPr>
      </w:pPr>
      <w:r>
        <w:rPr>
          <w:rFonts w:ascii="Arial" w:cs="Arial" w:eastAsia="Arial" w:hAnsi="Arial"/>
          <w:sz w:val="21"/>
          <w:szCs w:val="21"/>
          <w:color w:val="auto"/>
        </w:rPr>
        <w:t>Participant shall be deemed to cease Service immediately upon the occurrence of the either of the following events: (a) Participant no longer performs services in any of the foregoing capacities for the Corporation (or any Parent or Subsidiary) or (b) the entity for which Participant performs such services ceases to remain a Parent or Subsidiary of the Corporation, even though Participant may subsequently continue to perform services for that entity.</w:t>
      </w:r>
    </w:p>
    <w:p>
      <w:pPr>
        <w:spacing w:after="0" w:line="205" w:lineRule="exact"/>
        <w:rPr>
          <w:rFonts w:ascii="Arial" w:cs="Arial" w:eastAsia="Arial" w:hAnsi="Arial"/>
          <w:sz w:val="21"/>
          <w:szCs w:val="21"/>
          <w:color w:val="auto"/>
        </w:rPr>
      </w:pPr>
    </w:p>
    <w:p>
      <w:pPr>
        <w:jc w:val="both"/>
        <w:ind w:left="660" w:firstLine="1292"/>
        <w:spacing w:after="0" w:line="238" w:lineRule="auto"/>
        <w:tabs>
          <w:tab w:leader="none" w:pos="2604" w:val="left"/>
        </w:tabs>
        <w:numPr>
          <w:ilvl w:val="2"/>
          <w:numId w:val="173"/>
        </w:numPr>
        <w:rPr>
          <w:rFonts w:ascii="Arial" w:cs="Arial" w:eastAsia="Arial" w:hAnsi="Arial"/>
          <w:sz w:val="22"/>
          <w:szCs w:val="22"/>
          <w:color w:val="auto"/>
        </w:rPr>
      </w:pPr>
      <w:r>
        <w:rPr>
          <w:rFonts w:ascii="Arial" w:cs="Arial" w:eastAsia="Arial" w:hAnsi="Arial"/>
          <w:sz w:val="22"/>
          <w:szCs w:val="22"/>
          <w:color w:val="auto"/>
        </w:rPr>
        <w:t>Service as an Employee shall not be deemed to cease during a period of military leave, sick leave or other personal leave approved by the Plan Administrator (or any Parent or Subsidiary) employing Participant; provided, however, that the following special provisions shall be in effect for any such leave:</w:t>
      </w:r>
    </w:p>
    <w:p>
      <w:pPr>
        <w:spacing w:after="0" w:line="211" w:lineRule="exact"/>
        <w:rPr>
          <w:rFonts w:ascii="Arial" w:cs="Arial" w:eastAsia="Arial" w:hAnsi="Arial"/>
          <w:sz w:val="22"/>
          <w:szCs w:val="22"/>
          <w:color w:val="auto"/>
        </w:rPr>
      </w:pPr>
    </w:p>
    <w:p>
      <w:pPr>
        <w:jc w:val="both"/>
        <w:ind w:left="660" w:firstLine="1940"/>
        <w:spacing w:after="0" w:line="238" w:lineRule="auto"/>
        <w:tabs>
          <w:tab w:leader="none" w:pos="3252" w:val="left"/>
        </w:tabs>
        <w:numPr>
          <w:ilvl w:val="3"/>
          <w:numId w:val="173"/>
        </w:numPr>
        <w:rPr>
          <w:rFonts w:ascii="Arial" w:cs="Arial" w:eastAsia="Arial" w:hAnsi="Arial"/>
          <w:sz w:val="22"/>
          <w:szCs w:val="22"/>
          <w:color w:val="auto"/>
        </w:rPr>
      </w:pPr>
      <w:r>
        <w:rPr>
          <w:rFonts w:ascii="Arial" w:cs="Arial" w:eastAsia="Arial" w:hAnsi="Arial"/>
          <w:sz w:val="22"/>
          <w:szCs w:val="22"/>
          <w:color w:val="auto"/>
        </w:rPr>
        <w:t>Should the period of such leave (other than a disability leave) exceed six (6) months, then Participant shall be deemed to cease Service and to incur a Separation from Service upon the expiration of the initial six (6)-month period of that leave, unless Participant retains a right to re-employment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4" w:right="999" w:bottom="1440" w:gutter="0" w:footer="0" w:header="0"/>
        </w:sectPr>
      </w:pPr>
    </w:p>
    <w:bookmarkStart w:id="160" w:name="page161"/>
    <w:bookmarkEnd w:id="160"/>
    <w:p>
      <w:pPr>
        <w:ind w:left="660"/>
        <w:spacing w:after="0"/>
        <w:rPr>
          <w:sz w:val="20"/>
          <w:szCs w:val="20"/>
          <w:color w:val="auto"/>
        </w:rPr>
      </w:pPr>
      <w:r>
        <w:rPr>
          <w:rFonts w:ascii="Arial" w:cs="Arial" w:eastAsia="Arial" w:hAnsi="Arial"/>
          <w:sz w:val="22"/>
          <w:szCs w:val="22"/>
          <w:color w:val="auto"/>
        </w:rPr>
        <w:t>under applicable law or by contract with the Corporation (or any Parent or Subsidiary).</w:t>
      </w:r>
    </w:p>
    <w:p>
      <w:pPr>
        <w:spacing w:after="0" w:line="233" w:lineRule="exact"/>
        <w:rPr>
          <w:sz w:val="20"/>
          <w:szCs w:val="20"/>
          <w:color w:val="auto"/>
        </w:rPr>
      </w:pPr>
    </w:p>
    <w:p>
      <w:pPr>
        <w:jc w:val="both"/>
        <w:ind w:left="660" w:firstLine="1940"/>
        <w:spacing w:after="0" w:line="275" w:lineRule="auto"/>
        <w:tabs>
          <w:tab w:leader="none" w:pos="3252" w:val="left"/>
        </w:tabs>
        <w:numPr>
          <w:ilvl w:val="2"/>
          <w:numId w:val="174"/>
        </w:numPr>
        <w:rPr>
          <w:rFonts w:ascii="Arial" w:cs="Arial" w:eastAsia="Arial" w:hAnsi="Arial"/>
          <w:sz w:val="19"/>
          <w:szCs w:val="19"/>
          <w:color w:val="auto"/>
        </w:rPr>
      </w:pPr>
      <w:r>
        <w:rPr>
          <w:rFonts w:ascii="Arial" w:cs="Arial" w:eastAsia="Arial" w:hAnsi="Arial"/>
          <w:sz w:val="19"/>
          <w:szCs w:val="19"/>
          <w:color w:val="auto"/>
        </w:rPr>
        <w:t>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spacing w:after="0" w:line="184" w:lineRule="exact"/>
        <w:rPr>
          <w:rFonts w:ascii="Arial" w:cs="Arial" w:eastAsia="Arial" w:hAnsi="Arial"/>
          <w:sz w:val="19"/>
          <w:szCs w:val="19"/>
          <w:color w:val="auto"/>
        </w:rPr>
      </w:pPr>
    </w:p>
    <w:p>
      <w:pPr>
        <w:jc w:val="both"/>
        <w:ind w:left="660" w:firstLine="1940"/>
        <w:spacing w:after="0" w:line="257" w:lineRule="auto"/>
        <w:tabs>
          <w:tab w:leader="none" w:pos="3265" w:val="left"/>
        </w:tabs>
        <w:numPr>
          <w:ilvl w:val="2"/>
          <w:numId w:val="174"/>
        </w:numPr>
        <w:rPr>
          <w:rFonts w:ascii="Arial" w:cs="Arial" w:eastAsia="Arial" w:hAnsi="Arial"/>
          <w:sz w:val="21"/>
          <w:szCs w:val="21"/>
          <w:color w:val="auto"/>
        </w:rPr>
      </w:pPr>
      <w:r>
        <w:rPr>
          <w:rFonts w:ascii="Arial" w:cs="Arial" w:eastAsia="Arial" w:hAnsi="Arial"/>
          <w:sz w:val="21"/>
          <w:szCs w:val="21"/>
          <w:color w:val="auto"/>
        </w:rPr>
        <w:t>Except to the extent otherwise required by law or expressly authorized by the Plan Administrator or by the Corporation’s written policy on leaves of absence no Service credit shall be given for vesting purposes for any period Participant is on a leave of absence.</w:t>
      </w:r>
    </w:p>
    <w:p>
      <w:pPr>
        <w:spacing w:after="0" w:line="196" w:lineRule="exact"/>
        <w:rPr>
          <w:rFonts w:ascii="Arial" w:cs="Arial" w:eastAsia="Arial" w:hAnsi="Arial"/>
          <w:sz w:val="21"/>
          <w:szCs w:val="21"/>
          <w:color w:val="auto"/>
        </w:rPr>
      </w:pPr>
    </w:p>
    <w:p>
      <w:pPr>
        <w:jc w:val="both"/>
        <w:ind w:left="660" w:firstLine="1292"/>
        <w:spacing w:after="0" w:line="257" w:lineRule="auto"/>
        <w:tabs>
          <w:tab w:leader="none" w:pos="2604" w:val="left"/>
        </w:tabs>
        <w:numPr>
          <w:ilvl w:val="1"/>
          <w:numId w:val="175"/>
        </w:numPr>
        <w:rPr>
          <w:rFonts w:ascii="Arial" w:cs="Arial" w:eastAsia="Arial" w:hAnsi="Arial"/>
          <w:sz w:val="21"/>
          <w:szCs w:val="21"/>
          <w:color w:val="auto"/>
        </w:rPr>
      </w:pPr>
      <w:r>
        <w:rPr>
          <w:rFonts w:ascii="Arial" w:cs="Arial" w:eastAsia="Arial" w:hAnsi="Arial"/>
          <w:sz w:val="21"/>
          <w:szCs w:val="21"/>
          <w:color w:val="auto"/>
        </w:rPr>
        <w:t>Notwithstanding anything to the contrary in the foregoing provisions of this Service definition, the Participant shall in all events be deemed to cease Service for all purposes of this Award immediately upon Participant’s incurrence of a Separation from Service.</w:t>
      </w:r>
    </w:p>
    <w:p>
      <w:pPr>
        <w:spacing w:after="0" w:line="190" w:lineRule="exact"/>
        <w:rPr>
          <w:rFonts w:ascii="Arial" w:cs="Arial" w:eastAsia="Arial" w:hAnsi="Arial"/>
          <w:sz w:val="21"/>
          <w:szCs w:val="21"/>
          <w:color w:val="auto"/>
        </w:rPr>
      </w:pPr>
    </w:p>
    <w:p>
      <w:pPr>
        <w:ind w:left="1960" w:hanging="656"/>
        <w:spacing w:after="0"/>
        <w:tabs>
          <w:tab w:leader="none" w:pos="1960" w:val="left"/>
        </w:tabs>
        <w:numPr>
          <w:ilvl w:val="0"/>
          <w:numId w:val="176"/>
        </w:numPr>
        <w:rPr>
          <w:rFonts w:ascii="Arial" w:cs="Arial" w:eastAsia="Arial" w:hAnsi="Arial"/>
          <w:sz w:val="21"/>
          <w:szCs w:val="21"/>
          <w:color w:val="auto"/>
        </w:rPr>
      </w:pPr>
      <w:r>
        <w:rPr>
          <w:rFonts w:ascii="Arial" w:cs="Arial" w:eastAsia="Arial" w:hAnsi="Arial"/>
          <w:sz w:val="21"/>
          <w:szCs w:val="21"/>
          <w:b w:val="1"/>
          <w:bCs w:val="1"/>
          <w:u w:val="single" w:color="auto"/>
          <w:color w:val="auto"/>
        </w:rPr>
        <w:t>Service Vesting Date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three (3)-year anniversary of the Award Date.</w:t>
      </w:r>
    </w:p>
    <w:p>
      <w:pPr>
        <w:spacing w:after="0" w:line="217" w:lineRule="exact"/>
        <w:rPr>
          <w:rFonts w:ascii="Arial" w:cs="Arial" w:eastAsia="Arial" w:hAnsi="Arial"/>
          <w:sz w:val="21"/>
          <w:szCs w:val="21"/>
          <w:color w:val="auto"/>
        </w:rPr>
      </w:pPr>
    </w:p>
    <w:p>
      <w:pPr>
        <w:ind w:firstLine="1304"/>
        <w:spacing w:after="0" w:line="256" w:lineRule="auto"/>
        <w:tabs>
          <w:tab w:leader="none" w:pos="1944" w:val="left"/>
        </w:tabs>
        <w:numPr>
          <w:ilvl w:val="0"/>
          <w:numId w:val="176"/>
        </w:numPr>
        <w:rPr>
          <w:rFonts w:ascii="Arial" w:cs="Arial" w:eastAsia="Arial" w:hAnsi="Arial"/>
          <w:sz w:val="22"/>
          <w:szCs w:val="22"/>
          <w:color w:val="auto"/>
        </w:rPr>
      </w:pPr>
      <w:r>
        <w:rPr>
          <w:rFonts w:ascii="Arial" w:cs="Arial" w:eastAsia="Arial" w:hAnsi="Arial"/>
          <w:sz w:val="22"/>
          <w:szCs w:val="22"/>
          <w:b w:val="1"/>
          <w:bCs w:val="1"/>
          <w:u w:val="single" w:color="auto"/>
          <w:color w:val="auto"/>
        </w:rPr>
        <w:t>Shares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shares of Common Stock which may vest and become issuable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Award pursuant to the terms of this Agreement and the Award Notice.</w:t>
      </w:r>
    </w:p>
    <w:p>
      <w:pPr>
        <w:spacing w:after="0" w:line="162" w:lineRule="exact"/>
        <w:rPr>
          <w:rFonts w:ascii="Arial" w:cs="Arial" w:eastAsia="Arial" w:hAnsi="Arial"/>
          <w:sz w:val="22"/>
          <w:szCs w:val="22"/>
          <w:color w:val="auto"/>
        </w:rPr>
      </w:pPr>
    </w:p>
    <w:p>
      <w:pPr>
        <w:ind w:firstLine="1304"/>
        <w:spacing w:after="0" w:line="334" w:lineRule="auto"/>
        <w:tabs>
          <w:tab w:leader="none" w:pos="1944" w:val="left"/>
        </w:tabs>
        <w:numPr>
          <w:ilvl w:val="0"/>
          <w:numId w:val="176"/>
        </w:numPr>
        <w:rPr>
          <w:rFonts w:ascii="Arial" w:cs="Arial" w:eastAsia="Arial" w:hAnsi="Arial"/>
          <w:sz w:val="19"/>
          <w:szCs w:val="19"/>
          <w:color w:val="auto"/>
        </w:rPr>
      </w:pPr>
      <w:r>
        <w:rPr>
          <w:rFonts w:ascii="Arial" w:cs="Arial" w:eastAsia="Arial" w:hAnsi="Arial"/>
          <w:sz w:val="19"/>
          <w:szCs w:val="19"/>
          <w:b w:val="1"/>
          <w:bCs w:val="1"/>
          <w:u w:val="single" w:color="auto"/>
          <w:color w:val="auto"/>
        </w:rPr>
        <w:t>Target Level Attainment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Corporation’s achievement of the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Goal set forth in Schedule I to the Award Notice at the level designated as Target Level attainment for that goal.</w:t>
      </w:r>
    </w:p>
    <w:p>
      <w:pPr>
        <w:spacing w:after="0" w:line="93" w:lineRule="exact"/>
        <w:rPr>
          <w:rFonts w:ascii="Arial" w:cs="Arial" w:eastAsia="Arial" w:hAnsi="Arial"/>
          <w:sz w:val="19"/>
          <w:szCs w:val="19"/>
          <w:color w:val="auto"/>
        </w:rPr>
      </w:pPr>
    </w:p>
    <w:p>
      <w:pPr>
        <w:jc w:val="both"/>
        <w:ind w:firstLine="1304"/>
        <w:spacing w:after="0" w:line="239" w:lineRule="auto"/>
        <w:tabs>
          <w:tab w:leader="none" w:pos="1944" w:val="left"/>
        </w:tabs>
        <w:numPr>
          <w:ilvl w:val="0"/>
          <w:numId w:val="176"/>
        </w:numPr>
        <w:rPr>
          <w:rFonts w:ascii="Arial" w:cs="Arial" w:eastAsia="Arial" w:hAnsi="Arial"/>
          <w:sz w:val="22"/>
          <w:szCs w:val="22"/>
          <w:color w:val="auto"/>
        </w:rPr>
      </w:pPr>
      <w:r>
        <w:rPr>
          <w:rFonts w:ascii="Arial" w:cs="Arial" w:eastAsia="Arial" w:hAnsi="Arial"/>
          <w:sz w:val="22"/>
          <w:szCs w:val="22"/>
          <w:b w:val="1"/>
          <w:bCs w:val="1"/>
          <w:u w:val="single" w:color="auto"/>
          <w:color w:val="auto"/>
        </w:rPr>
        <w:t>Vested Percentage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(i) fifty percent (50%) if the Change in Control is</w:t>
      </w:r>
      <w:r>
        <w:rPr>
          <w:rFonts w:ascii="Arial" w:cs="Arial" w:eastAsia="Arial" w:hAnsi="Arial"/>
          <w:sz w:val="22"/>
          <w:szCs w:val="22"/>
          <w:b w:val="1"/>
          <w:bCs w:val="1"/>
          <w:color w:val="auto"/>
        </w:rPr>
        <w:t xml:space="preserve"> </w:t>
      </w:r>
      <w:r>
        <w:rPr>
          <w:rFonts w:ascii="Arial" w:cs="Arial" w:eastAsia="Arial" w:hAnsi="Arial"/>
          <w:sz w:val="22"/>
          <w:szCs w:val="22"/>
          <w:color w:val="auto"/>
        </w:rPr>
        <w:t>consummated during the first eighteen (18) months of the Performance Period and (ii) one hundred percent (100%) if the Change in Control is consummated after the first eighteen (18) months of the Performance Period, but prior to the completion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4" w:right="999" w:bottom="1440" w:gutter="0" w:footer="0" w:header="0"/>
        </w:sectPr>
      </w:pPr>
    </w:p>
    <w:bookmarkStart w:id="161" w:name="page162"/>
    <w:bookmarkEnd w:id="161"/>
    <w:p>
      <w:pPr>
        <w:jc w:val="center"/>
        <w:spacing w:after="0"/>
        <w:rPr>
          <w:sz w:val="20"/>
          <w:szCs w:val="20"/>
          <w:color w:val="auto"/>
        </w:rPr>
      </w:pPr>
      <w:r>
        <w:rPr>
          <w:rFonts w:ascii="Arial" w:cs="Arial" w:eastAsia="Arial" w:hAnsi="Arial"/>
          <w:sz w:val="22"/>
          <w:szCs w:val="22"/>
          <w:b w:val="1"/>
          <w:bCs w:val="1"/>
          <w:color w:val="auto"/>
        </w:rPr>
        <w:t>APPENDIX B</w:t>
      </w:r>
    </w:p>
    <w:p>
      <w:pPr>
        <w:spacing w:after="0" w:line="233" w:lineRule="exact"/>
        <w:rPr>
          <w:sz w:val="20"/>
          <w:szCs w:val="20"/>
          <w:color w:val="auto"/>
        </w:rPr>
      </w:pPr>
    </w:p>
    <w:p>
      <w:pPr>
        <w:ind w:left="2560"/>
        <w:spacing w:after="0"/>
        <w:rPr>
          <w:sz w:val="20"/>
          <w:szCs w:val="20"/>
          <w:color w:val="auto"/>
        </w:rPr>
      </w:pPr>
      <w:r>
        <w:rPr>
          <w:rFonts w:ascii="Arial" w:cs="Arial" w:eastAsia="Arial" w:hAnsi="Arial"/>
          <w:sz w:val="22"/>
          <w:szCs w:val="22"/>
          <w:b w:val="1"/>
          <w:bCs w:val="1"/>
          <w:color w:val="auto"/>
        </w:rPr>
        <w:t>ILLUSTRATION OF VESTING CALCULATIONS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examples are for illustration purposes only:</w:t>
      </w:r>
    </w:p>
    <w:p>
      <w:pPr>
        <w:spacing w:after="0" w:line="206" w:lineRule="exact"/>
        <w:rPr>
          <w:sz w:val="20"/>
          <w:szCs w:val="20"/>
          <w:color w:val="auto"/>
        </w:rPr>
      </w:pPr>
    </w:p>
    <w:p>
      <w:pPr>
        <w:jc w:val="both"/>
        <w:ind w:firstLine="8"/>
        <w:spacing w:after="0" w:line="249" w:lineRule="auto"/>
        <w:tabs>
          <w:tab w:leader="none" w:pos="324" w:val="left"/>
        </w:tabs>
        <w:numPr>
          <w:ilvl w:val="0"/>
          <w:numId w:val="177"/>
        </w:numPr>
        <w:rPr>
          <w:rFonts w:ascii="Arial" w:cs="Arial" w:eastAsia="Arial" w:hAnsi="Arial"/>
          <w:sz w:val="21"/>
          <w:szCs w:val="21"/>
          <w:color w:val="auto"/>
        </w:rPr>
      </w:pPr>
      <w:r>
        <w:rPr>
          <w:rFonts w:ascii="Arial" w:cs="Arial" w:eastAsia="Arial" w:hAnsi="Arial"/>
          <w:sz w:val="21"/>
          <w:szCs w:val="21"/>
          <w:color w:val="auto"/>
        </w:rPr>
        <w:t>Participant receives an Award for 100 Performance Shares at Target Level and Participant continues in Service until the expiration of the requisite three (3)-year Service vesting period. If the Performance Goal is attained at the Target Level, Participant shall vest in 100 Performance Shares upon the Service Vesting Date. If the Performance Goal is attained at the Extraordinary Level, Participant shall vest in an additional 100 Shares for a total of 200 Shares following the completion of the Performance Period.</w:t>
      </w:r>
    </w:p>
    <w:p>
      <w:pPr>
        <w:spacing w:after="0" w:line="178" w:lineRule="exact"/>
        <w:rPr>
          <w:rFonts w:ascii="Arial" w:cs="Arial" w:eastAsia="Arial" w:hAnsi="Arial"/>
          <w:sz w:val="21"/>
          <w:szCs w:val="21"/>
          <w:color w:val="auto"/>
        </w:rPr>
      </w:pPr>
    </w:p>
    <w:p>
      <w:pPr>
        <w:jc w:val="both"/>
        <w:ind w:firstLine="8"/>
        <w:spacing w:after="0" w:line="287" w:lineRule="auto"/>
        <w:tabs>
          <w:tab w:leader="none" w:pos="324" w:val="left"/>
        </w:tabs>
        <w:numPr>
          <w:ilvl w:val="0"/>
          <w:numId w:val="177"/>
        </w:numPr>
        <w:rPr>
          <w:rFonts w:ascii="Arial" w:cs="Arial" w:eastAsia="Arial" w:hAnsi="Arial"/>
          <w:sz w:val="19"/>
          <w:szCs w:val="19"/>
          <w:color w:val="auto"/>
        </w:rPr>
      </w:pPr>
      <w:r>
        <w:rPr>
          <w:rFonts w:ascii="Arial" w:cs="Arial" w:eastAsia="Arial" w:hAnsi="Arial"/>
          <w:sz w:val="19"/>
          <w:szCs w:val="19"/>
          <w:color w:val="auto"/>
        </w:rPr>
        <w:t>Participant receives an Award for 100 Performance Shares at Target Level and Participant ceases Service due to Permanent Disability halfway through the Performance Period. If the Performance Goal is attained at the Target Level, Participant shall vest in 50 of the Shares. On the other hand, if the Performance Goal is attained at the Extraordinary Level, Participant shall vest in an additional 50 Shares for a total of 100 Performance Shares.</w:t>
      </w:r>
    </w:p>
    <w:p>
      <w:pPr>
        <w:spacing w:after="0" w:line="142" w:lineRule="exact"/>
        <w:rPr>
          <w:rFonts w:ascii="Arial" w:cs="Arial" w:eastAsia="Arial" w:hAnsi="Arial"/>
          <w:sz w:val="19"/>
          <w:szCs w:val="19"/>
          <w:color w:val="auto"/>
        </w:rPr>
      </w:pPr>
    </w:p>
    <w:p>
      <w:pPr>
        <w:jc w:val="both"/>
        <w:ind w:firstLine="8"/>
        <w:spacing w:after="0" w:line="235" w:lineRule="auto"/>
        <w:tabs>
          <w:tab w:leader="none" w:pos="324" w:val="left"/>
        </w:tabs>
        <w:numPr>
          <w:ilvl w:val="0"/>
          <w:numId w:val="177"/>
        </w:numPr>
        <w:rPr>
          <w:rFonts w:ascii="Arial" w:cs="Arial" w:eastAsia="Arial" w:hAnsi="Arial"/>
          <w:sz w:val="22"/>
          <w:szCs w:val="22"/>
          <w:color w:val="auto"/>
        </w:rPr>
      </w:pPr>
      <w:r>
        <w:rPr>
          <w:rFonts w:ascii="Arial" w:cs="Arial" w:eastAsia="Arial" w:hAnsi="Arial"/>
          <w:sz w:val="22"/>
          <w:szCs w:val="22"/>
          <w:color w:val="auto"/>
        </w:rPr>
        <w:t>Participant receives an Award for 100 Shares at Target Level and Participant continues in Service until the Service Vesting Date. If the Performance Goal is attained at a point halfway between the Threshold and Target Levels, Participant would vest in 63 of the Shares following the completion of the Performance Period upon the Service Vesting Date. On the other hand, if the Performance Goal is attained at a point halfway between the Target and Extraordinary Levels, Participant would vest in 150 of the Shares following the completion of the Performance Period.</w:t>
      </w:r>
    </w:p>
    <w:p>
      <w:pPr>
        <w:spacing w:after="0" w:line="187" w:lineRule="exact"/>
        <w:rPr>
          <w:rFonts w:ascii="Arial" w:cs="Arial" w:eastAsia="Arial" w:hAnsi="Arial"/>
          <w:sz w:val="22"/>
          <w:szCs w:val="22"/>
          <w:color w:val="auto"/>
        </w:rPr>
      </w:pPr>
    </w:p>
    <w:p>
      <w:pPr>
        <w:jc w:val="both"/>
        <w:ind w:firstLine="8"/>
        <w:spacing w:after="0" w:line="235" w:lineRule="auto"/>
        <w:tabs>
          <w:tab w:leader="none" w:pos="384" w:val="left"/>
        </w:tabs>
        <w:numPr>
          <w:ilvl w:val="0"/>
          <w:numId w:val="177"/>
        </w:numPr>
        <w:rPr>
          <w:rFonts w:ascii="Arial" w:cs="Arial" w:eastAsia="Arial" w:hAnsi="Arial"/>
          <w:sz w:val="22"/>
          <w:szCs w:val="22"/>
          <w:color w:val="auto"/>
        </w:rPr>
      </w:pPr>
      <w:r>
        <w:rPr>
          <w:rFonts w:ascii="Arial" w:cs="Arial" w:eastAsia="Arial" w:hAnsi="Arial"/>
          <w:sz w:val="22"/>
          <w:szCs w:val="22"/>
          <w:color w:val="auto"/>
        </w:rPr>
        <w:t>Participant receives an Award for 100 Performance Shares at Target Level and Participant ceases Service due to Permanent Disability halfway through the Performance Period. If the Performance Goal is attained at a point halfway between the Threshold and Target Levels, Participant would vest in 32 of the Shares following the completion of the Performance Period. On the other hand, if the Performance Goal is attained at a point halfway between the Target and Extraordinary Levels, Participant would vest in 75 of the Shares following the completion of the Performance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38" w:right="999" w:bottom="1440" w:gutter="0" w:footer="0" w:header="0"/>
        </w:sectPr>
      </w:pPr>
    </w:p>
    <w:bookmarkStart w:id="162" w:name="page163"/>
    <w:bookmarkEnd w:id="162"/>
    <w:p>
      <w:pPr>
        <w:jc w:val="right"/>
        <w:spacing w:after="0"/>
        <w:rPr>
          <w:sz w:val="20"/>
          <w:szCs w:val="20"/>
          <w:color w:val="auto"/>
        </w:rPr>
      </w:pPr>
      <w:r>
        <w:rPr>
          <w:rFonts w:ascii="Arial" w:cs="Arial" w:eastAsia="Arial" w:hAnsi="Arial"/>
          <w:sz w:val="22"/>
          <w:szCs w:val="22"/>
          <w:b w:val="1"/>
          <w:bCs w:val="1"/>
          <w:color w:val="auto"/>
        </w:rPr>
        <w:t>Exhibit 10.50</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Time Based Restricted Stock Unit Package - Executives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MATSON,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EXECUTIVE NOTICE OF AWARD OF TIME-BASED RESTRICTED STOCK UNITS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Corporation hereby awards to Participant, as of the Award Date indicated below, an award (the “Award”) of restricted stock units under the Corporation’s 2016 Incentive Compensation Plan (as amended from time to time, the “Plan”). Each restricted stock unit represents the right to receive one share of Common Stock on the applicable issuance date following the vesting of that unit. The number of shares of Common Stock subject to the awarded restricted stock units (the “RSUs”) and the applicable vesting schedule for those RSUs and the underlying shares of Common Stock are set forth below. The remaining terms and conditions governing the Award, including the issuance date or dates for the shares of Common Stock that vest under the Award, shall be as set forth in the form Time-Based Restricted Stock Unit Award Agreement for service-vesting Awards.</w:t>
      </w:r>
    </w:p>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280"/>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80" w:type="dxa"/>
            <w:vAlign w:val="bottom"/>
          </w:tcPr>
          <w:p>
            <w:pPr>
              <w:ind w:left="1020"/>
              <w:spacing w:after="0"/>
              <w:rPr>
                <w:sz w:val="20"/>
                <w:szCs w:val="20"/>
                <w:color w:val="auto"/>
              </w:rPr>
            </w:pPr>
            <w:r>
              <w:rPr>
                <w:rFonts w:ascii="Arial" w:cs="Arial" w:eastAsia="Arial" w:hAnsi="Arial"/>
                <w:sz w:val="22"/>
                <w:szCs w:val="22"/>
                <w:b w:val="1"/>
                <w:bCs w:val="1"/>
                <w:color w:val="auto"/>
              </w:rPr>
              <w:t>AWARD SUMMARY</w:t>
            </w:r>
          </w:p>
        </w:tc>
        <w:tc>
          <w:tcPr>
            <w:tcW w:w="0" w:type="dxa"/>
            <w:vAlign w:val="bottom"/>
          </w:tcPr>
          <w:p>
            <w:pPr>
              <w:spacing w:after="0"/>
              <w:rPr>
                <w:sz w:val="1"/>
                <w:szCs w:val="1"/>
                <w:color w:val="auto"/>
              </w:rPr>
            </w:pPr>
          </w:p>
        </w:tc>
      </w:tr>
      <w:tr>
        <w:trPr>
          <w:trHeight w:val="435"/>
        </w:trPr>
        <w:tc>
          <w:tcPr>
            <w:tcW w:w="2840" w:type="dxa"/>
            <w:vAlign w:val="bottom"/>
            <w:gridSpan w:val="6"/>
          </w:tcPr>
          <w:p>
            <w:pPr>
              <w:spacing w:after="0"/>
              <w:rPr>
                <w:sz w:val="20"/>
                <w:szCs w:val="20"/>
                <w:color w:val="auto"/>
              </w:rPr>
            </w:pPr>
            <w:r>
              <w:rPr>
                <w:rFonts w:ascii="Arial" w:cs="Arial" w:eastAsia="Arial" w:hAnsi="Arial"/>
                <w:sz w:val="22"/>
                <w:szCs w:val="22"/>
                <w:color w:val="auto"/>
              </w:rPr>
              <w:t>Participant</w:t>
            </w:r>
          </w:p>
        </w:tc>
        <w:tc>
          <w:tcPr>
            <w:tcW w:w="6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9"/>
              </w:rPr>
              <w:t>Award Date:</w:t>
            </w:r>
          </w:p>
        </w:tc>
        <w:tc>
          <w:tcPr>
            <w:tcW w:w="1740" w:type="dxa"/>
            <w:vAlign w:val="bottom"/>
            <w:gridSpan w:val="4"/>
          </w:tcPr>
          <w:p>
            <w:pPr>
              <w:spacing w:after="0"/>
              <w:rPr>
                <w:sz w:val="24"/>
                <w:szCs w:val="24"/>
                <w:color w:val="auto"/>
              </w:rPr>
            </w:pPr>
          </w:p>
        </w:tc>
        <w:tc>
          <w:tcPr>
            <w:tcW w:w="6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840" w:type="dxa"/>
            <w:vAlign w:val="bottom"/>
            <w:gridSpan w:val="6"/>
          </w:tcPr>
          <w:p>
            <w:pPr>
              <w:spacing w:after="0"/>
              <w:rPr>
                <w:sz w:val="20"/>
                <w:szCs w:val="20"/>
                <w:color w:val="auto"/>
              </w:rPr>
            </w:pPr>
            <w:r>
              <w:rPr>
                <w:rFonts w:ascii="Arial" w:cs="Arial" w:eastAsia="Arial" w:hAnsi="Arial"/>
                <w:sz w:val="22"/>
                <w:szCs w:val="22"/>
                <w:color w:val="auto"/>
                <w:w w:val="99"/>
              </w:rPr>
              <w:t>Number of Shares Subject to</w:t>
            </w:r>
          </w:p>
        </w:tc>
        <w:tc>
          <w:tcPr>
            <w:tcW w:w="6880" w:type="dxa"/>
            <w:vAlign w:val="bottom"/>
            <w:vMerge w:val="restart"/>
          </w:tcPr>
          <w:p>
            <w:pPr>
              <w:ind w:left="300"/>
              <w:spacing w:after="0"/>
              <w:rPr>
                <w:sz w:val="20"/>
                <w:szCs w:val="20"/>
                <w:color w:val="auto"/>
              </w:rPr>
            </w:pPr>
            <w:r>
              <w:rPr>
                <w:rFonts w:ascii="Arial" w:cs="Arial" w:eastAsia="Arial" w:hAnsi="Arial"/>
                <w:sz w:val="22"/>
                <w:szCs w:val="22"/>
                <w:color w:val="auto"/>
              </w:rPr>
              <w:t>________shares of Common Stock (the “Shares”)</w:t>
            </w:r>
          </w:p>
        </w:tc>
        <w:tc>
          <w:tcPr>
            <w:tcW w:w="0" w:type="dxa"/>
            <w:vAlign w:val="bottom"/>
          </w:tcPr>
          <w:p>
            <w:pPr>
              <w:spacing w:after="0"/>
              <w:rPr>
                <w:sz w:val="1"/>
                <w:szCs w:val="1"/>
                <w:color w:val="auto"/>
              </w:rPr>
            </w:pPr>
          </w:p>
        </w:tc>
      </w:tr>
      <w:tr>
        <w:trPr>
          <w:trHeight w:val="20"/>
        </w:trPr>
        <w:tc>
          <w:tcPr>
            <w:tcW w:w="1560" w:type="dxa"/>
            <w:vAlign w:val="bottom"/>
            <w:gridSpan w:val="3"/>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40" w:type="dxa"/>
            <w:vAlign w:val="bottom"/>
            <w:gridSpan w:val="6"/>
          </w:tcPr>
          <w:p>
            <w:pPr>
              <w:spacing w:after="0" w:line="223" w:lineRule="exact"/>
              <w:rPr>
                <w:sz w:val="20"/>
                <w:szCs w:val="20"/>
                <w:color w:val="auto"/>
              </w:rPr>
            </w:pPr>
            <w:r>
              <w:rPr>
                <w:rFonts w:ascii="Arial" w:cs="Arial" w:eastAsia="Arial" w:hAnsi="Arial"/>
                <w:sz w:val="22"/>
                <w:szCs w:val="22"/>
                <w:color w:val="auto"/>
              </w:rPr>
              <w:t>Restricted Stock Unit Award:</w:t>
            </w:r>
          </w:p>
        </w:tc>
        <w:tc>
          <w:tcPr>
            <w:tcW w:w="6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2540" w:type="dxa"/>
            <w:vAlign w:val="bottom"/>
            <w:tcBorders>
              <w:top w:val="single" w:sz="8" w:color="auto"/>
            </w:tcBorders>
            <w:gridSpan w:val="5"/>
          </w:tcPr>
          <w:p>
            <w:pPr>
              <w:spacing w:after="0"/>
              <w:rPr>
                <w:sz w:val="20"/>
                <w:szCs w:val="20"/>
                <w:color w:val="auto"/>
              </w:rPr>
            </w:pPr>
            <w:r>
              <w:rPr>
                <w:rFonts w:ascii="Arial" w:cs="Arial" w:eastAsia="Arial" w:hAnsi="Arial"/>
                <w:sz w:val="22"/>
                <w:szCs w:val="22"/>
                <w:color w:val="auto"/>
              </w:rPr>
              <w:t>Vesting Schedule:</w:t>
            </w:r>
          </w:p>
        </w:tc>
        <w:tc>
          <w:tcPr>
            <w:tcW w:w="300" w:type="dxa"/>
            <w:vAlign w:val="bottom"/>
          </w:tcPr>
          <w:p>
            <w:pPr>
              <w:spacing w:after="0"/>
              <w:rPr>
                <w:sz w:val="24"/>
                <w:szCs w:val="24"/>
                <w:color w:val="auto"/>
              </w:rPr>
            </w:pPr>
          </w:p>
        </w:tc>
        <w:tc>
          <w:tcPr>
            <w:tcW w:w="6880" w:type="dxa"/>
            <w:vAlign w:val="bottom"/>
          </w:tcPr>
          <w:p>
            <w:pPr>
              <w:ind w:left="300"/>
              <w:spacing w:after="0"/>
              <w:rPr>
                <w:sz w:val="20"/>
                <w:szCs w:val="20"/>
                <w:color w:val="auto"/>
              </w:rPr>
            </w:pPr>
            <w:r>
              <w:rPr>
                <w:rFonts w:ascii="Arial" w:cs="Arial" w:eastAsia="Arial" w:hAnsi="Arial"/>
                <w:sz w:val="22"/>
                <w:szCs w:val="22"/>
                <w:color w:val="auto"/>
              </w:rPr>
              <w:t>The Shares underlying the Award shall vest in a series of three (3)</w:t>
            </w:r>
          </w:p>
        </w:tc>
        <w:tc>
          <w:tcPr>
            <w:tcW w:w="0" w:type="dxa"/>
            <w:vAlign w:val="bottom"/>
          </w:tcPr>
          <w:p>
            <w:pPr>
              <w:spacing w:after="0"/>
              <w:rPr>
                <w:sz w:val="1"/>
                <w:szCs w:val="1"/>
                <w:color w:val="auto"/>
              </w:rPr>
            </w:pPr>
          </w:p>
        </w:tc>
      </w:tr>
      <w:tr>
        <w:trPr>
          <w:trHeight w:val="242"/>
        </w:trPr>
        <w:tc>
          <w:tcPr>
            <w:tcW w:w="9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80" w:type="dxa"/>
            <w:vAlign w:val="bottom"/>
          </w:tcPr>
          <w:p>
            <w:pPr>
              <w:ind w:left="300"/>
              <w:spacing w:after="0" w:line="242" w:lineRule="exact"/>
              <w:rPr>
                <w:sz w:val="20"/>
                <w:szCs w:val="20"/>
                <w:color w:val="auto"/>
              </w:rPr>
            </w:pPr>
            <w:r>
              <w:rPr>
                <w:rFonts w:ascii="Arial" w:cs="Arial" w:eastAsia="Arial" w:hAnsi="Arial"/>
                <w:sz w:val="22"/>
                <w:szCs w:val="22"/>
                <w:color w:val="auto"/>
                <w:w w:val="89"/>
              </w:rPr>
              <w:t>successive equal annual installments upon Participant’s completion of each</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80" w:type="dxa"/>
            <w:vAlign w:val="bottom"/>
          </w:tcPr>
          <w:p>
            <w:pPr>
              <w:ind w:left="300"/>
              <w:spacing w:after="0" w:line="243" w:lineRule="exact"/>
              <w:rPr>
                <w:sz w:val="20"/>
                <w:szCs w:val="20"/>
                <w:color w:val="auto"/>
              </w:rPr>
            </w:pPr>
            <w:r>
              <w:rPr>
                <w:rFonts w:ascii="Arial" w:cs="Arial" w:eastAsia="Arial" w:hAnsi="Arial"/>
                <w:sz w:val="22"/>
                <w:szCs w:val="22"/>
                <w:color w:val="auto"/>
                <w:w w:val="88"/>
              </w:rPr>
              <w:t>successive year of Service over the three (3)-year period measured from the</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80" w:type="dxa"/>
            <w:vAlign w:val="bottom"/>
          </w:tcPr>
          <w:p>
            <w:pPr>
              <w:ind w:left="300"/>
              <w:spacing w:after="0" w:line="243" w:lineRule="exact"/>
              <w:rPr>
                <w:sz w:val="20"/>
                <w:szCs w:val="20"/>
                <w:color w:val="auto"/>
              </w:rPr>
            </w:pPr>
            <w:r>
              <w:rPr>
                <w:rFonts w:ascii="Arial" w:cs="Arial" w:eastAsia="Arial" w:hAnsi="Arial"/>
                <w:sz w:val="22"/>
                <w:szCs w:val="22"/>
                <w:color w:val="auto"/>
                <w:w w:val="94"/>
              </w:rPr>
              <w:t>Award Date. Each such installment vesting date is hereby designated a</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80" w:type="dxa"/>
            <w:vAlign w:val="bottom"/>
          </w:tcPr>
          <w:p>
            <w:pPr>
              <w:ind w:left="300"/>
              <w:spacing w:after="0" w:line="243" w:lineRule="exact"/>
              <w:rPr>
                <w:sz w:val="20"/>
                <w:szCs w:val="20"/>
                <w:color w:val="auto"/>
              </w:rPr>
            </w:pPr>
            <w:r>
              <w:rPr>
                <w:rFonts w:ascii="Arial" w:cs="Arial" w:eastAsia="Arial" w:hAnsi="Arial"/>
                <w:sz w:val="22"/>
                <w:szCs w:val="22"/>
                <w:color w:val="auto"/>
                <w:w w:val="88"/>
              </w:rPr>
              <w:t>“Vesting and Issuance Date.” However, one or more Shares may be subject</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80" w:type="dxa"/>
            <w:vAlign w:val="bottom"/>
          </w:tcPr>
          <w:p>
            <w:pPr>
              <w:ind w:left="300"/>
              <w:spacing w:after="0" w:line="243" w:lineRule="exact"/>
              <w:rPr>
                <w:sz w:val="20"/>
                <w:szCs w:val="20"/>
                <w:color w:val="auto"/>
              </w:rPr>
            </w:pPr>
            <w:r>
              <w:rPr>
                <w:rFonts w:ascii="Arial" w:cs="Arial" w:eastAsia="Arial" w:hAnsi="Arial"/>
                <w:sz w:val="22"/>
                <w:szCs w:val="22"/>
                <w:color w:val="auto"/>
                <w:w w:val="90"/>
              </w:rPr>
              <w:t>to accelerated vesting in accordance with the provisions of Paragraph 3 or</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80" w:type="dxa"/>
            <w:vAlign w:val="bottom"/>
          </w:tcPr>
          <w:p>
            <w:pPr>
              <w:ind w:left="300"/>
              <w:spacing w:after="0" w:line="243" w:lineRule="exact"/>
              <w:rPr>
                <w:sz w:val="20"/>
                <w:szCs w:val="20"/>
                <w:color w:val="auto"/>
              </w:rPr>
            </w:pPr>
            <w:r>
              <w:rPr>
                <w:rFonts w:ascii="Arial" w:cs="Arial" w:eastAsia="Arial" w:hAnsi="Arial"/>
                <w:sz w:val="22"/>
                <w:szCs w:val="22"/>
                <w:color w:val="auto"/>
                <w:w w:val="94"/>
              </w:rPr>
              <w:t>Paragraph  5  of  the  form  Time-Based  Restricted  Stock  Unit  Award</w:t>
            </w:r>
          </w:p>
        </w:tc>
        <w:tc>
          <w:tcPr>
            <w:tcW w:w="0" w:type="dxa"/>
            <w:vAlign w:val="bottom"/>
          </w:tcPr>
          <w:p>
            <w:pPr>
              <w:spacing w:after="0"/>
              <w:rPr>
                <w:sz w:val="1"/>
                <w:szCs w:val="1"/>
                <w:color w:val="auto"/>
              </w:rPr>
            </w:pPr>
          </w:p>
        </w:tc>
      </w:tr>
      <w:tr>
        <w:trPr>
          <w:trHeight w:val="274"/>
        </w:trPr>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80" w:type="dxa"/>
            <w:vAlign w:val="bottom"/>
          </w:tcPr>
          <w:p>
            <w:pPr>
              <w:ind w:left="300"/>
              <w:spacing w:after="0"/>
              <w:rPr>
                <w:sz w:val="20"/>
                <w:szCs w:val="20"/>
                <w:color w:val="auto"/>
              </w:rPr>
            </w:pPr>
            <w:r>
              <w:rPr>
                <w:rFonts w:ascii="Arial" w:cs="Arial" w:eastAsia="Arial" w:hAnsi="Arial"/>
                <w:sz w:val="22"/>
                <w:szCs w:val="22"/>
                <w:color w:val="auto"/>
              </w:rPr>
              <w:t>Agreement attached hereto as Exhibit A (the “Award Agreement”) .</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Participant understands and agrees that the Award is granted subject to and in accordance with the terms of the Plan and hereby agrees to be bound by the terms of the Plan and the terms of the Award as set forth in the Award Agreement. Participant hereby acknowledges the receipt of a copy of the official prospectus for the Plan. A copy of the Plan is available upon request made to the Corporation’s Human Resources Department at the Corporation’s offices at 555 12th Street, Oakland, California 94607. Participant agrees to electronic delivery of any and all communications relating to the Award, the Award Agreement or the Plan, including but not limited to documentation of the Award, the official prospectus for the Plan, and any and all other documents and materials relating to the Award, the Award Agreement or the Plan.</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Coverage under Recoupment Policy</w:t>
      </w:r>
      <w:r>
        <w:rPr>
          <w:rFonts w:ascii="Arial" w:cs="Arial" w:eastAsia="Arial" w:hAnsi="Arial"/>
          <w:sz w:val="22"/>
          <w:szCs w:val="22"/>
          <w:color w:val="auto"/>
        </w:rPr>
        <w:t>. Participant hereby agrees that:</w:t>
      </w:r>
    </w:p>
    <w:p>
      <w:pPr>
        <w:spacing w:after="0" w:line="206" w:lineRule="exact"/>
        <w:rPr>
          <w:sz w:val="20"/>
          <w:szCs w:val="20"/>
          <w:color w:val="auto"/>
        </w:rPr>
      </w:pPr>
    </w:p>
    <w:p>
      <w:pPr>
        <w:ind w:firstLine="1304"/>
        <w:spacing w:after="0" w:line="250" w:lineRule="auto"/>
        <w:tabs>
          <w:tab w:leader="none" w:pos="1944" w:val="left"/>
        </w:tabs>
        <w:numPr>
          <w:ilvl w:val="0"/>
          <w:numId w:val="178"/>
        </w:numPr>
        <w:rPr>
          <w:rFonts w:ascii="Arial" w:cs="Arial" w:eastAsia="Arial" w:hAnsi="Arial"/>
          <w:sz w:val="22"/>
          <w:szCs w:val="22"/>
          <w:color w:val="auto"/>
        </w:rPr>
      </w:pPr>
      <w:r>
        <w:rPr>
          <w:rFonts w:ascii="Arial" w:cs="Arial" w:eastAsia="Arial" w:hAnsi="Arial"/>
          <w:sz w:val="22"/>
          <w:szCs w:val="22"/>
          <w:color w:val="auto"/>
        </w:rPr>
        <w:t>Participant may be subject to the Matson, Inc. Policy Regarding Recoupment of Certain Compensation, as applicable, and as it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895985</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63" w:name="page164"/>
    <w:bookmarkEnd w:id="163"/>
    <w:p>
      <w:pPr>
        <w:ind w:right="20"/>
        <w:spacing w:after="0" w:line="250" w:lineRule="auto"/>
        <w:rPr>
          <w:sz w:val="20"/>
          <w:szCs w:val="20"/>
          <w:color w:val="auto"/>
        </w:rPr>
      </w:pPr>
      <w:r>
        <w:rPr>
          <w:rFonts w:ascii="Arial" w:cs="Arial" w:eastAsia="Arial" w:hAnsi="Arial"/>
          <w:sz w:val="22"/>
          <w:szCs w:val="22"/>
          <w:color w:val="auto"/>
        </w:rPr>
        <w:t>the terms of which are hereby incorporated herein by reference and receipt of a copy of which Participant hereby acknowledges; and</w:t>
      </w:r>
    </w:p>
    <w:p>
      <w:pPr>
        <w:spacing w:after="0" w:line="175" w:lineRule="exact"/>
        <w:rPr>
          <w:sz w:val="20"/>
          <w:szCs w:val="20"/>
          <w:color w:val="auto"/>
        </w:rPr>
      </w:pPr>
    </w:p>
    <w:p>
      <w:pPr>
        <w:ind w:right="20" w:firstLine="1304"/>
        <w:spacing w:after="0" w:line="250" w:lineRule="auto"/>
        <w:tabs>
          <w:tab w:leader="none" w:pos="1944" w:val="left"/>
        </w:tabs>
        <w:numPr>
          <w:ilvl w:val="0"/>
          <w:numId w:val="179"/>
        </w:numPr>
        <w:rPr>
          <w:rFonts w:ascii="Arial" w:cs="Arial" w:eastAsia="Arial" w:hAnsi="Arial"/>
          <w:sz w:val="22"/>
          <w:szCs w:val="22"/>
          <w:color w:val="auto"/>
        </w:rPr>
      </w:pPr>
      <w:r>
        <w:rPr>
          <w:rFonts w:ascii="Arial" w:cs="Arial" w:eastAsia="Arial" w:hAnsi="Arial"/>
          <w:sz w:val="22"/>
          <w:szCs w:val="22"/>
          <w:color w:val="auto"/>
        </w:rPr>
        <w:t>any incentive compensation that is paid or granted to, or received by, Participant under the Award shall be subject to recovery and recoupment pursuant to the terms of such policy.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 copy of the recoupment policy is available upon request made to the Corporate Secretary.</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u w:val="single" w:color="auto"/>
          <w:color w:val="auto"/>
        </w:rPr>
        <w:t>Continuing Consent</w:t>
      </w:r>
      <w:r>
        <w:rPr>
          <w:rFonts w:ascii="Arial" w:cs="Arial" w:eastAsia="Arial" w:hAnsi="Arial"/>
          <w:sz w:val="19"/>
          <w:szCs w:val="19"/>
          <w:color w:val="auto"/>
        </w:rPr>
        <w:t>. Participant further acknowledges and agrees that, except to the extent the Plan Administrator notifies Participant in writing to the contrary, each subsequent award of service-vesting restricted stock units made to him or her under the Plan shall be subject to the same terms and conditions set forth in the Award Agreement, and Participant hereby understands and agrees to those terms and conditions for each such subsequent service-vesting restricted stock unit award that may be made to him or her under the Plan and hereby agrees to be bound by those terms and conditions for any such restricted stock unit awards, without any further consent or action required on his or her part at the time or times when those awards may be made. However, Participant may, at any time he or she holds an outstanding service-vesting restricted stock unit award under the Plan, request a written copy of the Award Agreement from the Corporation by contacting the Corporation’s Human Resources Department at the Corporation’s offices at 555 12th Street, Oakland, California 94607.</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u w:val="single" w:color="auto"/>
          <w:color w:val="auto"/>
        </w:rPr>
        <w:t>Employment at Will</w:t>
      </w:r>
      <w:r>
        <w:rPr>
          <w:rFonts w:ascii="Arial" w:cs="Arial" w:eastAsia="Arial" w:hAnsi="Arial"/>
          <w:sz w:val="19"/>
          <w:szCs w:val="19"/>
          <w:color w:val="auto"/>
        </w:rPr>
        <w:t>. Nothing in this Notice or in the Award Agreement or in the Plan shall confer upon Participant any right to continue in Service for any period of specific duration or interfere with or otherwise restrict in any way the rights of the Corporation (or any Parent or Subsidiary employing or retaining Participant) or of Participant, which rights are hereby expressly reserved by each, to terminate Participant’s Service at any time for any reason or no reason with or without advance notice and with or without cause.</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All capitalized terms in this Notice shall have the meaning assigned to them in this Notice or in the Award Agreement.</w:t>
      </w:r>
    </w:p>
    <w:p>
      <w:pPr>
        <w:spacing w:after="0" w:line="196"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MATSON,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6985</wp:posOffset>
            </wp:positionV>
            <wp:extent cx="27260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6985</wp:posOffset>
            </wp:positionV>
            <wp:extent cx="27260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040"/>
        <w:spacing w:after="0"/>
        <w:rPr>
          <w:sz w:val="20"/>
          <w:szCs w:val="20"/>
          <w:color w:val="auto"/>
        </w:rPr>
      </w:pPr>
      <w:r>
        <w:rPr>
          <w:rFonts w:ascii="Arial" w:cs="Arial" w:eastAsia="Arial" w:hAnsi="Arial"/>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-151130</wp:posOffset>
            </wp:positionV>
            <wp:extent cx="27260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64" w:name="page165"/>
    <w:bookmarkEnd w:id="164"/>
    <w:p>
      <w:pPr>
        <w:jc w:val="center"/>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MATSON,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TIME-BASED RESTRICTED STOCK UNIT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AWARD AGREEMENT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RECITALS</w:t>
      </w:r>
    </w:p>
    <w:p>
      <w:pPr>
        <w:spacing w:after="0" w:line="239" w:lineRule="exact"/>
        <w:rPr>
          <w:sz w:val="20"/>
          <w:szCs w:val="20"/>
          <w:color w:val="auto"/>
        </w:rPr>
      </w:pPr>
    </w:p>
    <w:p>
      <w:pPr>
        <w:jc w:val="both"/>
        <w:ind w:firstLine="1304"/>
        <w:spacing w:after="0" w:line="282" w:lineRule="auto"/>
        <w:tabs>
          <w:tab w:leader="none" w:pos="1944" w:val="left"/>
        </w:tabs>
        <w:numPr>
          <w:ilvl w:val="0"/>
          <w:numId w:val="180"/>
        </w:numPr>
        <w:rPr>
          <w:rFonts w:ascii="Arial" w:cs="Arial" w:eastAsia="Arial" w:hAnsi="Arial"/>
          <w:sz w:val="19"/>
          <w:szCs w:val="19"/>
          <w:color w:val="auto"/>
        </w:rPr>
      </w:pPr>
      <w:r>
        <w:rPr>
          <w:rFonts w:ascii="Arial" w:cs="Arial" w:eastAsia="Arial" w:hAnsi="Arial"/>
          <w:sz w:val="19"/>
          <w:szCs w:val="19"/>
          <w:color w:val="auto"/>
        </w:rPr>
        <w:t>Matson, Inc., a Hawaii corporation (along with any subsequent corporate successor to all or substantially all of the assets or voting stock of Matson, Inc., which has by appropriate action assumed the Plan, the “Corporation”), has implemented the Plan for the purpose of providing eligible persons in the Corporation’s service with the opportunity to participate in one or more cash or equity incentive compensation programs designed to motivate, attract and retain the services of persons who contribute to the success of the Corporation.</w:t>
      </w:r>
    </w:p>
    <w:p>
      <w:pPr>
        <w:spacing w:after="0" w:line="147" w:lineRule="exact"/>
        <w:rPr>
          <w:rFonts w:ascii="Arial" w:cs="Arial" w:eastAsia="Arial" w:hAnsi="Arial"/>
          <w:sz w:val="19"/>
          <w:szCs w:val="19"/>
          <w:color w:val="auto"/>
        </w:rPr>
      </w:pPr>
    </w:p>
    <w:p>
      <w:pPr>
        <w:jc w:val="both"/>
        <w:ind w:firstLine="1304"/>
        <w:spacing w:after="0" w:line="297" w:lineRule="auto"/>
        <w:tabs>
          <w:tab w:leader="none" w:pos="1944" w:val="left"/>
        </w:tabs>
        <w:numPr>
          <w:ilvl w:val="0"/>
          <w:numId w:val="180"/>
        </w:numPr>
        <w:rPr>
          <w:rFonts w:ascii="Arial" w:cs="Arial" w:eastAsia="Arial" w:hAnsi="Arial"/>
          <w:sz w:val="19"/>
          <w:szCs w:val="19"/>
          <w:color w:val="auto"/>
        </w:rPr>
      </w:pPr>
      <w:r>
        <w:rPr>
          <w:rFonts w:ascii="Arial" w:cs="Arial" w:eastAsia="Arial" w:hAnsi="Arial"/>
          <w:sz w:val="19"/>
          <w:szCs w:val="19"/>
          <w:color w:val="auto"/>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spacing w:after="0" w:line="133" w:lineRule="exact"/>
        <w:rPr>
          <w:rFonts w:ascii="Arial" w:cs="Arial" w:eastAsia="Arial" w:hAnsi="Arial"/>
          <w:sz w:val="19"/>
          <w:szCs w:val="19"/>
          <w:color w:val="auto"/>
        </w:rPr>
      </w:pPr>
    </w:p>
    <w:p>
      <w:pPr>
        <w:ind w:firstLine="1304"/>
        <w:spacing w:after="0" w:line="250" w:lineRule="auto"/>
        <w:tabs>
          <w:tab w:leader="none" w:pos="1944" w:val="left"/>
        </w:tabs>
        <w:numPr>
          <w:ilvl w:val="0"/>
          <w:numId w:val="180"/>
        </w:numPr>
        <w:rPr>
          <w:rFonts w:ascii="Arial" w:cs="Arial" w:eastAsia="Arial" w:hAnsi="Arial"/>
          <w:sz w:val="22"/>
          <w:szCs w:val="22"/>
          <w:color w:val="auto"/>
        </w:rPr>
      </w:pPr>
      <w:r>
        <w:rPr>
          <w:rFonts w:ascii="Arial" w:cs="Arial" w:eastAsia="Arial" w:hAnsi="Arial"/>
          <w:sz w:val="22"/>
          <w:szCs w:val="22"/>
          <w:color w:val="auto"/>
        </w:rPr>
        <w:t xml:space="preserve">All capitalized terms in this Agreement shall have the meaning assigned to them in the attached </w:t>
      </w:r>
      <w:r>
        <w:rPr>
          <w:rFonts w:ascii="Arial" w:cs="Arial" w:eastAsia="Arial" w:hAnsi="Arial"/>
          <w:sz w:val="22"/>
          <w:szCs w:val="22"/>
          <w:u w:val="single" w:color="auto"/>
          <w:color w:val="auto"/>
        </w:rPr>
        <w:t>Appendix A</w:t>
      </w:r>
      <w:r>
        <w:rPr>
          <w:rFonts w:ascii="Arial" w:cs="Arial" w:eastAsia="Arial" w:hAnsi="Arial"/>
          <w:sz w:val="22"/>
          <w:szCs w:val="22"/>
          <w:color w:val="auto"/>
        </w:rPr>
        <w:t>, or if not defined in that appendix, as defined in the Plan.</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it is hereby agreed as follows:</w:t>
      </w:r>
    </w:p>
    <w:p>
      <w:pPr>
        <w:spacing w:after="0" w:line="206" w:lineRule="exact"/>
        <w:rPr>
          <w:sz w:val="20"/>
          <w:szCs w:val="20"/>
          <w:color w:val="auto"/>
        </w:rPr>
      </w:pPr>
    </w:p>
    <w:p>
      <w:pPr>
        <w:jc w:val="both"/>
        <w:ind w:firstLine="1304"/>
        <w:spacing w:after="0" w:line="239" w:lineRule="auto"/>
        <w:tabs>
          <w:tab w:leader="none" w:pos="1944" w:val="left"/>
        </w:tabs>
        <w:numPr>
          <w:ilvl w:val="0"/>
          <w:numId w:val="181"/>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Restricted Stock Units</w:t>
      </w:r>
      <w:r>
        <w:rPr>
          <w:rFonts w:ascii="Arial" w:cs="Arial" w:eastAsia="Arial" w:hAnsi="Arial"/>
          <w:sz w:val="22"/>
          <w:szCs w:val="22"/>
          <w:color w:val="auto"/>
        </w:rPr>
        <w:t>. The Corporation hereby awards to Participant,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Award Date, restricted stock units under the Plan. The number of RSUs and the applicable service vesting requirements for those RSUs are set forth in the Award Notice. The remaining terms and conditions governing the Award shall be as set forth in this Agreement.</w:t>
      </w:r>
    </w:p>
    <w:p>
      <w:pPr>
        <w:spacing w:after="0" w:line="180" w:lineRule="exact"/>
        <w:rPr>
          <w:rFonts w:ascii="Arial" w:cs="Arial" w:eastAsia="Arial" w:hAnsi="Arial"/>
          <w:sz w:val="22"/>
          <w:szCs w:val="22"/>
          <w:color w:val="auto"/>
        </w:rPr>
      </w:pPr>
    </w:p>
    <w:p>
      <w:pPr>
        <w:jc w:val="both"/>
        <w:ind w:firstLine="1304"/>
        <w:spacing w:after="0" w:line="274" w:lineRule="auto"/>
        <w:tabs>
          <w:tab w:leader="none" w:pos="1944" w:val="left"/>
        </w:tabs>
        <w:numPr>
          <w:ilvl w:val="0"/>
          <w:numId w:val="181"/>
        </w:numPr>
        <w:rPr>
          <w:rFonts w:ascii="Arial" w:cs="Arial" w:eastAsia="Arial" w:hAnsi="Arial"/>
          <w:sz w:val="19"/>
          <w:szCs w:val="19"/>
          <w:color w:val="auto"/>
        </w:rPr>
      </w:pPr>
      <w:r>
        <w:rPr>
          <w:rFonts w:ascii="Arial" w:cs="Arial" w:eastAsia="Arial" w:hAnsi="Arial"/>
          <w:sz w:val="19"/>
          <w:szCs w:val="19"/>
          <w:b w:val="1"/>
          <w:bCs w:val="1"/>
          <w:u w:val="single" w:color="auto"/>
          <w:color w:val="auto"/>
        </w:rPr>
        <w:t>Limited Transferability</w:t>
      </w:r>
      <w:r>
        <w:rPr>
          <w:rFonts w:ascii="Arial" w:cs="Arial" w:eastAsia="Arial" w:hAnsi="Arial"/>
          <w:sz w:val="19"/>
          <w:szCs w:val="19"/>
          <w:color w:val="auto"/>
        </w:rPr>
        <w:t>. Prior to the actual issuance of the Shares hereunder,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may not transfer any interest in the RSUs or the underlying Shares or pledge or otherwise hedge the sale of those RSUs or Shares, including (without limitation) any short sale or any acquisition or disposition of any put or call option or other instrument tied to the value of those RSUs or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become issuable hereunder in the name of a revocable living trust established for the exclusive benefit of either Participant or Participant and his or her spouse. Participant may make such a beneficiary designation or ownership directive at any time by filing the appropriate form with the Plan Administrator or its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5" w:name="page166"/>
    <w:bookmarkEnd w:id="165"/>
    <w:p>
      <w:pPr>
        <w:ind w:left="1960" w:hanging="656"/>
        <w:spacing w:after="0"/>
        <w:tabs>
          <w:tab w:leader="none" w:pos="1960" w:val="left"/>
        </w:tabs>
        <w:numPr>
          <w:ilvl w:val="0"/>
          <w:numId w:val="182"/>
        </w:numPr>
        <w:rPr>
          <w:rFonts w:ascii="Arial" w:cs="Arial" w:eastAsia="Arial" w:hAnsi="Arial"/>
          <w:sz w:val="22"/>
          <w:szCs w:val="22"/>
          <w:color w:val="auto"/>
        </w:rPr>
      </w:pPr>
      <w:r>
        <w:rPr>
          <w:rFonts w:ascii="Arial" w:cs="Arial" w:eastAsia="Arial" w:hAnsi="Arial"/>
          <w:sz w:val="22"/>
          <w:szCs w:val="22"/>
          <w:b w:val="1"/>
          <w:bCs w:val="1"/>
          <w:u w:val="single" w:color="auto"/>
          <w:color w:val="auto"/>
        </w:rPr>
        <w:t>Cessation of Service</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line="238" w:lineRule="auto"/>
        <w:tabs>
          <w:tab w:leader="none" w:pos="2592" w:val="left"/>
        </w:tabs>
        <w:numPr>
          <w:ilvl w:val="1"/>
          <w:numId w:val="182"/>
        </w:numPr>
        <w:rPr>
          <w:rFonts w:ascii="Arial" w:cs="Arial" w:eastAsia="Arial" w:hAnsi="Arial"/>
          <w:sz w:val="22"/>
          <w:szCs w:val="22"/>
          <w:color w:val="auto"/>
        </w:rPr>
      </w:pPr>
      <w:r>
        <w:rPr>
          <w:rFonts w:ascii="Arial" w:cs="Arial" w:eastAsia="Arial" w:hAnsi="Arial"/>
          <w:sz w:val="22"/>
          <w:szCs w:val="22"/>
          <w:color w:val="auto"/>
        </w:rPr>
        <w:t>Except to the extent otherwise provided in this Paragraph 3 or Paragraph 5 below, should Participant cease Service for any reason prior to vesting in one or more RSUs, then any unvested RSUs shall be automatically cancelled. Participant shall thereupon cease to have any right or entitlement to receive any Shares under those cancelled RSUs.</w:t>
      </w:r>
    </w:p>
    <w:p>
      <w:pPr>
        <w:spacing w:after="0" w:line="184" w:lineRule="exact"/>
        <w:rPr>
          <w:rFonts w:ascii="Arial" w:cs="Arial" w:eastAsia="Arial" w:hAnsi="Arial"/>
          <w:sz w:val="22"/>
          <w:szCs w:val="22"/>
          <w:color w:val="auto"/>
        </w:rPr>
      </w:pPr>
    </w:p>
    <w:p>
      <w:pPr>
        <w:jc w:val="both"/>
        <w:ind w:firstLine="1952"/>
        <w:spacing w:after="0" w:line="238" w:lineRule="auto"/>
        <w:tabs>
          <w:tab w:leader="none" w:pos="2592" w:val="left"/>
        </w:tabs>
        <w:numPr>
          <w:ilvl w:val="1"/>
          <w:numId w:val="182"/>
        </w:numPr>
        <w:rPr>
          <w:rFonts w:ascii="Arial" w:cs="Arial" w:eastAsia="Arial" w:hAnsi="Arial"/>
          <w:sz w:val="22"/>
          <w:szCs w:val="22"/>
          <w:color w:val="auto"/>
        </w:rPr>
      </w:pPr>
      <w:r>
        <w:rPr>
          <w:rFonts w:ascii="Arial" w:cs="Arial" w:eastAsia="Arial" w:hAnsi="Arial"/>
          <w:sz w:val="22"/>
          <w:szCs w:val="22"/>
          <w:color w:val="auto"/>
        </w:rPr>
        <w:t>Should Participant’s Service terminate by reason of his or her death or Permanent Disability prior to vesting in one or more RSUs, then the RSUs shall vest in full upon Participant’s termination of Service. The Shares subject to those vested RSUs shall be issued in accordance with the applicable provisions of Paragraph 7.</w:t>
      </w:r>
    </w:p>
    <w:p>
      <w:pPr>
        <w:spacing w:after="0" w:line="184" w:lineRule="exact"/>
        <w:rPr>
          <w:rFonts w:ascii="Arial" w:cs="Arial" w:eastAsia="Arial" w:hAnsi="Arial"/>
          <w:sz w:val="22"/>
          <w:szCs w:val="22"/>
          <w:color w:val="auto"/>
        </w:rPr>
      </w:pPr>
    </w:p>
    <w:p>
      <w:pPr>
        <w:jc w:val="both"/>
        <w:ind w:firstLine="1952"/>
        <w:spacing w:after="0" w:line="274" w:lineRule="auto"/>
        <w:tabs>
          <w:tab w:leader="none" w:pos="2592" w:val="left"/>
        </w:tabs>
        <w:numPr>
          <w:ilvl w:val="1"/>
          <w:numId w:val="182"/>
        </w:numPr>
        <w:rPr>
          <w:rFonts w:ascii="Arial" w:cs="Arial" w:eastAsia="Arial" w:hAnsi="Arial"/>
          <w:sz w:val="19"/>
          <w:szCs w:val="19"/>
          <w:color w:val="auto"/>
        </w:rPr>
      </w:pPr>
      <w:r>
        <w:rPr>
          <w:rFonts w:ascii="Arial" w:cs="Arial" w:eastAsia="Arial" w:hAnsi="Arial"/>
          <w:sz w:val="19"/>
          <w:szCs w:val="19"/>
          <w:color w:val="auto"/>
        </w:rPr>
        <w:t>Should Participant’s Service terminate by reason of his or her Early Retirement or Normal Retirement prior to vesting in all the RSUs subject to this Award in accordance with the annual installment vesting schedule set forth in the Award Notice, then Participant shall immediately vest in that number of additional RSUs (if any) in which Participant would have otherwise been vested at the time of such termination had the RSUs subject to this Award vested in a series of successive equal monthly installments over the duration of the vesting schedule set forth in the Award Notice. The RSUs which are deemed to vest on the basis of such monthly installment vesting schedule shall, together with any other RSUs which are at the time vested but unissued, be settled in Shares in accordance with the applicable provisions of Paragraph 7. The balance of the Award shall be automatically cancelled and cease to be outstanding upon such termination of Service.</w:t>
      </w:r>
    </w:p>
    <w:p>
      <w:pPr>
        <w:spacing w:after="0" w:line="152" w:lineRule="exact"/>
        <w:rPr>
          <w:rFonts w:ascii="Arial" w:cs="Arial" w:eastAsia="Arial" w:hAnsi="Arial"/>
          <w:sz w:val="19"/>
          <w:szCs w:val="19"/>
          <w:color w:val="auto"/>
        </w:rPr>
      </w:pPr>
    </w:p>
    <w:p>
      <w:pPr>
        <w:ind w:left="1960" w:hanging="656"/>
        <w:spacing w:after="0"/>
        <w:tabs>
          <w:tab w:leader="none" w:pos="1960" w:val="left"/>
        </w:tabs>
        <w:numPr>
          <w:ilvl w:val="0"/>
          <w:numId w:val="182"/>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Stockholder Rights and Dividend Equivalents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line="238" w:lineRule="auto"/>
        <w:tabs>
          <w:tab w:leader="none" w:pos="2592" w:val="left"/>
        </w:tabs>
        <w:numPr>
          <w:ilvl w:val="1"/>
          <w:numId w:val="182"/>
        </w:numPr>
        <w:rPr>
          <w:rFonts w:ascii="Arial" w:cs="Arial" w:eastAsia="Arial" w:hAnsi="Arial"/>
          <w:sz w:val="22"/>
          <w:szCs w:val="22"/>
          <w:color w:val="auto"/>
        </w:rPr>
      </w:pPr>
      <w:r>
        <w:rPr>
          <w:rFonts w:ascii="Arial" w:cs="Arial" w:eastAsia="Arial" w:hAnsi="Arial"/>
          <w:sz w:val="22"/>
          <w:szCs w:val="22"/>
          <w:color w:val="auto"/>
        </w:rPr>
        <w:t>The holder of this Award shall not have any stockholder rights, including voting, dividend or liquidation rights, with respect to the Shares subject to the Award until Participant becomes the record holder of those Shares upon their actual issuance following the Corporation’s collection of the applicable Withholding Taxes.</w:t>
      </w:r>
    </w:p>
    <w:p>
      <w:pPr>
        <w:spacing w:after="0" w:line="184" w:lineRule="exact"/>
        <w:rPr>
          <w:rFonts w:ascii="Arial" w:cs="Arial" w:eastAsia="Arial" w:hAnsi="Arial"/>
          <w:sz w:val="22"/>
          <w:szCs w:val="22"/>
          <w:color w:val="auto"/>
        </w:rPr>
      </w:pPr>
    </w:p>
    <w:p>
      <w:pPr>
        <w:jc w:val="both"/>
        <w:ind w:firstLine="1952"/>
        <w:spacing w:after="0" w:line="272" w:lineRule="auto"/>
        <w:tabs>
          <w:tab w:leader="none" w:pos="2592" w:val="left"/>
        </w:tabs>
        <w:numPr>
          <w:ilvl w:val="1"/>
          <w:numId w:val="182"/>
        </w:numPr>
        <w:rPr>
          <w:rFonts w:ascii="Arial" w:cs="Arial" w:eastAsia="Arial" w:hAnsi="Arial"/>
          <w:sz w:val="19"/>
          <w:szCs w:val="19"/>
          <w:color w:val="auto"/>
        </w:rPr>
      </w:pPr>
      <w:r>
        <w:rPr>
          <w:rFonts w:ascii="Arial" w:cs="Arial" w:eastAsia="Arial" w:hAnsi="Arial"/>
          <w:sz w:val="19"/>
          <w:szCs w:val="19"/>
          <w:color w:val="auto"/>
        </w:rPr>
        <w:t>Notwithstanding the foregoing, should any dividend or other distribution payable other than in shares of Common Stock be declared and paid on the Corporation’s outstanding Common Stock at a time when one or more Shares remain subject to this Award (i.e., those Shares are not otherwise issued and outstanding for purposes of entitlement to the dividend or distribution), then a special book account shall be established for Participant and credited with a phantom dividend equivalent to the actual dividend or distribution which would have been paid on those Shares had they been issued and outstanding and entitled to that dividend or distribution. The phantom dividend equivalents so credited to the Participant’s book account for each calendar quarter this Award remains outstanding in whole or in part shall be distributed to Participant (in cash or such other form as the Plan Administrator may deem appropriate in its sole discretion) on or after the date the dividend or other distribution is paid to holders of Common Stock, but in no case later than the last business day of that calendar quarter. However, each such distribution shall be subject to the Corporation’s collection of the Withholding Taxes applicable to that distribution.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6" w:name="page167"/>
    <w:bookmarkEnd w:id="166"/>
    <w:p>
      <w:pPr>
        <w:ind w:left="1960" w:hanging="656"/>
        <w:spacing w:after="0"/>
        <w:tabs>
          <w:tab w:leader="none" w:pos="1960" w:val="left"/>
        </w:tabs>
        <w:numPr>
          <w:ilvl w:val="0"/>
          <w:numId w:val="183"/>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line="270" w:lineRule="auto"/>
        <w:tabs>
          <w:tab w:leader="none" w:pos="2592" w:val="left"/>
        </w:tabs>
        <w:numPr>
          <w:ilvl w:val="1"/>
          <w:numId w:val="183"/>
        </w:numPr>
        <w:rPr>
          <w:rFonts w:ascii="Arial" w:cs="Arial" w:eastAsia="Arial" w:hAnsi="Arial"/>
          <w:sz w:val="19"/>
          <w:szCs w:val="19"/>
          <w:color w:val="auto"/>
        </w:rPr>
      </w:pPr>
      <w:r>
        <w:rPr>
          <w:rFonts w:ascii="Arial" w:cs="Arial" w:eastAsia="Arial" w:hAnsi="Arial"/>
          <w:sz w:val="19"/>
          <w:szCs w:val="19"/>
          <w:color w:val="auto"/>
        </w:rPr>
        <w:t xml:space="preserve">This Award, to the extent outstanding at the time of a Change in Control, may be assumed by the successor entity or otherwise continued in full force and effect or may be replaced with a substitute equivalent award by the successor entity. Any such assumption or continuation of this Award shall be effected in accordance with Paragraph 5(b) below. To the extent the substitute equivalent award is in the form of cash, a cash retention account shall be established in replacement of this Award and shall initially be credited with the Fair Market Value (determined at the effective time of the Change in Control) of the Shares subject to the Award at that time, and interest shall accrue on the outstanding balance of such account, for the period commencing with the closing date of the Change in Control and continuing through the date of the final payment of the account, including any deferred payment date under Paragraph 8, at a variable per annum rate, compounded semi-annually, equal to the prime rate of interest as in effect from time to time during such period, as determined on the basis of the prime rate quotations published by </w:t>
      </w:r>
      <w:r>
        <w:rPr>
          <w:rFonts w:ascii="Arial" w:cs="Arial" w:eastAsia="Arial" w:hAnsi="Arial"/>
          <w:sz w:val="19"/>
          <w:szCs w:val="19"/>
          <w:b w:val="1"/>
          <w:bCs w:val="1"/>
          <w:i w:val="1"/>
          <w:iCs w:val="1"/>
          <w:color w:val="auto"/>
        </w:rPr>
        <w:t>The Wall Street Journal</w:t>
      </w:r>
      <w:r>
        <w:rPr>
          <w:rFonts w:ascii="Arial" w:cs="Arial" w:eastAsia="Arial" w:hAnsi="Arial"/>
          <w:sz w:val="19"/>
          <w:szCs w:val="19"/>
          <w:color w:val="auto"/>
        </w:rPr>
        <w:t>. The substitute equivalent award shall vest and be paid out in accordance with the same vesting and payment schedule applicable to the Award, as set forth in Paragraphs 1 and 7, and the Participant’s interest in any substitute equivalent award shall at all times be that of a general, unsecured creditor. In the event of such assumption or continuation of this Award or such replacement of the Award with a substitute equivalent award, no accelerated vesting of the RSUs subject to this Award or the underlying Shares shall occur at the time of the Change in Control, and the Service-vesting provisions set forth in the Award Notice shall continue in full force and effect.</w:t>
      </w:r>
    </w:p>
    <w:p>
      <w:pPr>
        <w:spacing w:after="0" w:line="168" w:lineRule="exact"/>
        <w:rPr>
          <w:rFonts w:ascii="Arial" w:cs="Arial" w:eastAsia="Arial" w:hAnsi="Arial"/>
          <w:sz w:val="19"/>
          <w:szCs w:val="19"/>
          <w:color w:val="auto"/>
        </w:rPr>
      </w:pPr>
    </w:p>
    <w:p>
      <w:pPr>
        <w:jc w:val="both"/>
        <w:ind w:firstLine="1952"/>
        <w:spacing w:after="0" w:line="273" w:lineRule="auto"/>
        <w:tabs>
          <w:tab w:leader="none" w:pos="2592" w:val="left"/>
        </w:tabs>
        <w:numPr>
          <w:ilvl w:val="1"/>
          <w:numId w:val="183"/>
        </w:numPr>
        <w:rPr>
          <w:rFonts w:ascii="Arial" w:cs="Arial" w:eastAsia="Arial" w:hAnsi="Arial"/>
          <w:sz w:val="19"/>
          <w:szCs w:val="19"/>
          <w:color w:val="auto"/>
        </w:rPr>
      </w:pPr>
      <w:r>
        <w:rPr>
          <w:rFonts w:ascii="Arial" w:cs="Arial" w:eastAsia="Arial" w:hAnsi="Arial"/>
          <w:sz w:val="19"/>
          <w:szCs w:val="19"/>
          <w:color w:val="auto"/>
        </w:rPr>
        <w:t>In the event this Award is assumed, otherwise continued in effect, or replaced in connection with such Change in Control, the RSUs subject to the Award shall be adjusted immediately after the consummation of that Change in Control so as to apply to the number and class of securities into which the Shares subject to those RSUs immediately prior to the Change in Control would have been converted in consummation of that Change in Control had those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RSUs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spacing w:after="0" w:line="155" w:lineRule="exact"/>
        <w:rPr>
          <w:rFonts w:ascii="Arial" w:cs="Arial" w:eastAsia="Arial" w:hAnsi="Arial"/>
          <w:sz w:val="19"/>
          <w:szCs w:val="19"/>
          <w:color w:val="auto"/>
        </w:rPr>
      </w:pPr>
    </w:p>
    <w:p>
      <w:pPr>
        <w:jc w:val="both"/>
        <w:ind w:firstLine="1952"/>
        <w:spacing w:after="0" w:line="275" w:lineRule="auto"/>
        <w:tabs>
          <w:tab w:leader="none" w:pos="2592" w:val="left"/>
        </w:tabs>
        <w:numPr>
          <w:ilvl w:val="1"/>
          <w:numId w:val="183"/>
        </w:numPr>
        <w:rPr>
          <w:rFonts w:ascii="Arial" w:cs="Arial" w:eastAsia="Arial" w:hAnsi="Arial"/>
          <w:sz w:val="19"/>
          <w:szCs w:val="19"/>
          <w:color w:val="auto"/>
        </w:rPr>
      </w:pPr>
      <w:r>
        <w:rPr>
          <w:rFonts w:ascii="Arial" w:cs="Arial" w:eastAsia="Arial" w:hAnsi="Arial"/>
          <w:sz w:val="19"/>
          <w:szCs w:val="19"/>
          <w:color w:val="auto"/>
        </w:rPr>
        <w:t xml:space="preserve">Upon Participant’s Separation from Service due to an Involuntary Termination occurring within twenty-four (24) months after a Change in Control in which this Award is assumed or continued in effect, all of the RSUs at the time subject to this Award shall vest, or any substitute equivalent award, and the Shares underlying those RSUs shall be issued to Participant in accordance with the applicable provisions of Paragraph 7. Should the RSUs be replaced with a cash retention account in accordance with Paragraph 5(a), then the balance credited to Participant under that account at the time of his or her Separation from Service due to an Involuntary Termination shall immediately vest and shall be distributed to Participant in accordance with the applicable provisions of Paragraph 7;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Participant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7" w:name="page168"/>
    <w:bookmarkEnd w:id="167"/>
    <w:p>
      <w:pPr>
        <w:spacing w:after="0" w:line="250" w:lineRule="auto"/>
        <w:rPr>
          <w:sz w:val="20"/>
          <w:szCs w:val="20"/>
          <w:color w:val="auto"/>
        </w:rPr>
      </w:pPr>
      <w:r>
        <w:rPr>
          <w:rFonts w:ascii="Arial" w:cs="Arial" w:eastAsia="Arial" w:hAnsi="Arial"/>
          <w:sz w:val="22"/>
          <w:szCs w:val="22"/>
          <w:color w:val="auto"/>
        </w:rPr>
        <w:t>vest and be entitled to such distribution only if such Involuntary Termination occurs within twenty-four (24) months following the Change in Control.</w:t>
      </w:r>
    </w:p>
    <w:p>
      <w:pPr>
        <w:spacing w:after="0" w:line="175" w:lineRule="exact"/>
        <w:rPr>
          <w:sz w:val="20"/>
          <w:szCs w:val="20"/>
          <w:color w:val="auto"/>
        </w:rPr>
      </w:pPr>
    </w:p>
    <w:p>
      <w:pPr>
        <w:jc w:val="both"/>
        <w:ind w:firstLine="1952"/>
        <w:spacing w:after="0" w:line="236" w:lineRule="auto"/>
        <w:tabs>
          <w:tab w:leader="none" w:pos="2592" w:val="left"/>
        </w:tabs>
        <w:numPr>
          <w:ilvl w:val="1"/>
          <w:numId w:val="184"/>
        </w:numPr>
        <w:rPr>
          <w:rFonts w:ascii="Arial" w:cs="Arial" w:eastAsia="Arial" w:hAnsi="Arial"/>
          <w:sz w:val="22"/>
          <w:szCs w:val="22"/>
          <w:color w:val="auto"/>
        </w:rPr>
      </w:pPr>
      <w:r>
        <w:rPr>
          <w:rFonts w:ascii="Arial" w:cs="Arial" w:eastAsia="Arial" w:hAnsi="Arial"/>
          <w:sz w:val="22"/>
          <w:szCs w:val="22"/>
          <w:color w:val="auto"/>
        </w:rPr>
        <w:t>If the RSUs subject to this Award at the time of the Change in Control are not assumed or otherwise continued in effect or replaced with substitute equivalent award in accordance with Paragraph 5(a), then those RSUs shall vest immediately prior to the closing of the Change in Control, and Participant shall become entitled to a vested distribution in accordance with the applicable provisions of Paragraph 7.</w:t>
      </w:r>
    </w:p>
    <w:p>
      <w:pPr>
        <w:spacing w:after="0" w:line="187" w:lineRule="exact"/>
        <w:rPr>
          <w:rFonts w:ascii="Arial" w:cs="Arial" w:eastAsia="Arial" w:hAnsi="Arial"/>
          <w:sz w:val="22"/>
          <w:szCs w:val="22"/>
          <w:color w:val="auto"/>
        </w:rPr>
      </w:pPr>
    </w:p>
    <w:p>
      <w:pPr>
        <w:jc w:val="both"/>
        <w:ind w:firstLine="1952"/>
        <w:spacing w:after="0"/>
        <w:tabs>
          <w:tab w:leader="none" w:pos="2592" w:val="left"/>
        </w:tabs>
        <w:numPr>
          <w:ilvl w:val="1"/>
          <w:numId w:val="184"/>
        </w:numPr>
        <w:rPr>
          <w:rFonts w:ascii="Arial" w:cs="Arial" w:eastAsia="Arial" w:hAnsi="Arial"/>
          <w:sz w:val="22"/>
          <w:szCs w:val="22"/>
          <w:color w:val="auto"/>
        </w:rPr>
      </w:pPr>
      <w:r>
        <w:rPr>
          <w:rFonts w:ascii="Arial" w:cs="Arial" w:eastAsia="Arial" w:hAnsi="Arial"/>
          <w:sz w:val="22"/>
          <w:szCs w:val="22"/>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80" w:lineRule="exact"/>
        <w:rPr>
          <w:rFonts w:ascii="Arial" w:cs="Arial" w:eastAsia="Arial" w:hAnsi="Arial"/>
          <w:sz w:val="22"/>
          <w:szCs w:val="22"/>
          <w:color w:val="auto"/>
        </w:rPr>
      </w:pPr>
    </w:p>
    <w:p>
      <w:pPr>
        <w:jc w:val="both"/>
        <w:ind w:firstLine="1304"/>
        <w:spacing w:after="0" w:line="272" w:lineRule="auto"/>
        <w:tabs>
          <w:tab w:leader="none" w:pos="1944" w:val="left"/>
        </w:tabs>
        <w:numPr>
          <w:ilvl w:val="0"/>
          <w:numId w:val="185"/>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in Shares</w:t>
      </w:r>
      <w:r>
        <w:rPr>
          <w:rFonts w:ascii="Arial" w:cs="Arial" w:eastAsia="Arial" w:hAnsi="Arial"/>
          <w:sz w:val="19"/>
          <w:szCs w:val="19"/>
          <w:color w:val="auto"/>
        </w:rPr>
        <w:t>. Should any change be made to the Common Stock by reason of</w:t>
      </w:r>
      <w:r>
        <w:rPr>
          <w:rFonts w:ascii="Arial" w:cs="Arial" w:eastAsia="Arial" w:hAnsi="Arial"/>
          <w:sz w:val="19"/>
          <w:szCs w:val="19"/>
          <w:b w:val="1"/>
          <w:bCs w:val="1"/>
          <w:color w:val="auto"/>
        </w:rPr>
        <w:t xml:space="preserve"> </w:t>
      </w:r>
      <w:r>
        <w:rPr>
          <w:rFonts w:ascii="Arial" w:cs="Arial" w:eastAsia="Arial" w:hAnsi="Arial"/>
          <w:sz w:val="19"/>
          <w:szCs w:val="19"/>
          <w:color w:val="auto"/>
        </w:rPr>
        <w:t>any 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the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4(b) in connection with the transaction, and the determination of the Plan Administrator shall be final, binding and conclusive as provided in Section III.C of Article One of the Plan. In the event of any Change in Control transaction, the adjustment provisions of Paragraph 5(b) shall be controlling.</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1960" w:hanging="656"/>
        <w:spacing w:after="0"/>
        <w:tabs>
          <w:tab w:leader="none" w:pos="1960" w:val="left"/>
        </w:tabs>
        <w:numPr>
          <w:ilvl w:val="0"/>
          <w:numId w:val="185"/>
        </w:numPr>
        <w:rPr>
          <w:rFonts w:ascii="Arial" w:cs="Arial" w:eastAsia="Arial" w:hAnsi="Arial"/>
          <w:sz w:val="19"/>
          <w:szCs w:val="19"/>
          <w:color w:val="auto"/>
        </w:rPr>
      </w:pPr>
      <w:r>
        <w:rPr>
          <w:rFonts w:ascii="Arial" w:cs="Arial" w:eastAsia="Arial" w:hAnsi="Arial"/>
          <w:sz w:val="19"/>
          <w:szCs w:val="19"/>
          <w:b w:val="1"/>
          <w:bCs w:val="1"/>
          <w:u w:val="single" w:color="auto"/>
          <w:color w:val="auto"/>
        </w:rPr>
        <w:t>Issuance  or  Distribution  of  Shares  or  Other  Vested  Amounts  and  Applicable</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u w:val="single" w:color="auto"/>
          <w:color w:val="auto"/>
        </w:rPr>
        <w:t>Withholding Taxes</w:t>
      </w: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jc w:val="both"/>
        <w:ind w:firstLine="1952"/>
        <w:spacing w:after="0"/>
        <w:tabs>
          <w:tab w:leader="none" w:pos="2592" w:val="left"/>
        </w:tabs>
        <w:numPr>
          <w:ilvl w:val="1"/>
          <w:numId w:val="185"/>
        </w:numPr>
        <w:rPr>
          <w:rFonts w:ascii="Arial" w:cs="Arial" w:eastAsia="Arial" w:hAnsi="Arial"/>
          <w:sz w:val="22"/>
          <w:szCs w:val="22"/>
          <w:color w:val="auto"/>
        </w:rPr>
      </w:pPr>
      <w:r>
        <w:rPr>
          <w:rFonts w:ascii="Arial" w:cs="Arial" w:eastAsia="Arial" w:hAnsi="Arial"/>
          <w:sz w:val="22"/>
          <w:szCs w:val="22"/>
          <w:color w:val="auto"/>
        </w:rPr>
        <w:t>The following provisions shall govern the issuance of the Shares (or any replacement or substitute amounts under Paragraph 5) which vest in accordance with the provisions of this Agreement:</w:t>
      </w:r>
    </w:p>
    <w:p>
      <w:pPr>
        <w:spacing w:after="0" w:line="186" w:lineRule="exact"/>
        <w:rPr>
          <w:rFonts w:ascii="Arial" w:cs="Arial" w:eastAsia="Arial" w:hAnsi="Arial"/>
          <w:sz w:val="22"/>
          <w:szCs w:val="22"/>
          <w:color w:val="auto"/>
        </w:rPr>
      </w:pPr>
    </w:p>
    <w:p>
      <w:pPr>
        <w:jc w:val="both"/>
        <w:ind w:left="660" w:firstLine="1940"/>
        <w:spacing w:after="0" w:line="252" w:lineRule="auto"/>
        <w:tabs>
          <w:tab w:leader="none" w:pos="3252" w:val="left"/>
        </w:tabs>
        <w:numPr>
          <w:ilvl w:val="2"/>
          <w:numId w:val="185"/>
        </w:numPr>
        <w:rPr>
          <w:rFonts w:ascii="Arial" w:cs="Arial" w:eastAsia="Arial" w:hAnsi="Arial"/>
          <w:sz w:val="21"/>
          <w:szCs w:val="21"/>
          <w:color w:val="auto"/>
        </w:rPr>
      </w:pPr>
      <w:r>
        <w:rPr>
          <w:rFonts w:ascii="Arial" w:cs="Arial" w:eastAsia="Arial" w:hAnsi="Arial"/>
          <w:sz w:val="21"/>
          <w:szCs w:val="21"/>
          <w:color w:val="auto"/>
        </w:rPr>
        <w:t>On each Vesting and Issuance Date specified in the Award Notice, the Shares underlying the RSUs which vest at that time or which are otherwise deemed to have vested during the twelve (12)-month period ending with that date but have not otherwise been issued in accordance with any other applicable provision of this Paragraph 7(a) shall be issued.</w:t>
      </w:r>
    </w:p>
    <w:p>
      <w:pPr>
        <w:spacing w:after="0" w:line="173" w:lineRule="exact"/>
        <w:rPr>
          <w:rFonts w:ascii="Arial" w:cs="Arial" w:eastAsia="Arial" w:hAnsi="Arial"/>
          <w:sz w:val="21"/>
          <w:szCs w:val="21"/>
          <w:color w:val="auto"/>
        </w:rPr>
      </w:pPr>
    </w:p>
    <w:p>
      <w:pPr>
        <w:jc w:val="both"/>
        <w:ind w:left="660" w:firstLine="1940"/>
        <w:spacing w:after="0" w:line="238" w:lineRule="auto"/>
        <w:tabs>
          <w:tab w:leader="none" w:pos="3252" w:val="left"/>
        </w:tabs>
        <w:numPr>
          <w:ilvl w:val="2"/>
          <w:numId w:val="185"/>
        </w:numPr>
        <w:rPr>
          <w:rFonts w:ascii="Arial" w:cs="Arial" w:eastAsia="Arial" w:hAnsi="Arial"/>
          <w:sz w:val="22"/>
          <w:szCs w:val="22"/>
          <w:color w:val="auto"/>
        </w:rPr>
      </w:pPr>
      <w:r>
        <w:rPr>
          <w:rFonts w:ascii="Arial" w:cs="Arial" w:eastAsia="Arial" w:hAnsi="Arial"/>
          <w:sz w:val="22"/>
          <w:szCs w:val="22"/>
          <w:color w:val="auto"/>
        </w:rPr>
        <w:t>Shares underlying RSUs which vest on an accelerated basis upon the Participant’s cessation of Service under Paragraph 3(b) or 3(c) or upon his or her Involuntary Termination under Paragraph 5(c) shall be issued on the date of Participant’s Separation from Service due to such cessation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68" w:name="page169"/>
    <w:bookmarkEnd w:id="168"/>
    <w:p>
      <w:pPr>
        <w:jc w:val="both"/>
        <w:ind w:left="200"/>
        <w:spacing w:after="0" w:line="249" w:lineRule="auto"/>
        <w:rPr>
          <w:sz w:val="20"/>
          <w:szCs w:val="20"/>
          <w:color w:val="auto"/>
        </w:rPr>
      </w:pPr>
      <w:r>
        <w:rPr>
          <w:rFonts w:ascii="Arial" w:cs="Arial" w:eastAsia="Arial" w:hAnsi="Arial"/>
          <w:sz w:val="21"/>
          <w:szCs w:val="21"/>
          <w:color w:val="auto"/>
        </w:rPr>
        <w:t>Service or Involuntary Termination. Any distribution from the cash retention account to which Participant is entitled under Paragraph 5(c) upon his or her Involuntary Termination shall be paid in a lump sum on the date of his or her Separation from Service due to such Involuntary Termination. However, any issuance or distribution pursuant to the provisions of this subparagraph (ii) shall be subject to the deferred issuance provisions of Paragraph 8, to the extent applicable.</w:t>
      </w:r>
    </w:p>
    <w:p>
      <w:pPr>
        <w:spacing w:after="0" w:line="178" w:lineRule="exact"/>
        <w:rPr>
          <w:sz w:val="20"/>
          <w:szCs w:val="20"/>
          <w:color w:val="auto"/>
        </w:rPr>
      </w:pPr>
    </w:p>
    <w:p>
      <w:pPr>
        <w:jc w:val="both"/>
        <w:ind w:left="200" w:firstLine="1940"/>
        <w:spacing w:after="0" w:line="275" w:lineRule="auto"/>
        <w:tabs>
          <w:tab w:leader="none" w:pos="2792"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Shares underlying RSUs which vest under Paragraph 5(d) shall be converted into the right to receive the same consideration per share of Common Stock payable to the other stockholders of the Corporation in consummation of the Change in Control transaction, and such consideration per Share shall be distributed to Participant upon the </w:t>
      </w:r>
      <w:r>
        <w:rPr>
          <w:rFonts w:ascii="Arial" w:cs="Arial" w:eastAsia="Arial" w:hAnsi="Arial"/>
          <w:sz w:val="19"/>
          <w:szCs w:val="19"/>
          <w:b w:val="1"/>
          <w:bCs w:val="1"/>
          <w:i w:val="1"/>
          <w:iCs w:val="1"/>
          <w:color w:val="auto"/>
        </w:rPr>
        <w:t>earliest</w:t>
      </w:r>
      <w:r>
        <w:rPr>
          <w:rFonts w:ascii="Arial" w:cs="Arial" w:eastAsia="Arial" w:hAnsi="Arial"/>
          <w:sz w:val="19"/>
          <w:szCs w:val="19"/>
          <w:color w:val="auto"/>
        </w:rPr>
        <w:t xml:space="preserve"> to occur of (i) the Vesting and Issuance Date on which the particular Shares to which such consideration relates would have been issued in the absence of such Change in Control, (ii) the date of Participant’s Separation from Service or (iii) the first date following a Qualifying Change in Control on which the distribution can be made without contravention of any applicable provisions of Section 409A of the Code (“Section 409A”).</w:t>
      </w:r>
    </w:p>
    <w:p>
      <w:pPr>
        <w:spacing w:after="0" w:line="157" w:lineRule="exact"/>
        <w:rPr>
          <w:rFonts w:ascii="Arial" w:cs="Arial" w:eastAsia="Arial" w:hAnsi="Arial"/>
          <w:sz w:val="19"/>
          <w:szCs w:val="19"/>
          <w:color w:val="auto"/>
        </w:rPr>
      </w:pPr>
    </w:p>
    <w:p>
      <w:pPr>
        <w:jc w:val="both"/>
        <w:ind w:left="200" w:firstLine="1940"/>
        <w:spacing w:after="0" w:line="272" w:lineRule="auto"/>
        <w:tabs>
          <w:tab w:leader="none" w:pos="2792"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To the extent the consideration payable per share of Common Stock in the Change in Control is in the form of cash, a fully-vested cash retention account shall be established by the successor entity at the time of such Change in Control for any Shares subject to this Award that vest on an accelerated basis under Paragraph 5(d). Such account shall be credited with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8, at a variable per annum rate, compounded semi-annually, equal to the prime rate of interest as in effect from time to time during such period, as determined on the basis of the prime rate quotations published by </w:t>
      </w:r>
      <w:r>
        <w:rPr>
          <w:rFonts w:ascii="Arial" w:cs="Arial" w:eastAsia="Arial" w:hAnsi="Arial"/>
          <w:sz w:val="19"/>
          <w:szCs w:val="19"/>
          <w:b w:val="1"/>
          <w:bCs w:val="1"/>
          <w:i w:val="1"/>
          <w:iCs w:val="1"/>
          <w:color w:val="auto"/>
        </w:rPr>
        <w:t>The Wall Street Journal</w:t>
      </w:r>
      <w:r>
        <w:rPr>
          <w:rFonts w:ascii="Arial" w:cs="Arial" w:eastAsia="Arial" w:hAnsi="Arial"/>
          <w:sz w:val="19"/>
          <w:szCs w:val="19"/>
          <w:color w:val="auto"/>
        </w:rPr>
        <w:t>. The cash retention account, together with all accrued interest thereon through the actual payment date, shall be distributed in accordance with the same distribution provisions in effect under Paragraph 7(a)(iii), and the Participant’s interest in the account shall at all times be that of a general, unsecured creditor.</w:t>
      </w:r>
    </w:p>
    <w:p>
      <w:pPr>
        <w:spacing w:after="0" w:line="160" w:lineRule="exact"/>
        <w:rPr>
          <w:rFonts w:ascii="Arial" w:cs="Arial" w:eastAsia="Arial" w:hAnsi="Arial"/>
          <w:sz w:val="19"/>
          <w:szCs w:val="19"/>
          <w:color w:val="auto"/>
        </w:rPr>
      </w:pPr>
    </w:p>
    <w:p>
      <w:pPr>
        <w:jc w:val="both"/>
        <w:ind w:left="200" w:firstLine="1940"/>
        <w:spacing w:after="0" w:line="287" w:lineRule="auto"/>
        <w:tabs>
          <w:tab w:leader="none" w:pos="2792" w:val="left"/>
        </w:tabs>
        <w:numPr>
          <w:ilvl w:val="0"/>
          <w:numId w:val="186"/>
        </w:numPr>
        <w:rPr>
          <w:rFonts w:ascii="Arial" w:cs="Arial" w:eastAsia="Arial" w:hAnsi="Arial"/>
          <w:sz w:val="19"/>
          <w:szCs w:val="19"/>
          <w:color w:val="auto"/>
        </w:rPr>
      </w:pPr>
      <w:r>
        <w:rPr>
          <w:rFonts w:ascii="Arial" w:cs="Arial" w:eastAsia="Arial" w:hAnsi="Arial"/>
          <w:sz w:val="19"/>
          <w:szCs w:val="19"/>
          <w:color w:val="auto"/>
        </w:rPr>
        <w:t>Any issuance or distribution to be made pursuant to the foregoing provisions of this Paragraph 7(a) shall be made on the designated issuance or distribution date or as soon as administratively practicable thereafter. In no event, however, shall such issuance or distribution be made later than the fifteenth (15th) day of the third (3rd) calendar month following that date.</w:t>
      </w:r>
    </w:p>
    <w:p>
      <w:pPr>
        <w:spacing w:after="0" w:line="142" w:lineRule="exact"/>
        <w:rPr>
          <w:rFonts w:ascii="Arial" w:cs="Arial" w:eastAsia="Arial" w:hAnsi="Arial"/>
          <w:sz w:val="19"/>
          <w:szCs w:val="19"/>
          <w:color w:val="auto"/>
        </w:rPr>
      </w:pPr>
    </w:p>
    <w:p>
      <w:pPr>
        <w:jc w:val="both"/>
        <w:ind w:left="200" w:firstLine="1940"/>
        <w:spacing w:after="0"/>
        <w:tabs>
          <w:tab w:leader="none" w:pos="2792" w:val="left"/>
        </w:tabs>
        <w:numPr>
          <w:ilvl w:val="0"/>
          <w:numId w:val="186"/>
        </w:numPr>
        <w:rPr>
          <w:rFonts w:ascii="Arial" w:cs="Arial" w:eastAsia="Arial" w:hAnsi="Arial"/>
          <w:sz w:val="22"/>
          <w:szCs w:val="22"/>
          <w:color w:val="auto"/>
        </w:rPr>
      </w:pPr>
      <w:r>
        <w:rPr>
          <w:rFonts w:ascii="Arial" w:cs="Arial" w:eastAsia="Arial" w:hAnsi="Arial"/>
          <w:sz w:val="22"/>
          <w:szCs w:val="22"/>
          <w:color w:val="auto"/>
        </w:rPr>
        <w:t>Each issuance or distribution to be made pursuant to this Paragraph 7(a) shall be subject to the Corporation’s collection of all applicable Withholding Taxes, in accordance with the provisions of Paragraphs 7(b) and 7(c).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4" w:right="999" w:bottom="1440" w:gutter="0" w:footer="0" w:header="0"/>
        </w:sectPr>
      </w:pPr>
    </w:p>
    <w:bookmarkStart w:id="169" w:name="page170"/>
    <w:bookmarkEnd w:id="169"/>
    <w:p>
      <w:pPr>
        <w:jc w:val="both"/>
        <w:ind w:left="660" w:firstLine="1940"/>
        <w:spacing w:after="0" w:line="287" w:lineRule="auto"/>
        <w:tabs>
          <w:tab w:leader="none" w:pos="3252" w:val="left"/>
        </w:tabs>
        <w:numPr>
          <w:ilvl w:val="1"/>
          <w:numId w:val="187"/>
        </w:numPr>
        <w:rPr>
          <w:rFonts w:ascii="Arial" w:cs="Arial" w:eastAsia="Arial" w:hAnsi="Arial"/>
          <w:sz w:val="19"/>
          <w:szCs w:val="19"/>
          <w:color w:val="auto"/>
        </w:rPr>
      </w:pPr>
      <w:r>
        <w:rPr>
          <w:rFonts w:ascii="Arial" w:cs="Arial" w:eastAsia="Arial" w:hAnsi="Arial"/>
          <w:sz w:val="19"/>
          <w:szCs w:val="19"/>
          <w:color w:val="auto"/>
        </w:rPr>
        <w:t>Any Shares to be issued to Participant in accordance with the foregoing provisions of this Agreement shall be in the form of a book entry evidencing ownership of those Shares. Actual certificates for any vested Shares evidenced by book entry ownership shall be promptly delivered upon the request of Participant or any other person having an interest at the time in those Shares.</w:t>
      </w:r>
    </w:p>
    <w:p>
      <w:pPr>
        <w:spacing w:after="0" w:line="142" w:lineRule="exact"/>
        <w:rPr>
          <w:rFonts w:ascii="Arial" w:cs="Arial" w:eastAsia="Arial" w:hAnsi="Arial"/>
          <w:sz w:val="19"/>
          <w:szCs w:val="19"/>
          <w:color w:val="auto"/>
        </w:rPr>
      </w:pPr>
    </w:p>
    <w:p>
      <w:pPr>
        <w:jc w:val="both"/>
        <w:ind w:firstLine="1952"/>
        <w:spacing w:after="0" w:line="257" w:lineRule="auto"/>
        <w:tabs>
          <w:tab w:leader="none" w:pos="2592" w:val="left"/>
        </w:tabs>
        <w:numPr>
          <w:ilvl w:val="0"/>
          <w:numId w:val="188"/>
        </w:numPr>
        <w:rPr>
          <w:rFonts w:ascii="Arial" w:cs="Arial" w:eastAsia="Arial" w:hAnsi="Arial"/>
          <w:sz w:val="21"/>
          <w:szCs w:val="21"/>
          <w:color w:val="auto"/>
        </w:rPr>
      </w:pPr>
      <w:r>
        <w:rPr>
          <w:rFonts w:ascii="Arial" w:cs="Arial" w:eastAsia="Arial" w:hAnsi="Arial"/>
          <w:sz w:val="21"/>
          <w:szCs w:val="21"/>
          <w:color w:val="auto"/>
        </w:rPr>
        <w:t>The Corporation shall collect the Withholding Taxes with respect to each non-Share distribution by withholding a portion of that distribution equal to the amount of the applicable Withholding Taxes, with the cash portion of the distribution to be the first portion so withheld.</w:t>
      </w:r>
    </w:p>
    <w:p>
      <w:pPr>
        <w:spacing w:after="0" w:line="169" w:lineRule="exact"/>
        <w:rPr>
          <w:rFonts w:ascii="Arial" w:cs="Arial" w:eastAsia="Arial" w:hAnsi="Arial"/>
          <w:sz w:val="21"/>
          <w:szCs w:val="21"/>
          <w:color w:val="auto"/>
        </w:rPr>
      </w:pPr>
    </w:p>
    <w:p>
      <w:pPr>
        <w:jc w:val="both"/>
        <w:ind w:firstLine="1952"/>
        <w:spacing w:after="0"/>
        <w:tabs>
          <w:tab w:leader="none" w:pos="2592"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following provisions shall govern the US Withholding Taxes on the Shares (or any replacement or substitute securities, property or other amounts under Paragraphs 5 or 6 above) which vest in accordance with the provisions of this Agreement:</w:t>
      </w:r>
    </w:p>
    <w:p>
      <w:pPr>
        <w:spacing w:after="0" w:line="186" w:lineRule="exact"/>
        <w:rPr>
          <w:rFonts w:ascii="Arial" w:cs="Arial" w:eastAsia="Arial" w:hAnsi="Arial"/>
          <w:sz w:val="22"/>
          <w:szCs w:val="22"/>
          <w:color w:val="auto"/>
        </w:rPr>
      </w:pPr>
    </w:p>
    <w:p>
      <w:pPr>
        <w:jc w:val="both"/>
        <w:ind w:left="660" w:firstLine="1940"/>
        <w:spacing w:after="0" w:line="273" w:lineRule="auto"/>
        <w:tabs>
          <w:tab w:leader="none" w:pos="3252" w:val="left"/>
        </w:tabs>
        <w:numPr>
          <w:ilvl w:val="1"/>
          <w:numId w:val="188"/>
        </w:numPr>
        <w:rPr>
          <w:rFonts w:ascii="Arial" w:cs="Arial" w:eastAsia="Arial" w:hAnsi="Arial"/>
          <w:sz w:val="19"/>
          <w:szCs w:val="19"/>
          <w:color w:val="auto"/>
        </w:rPr>
      </w:pPr>
      <w:r>
        <w:rPr>
          <w:rFonts w:ascii="Arial" w:cs="Arial" w:eastAsia="Arial" w:hAnsi="Arial"/>
          <w:sz w:val="19"/>
          <w:szCs w:val="19"/>
          <w:color w:val="auto"/>
        </w:rPr>
        <w:t>The Corporation may, in its sole discretion and subject to the following sentence, establish a procedure to permit the satisfaction of the Withholding Taxes by the Participant in the form of cash and shall inform Participant of any such procedure (the “Alternate Arrangement”). In the event an Alternate Arrangement is approved, Participant shall (i) make satisfactory arrangements with the Corporation’s Human Resources Department, on or before the expiration of the notification period designated by the Corporation preceding each applicable issuance date of the Shares, to pay the applicable Withholding Taxes through the delivery of cash or a cash equivalent to the Corporation in the amount of such Withholding Taxes and (ii) deliver such payment to the Corporation not later than that issuance date. Otherwise the Corporation shall collect the Withholding Taxes applicable to the Share issuance through the automatic share withholding method set forth in Section 7(c)(ii).</w:t>
      </w:r>
    </w:p>
    <w:p>
      <w:pPr>
        <w:spacing w:after="0" w:line="154" w:lineRule="exact"/>
        <w:rPr>
          <w:rFonts w:ascii="Arial" w:cs="Arial" w:eastAsia="Arial" w:hAnsi="Arial"/>
          <w:sz w:val="19"/>
          <w:szCs w:val="19"/>
          <w:color w:val="auto"/>
        </w:rPr>
      </w:pPr>
    </w:p>
    <w:p>
      <w:pPr>
        <w:jc w:val="both"/>
        <w:ind w:left="660" w:firstLine="1940"/>
        <w:spacing w:after="0" w:line="278" w:lineRule="auto"/>
        <w:tabs>
          <w:tab w:leader="none" w:pos="3252" w:val="left"/>
        </w:tabs>
        <w:numPr>
          <w:ilvl w:val="1"/>
          <w:numId w:val="188"/>
        </w:numPr>
        <w:rPr>
          <w:rFonts w:ascii="Arial" w:cs="Arial" w:eastAsia="Arial" w:hAnsi="Arial"/>
          <w:sz w:val="19"/>
          <w:szCs w:val="19"/>
          <w:color w:val="auto"/>
        </w:rPr>
      </w:pPr>
      <w:r>
        <w:rPr>
          <w:rFonts w:ascii="Arial" w:cs="Arial" w:eastAsia="Arial" w:hAnsi="Arial"/>
          <w:sz w:val="19"/>
          <w:szCs w:val="19"/>
          <w:b w:val="1"/>
          <w:bCs w:val="1"/>
          <w:color w:val="auto"/>
        </w:rPr>
        <w:t>Automatic Share Withholding</w:t>
      </w:r>
      <w:r>
        <w:rPr>
          <w:rFonts w:ascii="Arial" w:cs="Arial" w:eastAsia="Arial" w:hAnsi="Arial"/>
          <w:sz w:val="19"/>
          <w:szCs w:val="19"/>
          <w:color w:val="auto"/>
        </w:rPr>
        <w:t>. On each applicable issuance date,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Corporation shall withhold, from the vested Shares otherwise issuable to Participant at that time, a portion of those Shares with a Fair Market Value (measured as of the issuance date) equal to the applicable Withholding Taxes as determined by the Corporation;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that the number of Shares which the Corporation shall be required to so withhold shall not exceed in Fair Market Value the amount necessary to satisfy the Corporation’s required tax withholding obligations using the minimum statutory withholding rates, except as provided in Section 7(c)(iii) below (the “Applicable Withholding Rate”).</w:t>
      </w:r>
    </w:p>
    <w:p>
      <w:pPr>
        <w:spacing w:after="0" w:line="145" w:lineRule="exact"/>
        <w:rPr>
          <w:rFonts w:ascii="Arial" w:cs="Arial" w:eastAsia="Arial" w:hAnsi="Arial"/>
          <w:sz w:val="19"/>
          <w:szCs w:val="19"/>
          <w:color w:val="auto"/>
        </w:rPr>
      </w:pPr>
    </w:p>
    <w:p>
      <w:pPr>
        <w:jc w:val="both"/>
        <w:ind w:left="660" w:firstLine="1940"/>
        <w:spacing w:after="0" w:line="235" w:lineRule="auto"/>
        <w:tabs>
          <w:tab w:leader="none" w:pos="3252" w:val="left"/>
        </w:tabs>
        <w:numPr>
          <w:ilvl w:val="1"/>
          <w:numId w:val="188"/>
        </w:numPr>
        <w:rPr>
          <w:rFonts w:ascii="Arial" w:cs="Arial" w:eastAsia="Arial" w:hAnsi="Arial"/>
          <w:sz w:val="22"/>
          <w:szCs w:val="22"/>
          <w:color w:val="auto"/>
        </w:rPr>
      </w:pPr>
      <w:r>
        <w:rPr>
          <w:rFonts w:ascii="Arial" w:cs="Arial" w:eastAsia="Arial" w:hAnsi="Arial"/>
          <w:sz w:val="22"/>
          <w:szCs w:val="22"/>
          <w:b w:val="1"/>
          <w:bCs w:val="1"/>
          <w:color w:val="auto"/>
        </w:rPr>
        <w:t>Amount of Withholding</w:t>
      </w:r>
      <w:r>
        <w:rPr>
          <w:rFonts w:ascii="Arial" w:cs="Arial" w:eastAsia="Arial" w:hAnsi="Arial"/>
          <w:sz w:val="22"/>
          <w:szCs w:val="22"/>
          <w:color w:val="auto"/>
        </w:rPr>
        <w:t>. The amount which the Corporation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to so withhold shall not exceed in Fair Market Value the amount necessary to satisfy the Corporation’s required tax withholding obligations using the minimum statutory withholding rates for federal and state tax purposes, including payroll taxes, that are applicable to supplemental taxable income. However, Participant may elect an alternate Applicable Withholding Rate equal to the maximum statutory tax rate for the applicable withholding tax in Participant’s applicable jurisdictions (the “Alternate Withholding Rate”).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70" w:name="page171"/>
    <w:bookmarkEnd w:id="170"/>
    <w:p>
      <w:pPr>
        <w:jc w:val="both"/>
        <w:ind w:left="660"/>
        <w:spacing w:after="0" w:line="273" w:lineRule="auto"/>
        <w:rPr>
          <w:sz w:val="20"/>
          <w:szCs w:val="20"/>
          <w:color w:val="auto"/>
        </w:rPr>
      </w:pPr>
      <w:r>
        <w:rPr>
          <w:rFonts w:ascii="Arial" w:cs="Arial" w:eastAsia="Arial" w:hAnsi="Arial"/>
          <w:sz w:val="19"/>
          <w:szCs w:val="19"/>
          <w:color w:val="auto"/>
        </w:rPr>
        <w:t>request an Alternate Withholding Rate, the Participant must complete and return to the Corporation the appropriate Corporation’s Form of Alternate Withholding Rate (the “Alternate Rate Form”) within the required timeframe provided for by the Corporation. The Alternate Rate Form can be obtained from the Corporation’s Human Resources Department. Any election of an Alternate Withholding Rate under an Alternate Rate Form will become the default Applicable Withholding Rate with respect to all of Participant’s outstanding equity awards (including options exercised during the applicable period) until a new Alternate Rate Form is filed with the Corporation in accordance with the administrative procedures provided for by the Corporation. An Alternate Withholding Rate is subject to the Corporation’s approval and can be approved or denied in its sole discretion. Notwithstanding Sections 7(c)(ii) and 7(c)(iii), in the event Participant is determined to be subject to Section 16 of the 1934 Act at the time of settlement, the Alternate Withholding Rate must be approved by the Corporation’s Compensation Committee.</w:t>
      </w:r>
    </w:p>
    <w:p>
      <w:pPr>
        <w:spacing w:after="0" w:line="155" w:lineRule="exact"/>
        <w:rPr>
          <w:sz w:val="20"/>
          <w:szCs w:val="20"/>
          <w:color w:val="auto"/>
        </w:rPr>
      </w:pPr>
    </w:p>
    <w:p>
      <w:pPr>
        <w:jc w:val="both"/>
        <w:ind w:firstLine="1952"/>
        <w:spacing w:after="0" w:line="273" w:lineRule="auto"/>
        <w:tabs>
          <w:tab w:leader="none" w:pos="2592" w:val="left"/>
        </w:tabs>
        <w:numPr>
          <w:ilvl w:val="1"/>
          <w:numId w:val="189"/>
        </w:numPr>
        <w:rPr>
          <w:rFonts w:ascii="Arial" w:cs="Arial" w:eastAsia="Arial" w:hAnsi="Arial"/>
          <w:sz w:val="19"/>
          <w:szCs w:val="19"/>
          <w:color w:val="auto"/>
        </w:rPr>
      </w:pPr>
      <w:r>
        <w:rPr>
          <w:rFonts w:ascii="Arial" w:cs="Arial" w:eastAsia="Arial" w:hAnsi="Arial"/>
          <w:sz w:val="19"/>
          <w:szCs w:val="19"/>
          <w:color w:val="auto"/>
        </w:rPr>
        <w:t>Notwithstanding the foregoing provisions of this Paragraph 7,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7(d) shall be applicable only to the extent necessary to comply with the applicable tax withholding requirements of Section 3121(v) of the Code.</w:t>
      </w:r>
    </w:p>
    <w:p>
      <w:pPr>
        <w:spacing w:after="0" w:line="155" w:lineRule="exact"/>
        <w:rPr>
          <w:rFonts w:ascii="Arial" w:cs="Arial" w:eastAsia="Arial" w:hAnsi="Arial"/>
          <w:sz w:val="19"/>
          <w:szCs w:val="19"/>
          <w:color w:val="auto"/>
        </w:rPr>
      </w:pPr>
    </w:p>
    <w:p>
      <w:pPr>
        <w:jc w:val="both"/>
        <w:ind w:firstLine="1952"/>
        <w:spacing w:after="0" w:line="236" w:lineRule="auto"/>
        <w:tabs>
          <w:tab w:leader="none" w:pos="2592" w:val="left"/>
        </w:tabs>
        <w:numPr>
          <w:ilvl w:val="1"/>
          <w:numId w:val="189"/>
        </w:numPr>
        <w:rPr>
          <w:rFonts w:ascii="Arial" w:cs="Arial" w:eastAsia="Arial" w:hAnsi="Arial"/>
          <w:sz w:val="22"/>
          <w:szCs w:val="22"/>
          <w:color w:val="auto"/>
        </w:rPr>
      </w:pPr>
      <w:r>
        <w:rPr>
          <w:rFonts w:ascii="Arial" w:cs="Arial" w:eastAsia="Arial" w:hAnsi="Arial"/>
          <w:sz w:val="22"/>
          <w:szCs w:val="22"/>
          <w:color w:val="auto"/>
        </w:rPr>
        <w:t>Except as otherwise provided in Paragraph 5 or this Paragraph 7, the settlement of all restricted stock units which vest under the Award shall be made solely in shares of Common Stock. In no event, however, shall any fractional shares be issued. Accordingly, the total number of shares of Common Stock to be issued at the time the Award vests shall, to the extent necessary, be rounded up to the next whole share in order to avoid the issuance of a fractional share.</w:t>
      </w:r>
    </w:p>
    <w:p>
      <w:pPr>
        <w:spacing w:after="0" w:line="181" w:lineRule="exact"/>
        <w:rPr>
          <w:rFonts w:ascii="Arial" w:cs="Arial" w:eastAsia="Arial" w:hAnsi="Arial"/>
          <w:sz w:val="22"/>
          <w:szCs w:val="22"/>
          <w:color w:val="auto"/>
        </w:rPr>
      </w:pPr>
    </w:p>
    <w:p>
      <w:pPr>
        <w:jc w:val="both"/>
        <w:ind w:firstLine="1304"/>
        <w:spacing w:after="0" w:line="243" w:lineRule="auto"/>
        <w:tabs>
          <w:tab w:leader="none" w:pos="1944" w:val="left"/>
        </w:tabs>
        <w:numPr>
          <w:ilvl w:val="0"/>
          <w:numId w:val="190"/>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 Notwithstanding any provision to the contrary in this Agreement,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extent this Award may be deemed to create a deferred compensation arrangement under Section 409A, then the following limitation and provisions shall apply:</w:t>
      </w:r>
    </w:p>
    <w:p>
      <w:pPr>
        <w:spacing w:after="0" w:line="182" w:lineRule="exact"/>
        <w:rPr>
          <w:rFonts w:ascii="Arial" w:cs="Arial" w:eastAsia="Arial" w:hAnsi="Arial"/>
          <w:sz w:val="22"/>
          <w:szCs w:val="22"/>
          <w:color w:val="auto"/>
        </w:rPr>
      </w:pPr>
    </w:p>
    <w:p>
      <w:pPr>
        <w:jc w:val="both"/>
        <w:ind w:firstLine="1952"/>
        <w:spacing w:after="0" w:line="279" w:lineRule="auto"/>
        <w:tabs>
          <w:tab w:leader="none" w:pos="2592" w:val="left"/>
        </w:tabs>
        <w:numPr>
          <w:ilvl w:val="1"/>
          <w:numId w:val="190"/>
        </w:numPr>
        <w:rPr>
          <w:rFonts w:ascii="Arial" w:cs="Arial" w:eastAsia="Arial" w:hAnsi="Arial"/>
          <w:sz w:val="19"/>
          <w:szCs w:val="19"/>
          <w:color w:val="auto"/>
        </w:rPr>
      </w:pPr>
      <w:r>
        <w:rPr>
          <w:rFonts w:ascii="Arial" w:cs="Arial" w:eastAsia="Arial" w:hAnsi="Arial"/>
          <w:sz w:val="19"/>
          <w:szCs w:val="19"/>
          <w:color w:val="auto"/>
        </w:rPr>
        <w:t xml:space="preserve">No Shares or other amounts which become issuable or distributable under this Agreement upon Participant’s Separation from Service shall actually be issued or distributed to Participant prior to the </w:t>
      </w:r>
      <w:r>
        <w:rPr>
          <w:rFonts w:ascii="Arial" w:cs="Arial" w:eastAsia="Arial" w:hAnsi="Arial"/>
          <w:sz w:val="19"/>
          <w:szCs w:val="19"/>
          <w:b w:val="1"/>
          <w:bCs w:val="1"/>
          <w:i w:val="1"/>
          <w:iCs w:val="1"/>
          <w:color w:val="auto"/>
        </w:rPr>
        <w:t>earlier</w:t>
      </w:r>
      <w:r>
        <w:rPr>
          <w:rFonts w:ascii="Arial" w:cs="Arial" w:eastAsia="Arial" w:hAnsi="Arial"/>
          <w:sz w:val="19"/>
          <w:szCs w:val="19"/>
          <w:color w:val="auto"/>
        </w:rPr>
        <w:t xml:space="preserve"> of (i) the first (1st) day of the seventh (7th) month following the date of such Separation from Service or (ii) the date of Participant’s death, if Participant is deemed at the time of such Separation from Service to be a specified employee under Section 1.409A-1(i) of the Treasury Regulations issued under Section 409A, as determined by the Plan Administrator in accordance with consistent and uniform standards applied to all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71" w:name="page172"/>
    <w:bookmarkEnd w:id="171"/>
    <w:p>
      <w:pPr>
        <w:jc w:val="both"/>
        <w:spacing w:after="0" w:line="235" w:lineRule="auto"/>
        <w:rPr>
          <w:sz w:val="20"/>
          <w:szCs w:val="20"/>
          <w:color w:val="auto"/>
        </w:rPr>
      </w:pPr>
      <w:r>
        <w:rPr>
          <w:rFonts w:ascii="Arial" w:cs="Arial" w:eastAsia="Arial" w:hAnsi="Arial"/>
          <w:sz w:val="22"/>
          <w:szCs w:val="22"/>
          <w:color w:val="auto"/>
        </w:rPr>
        <w:t>Section 409A arrangements of the Corporation subject to Section 409A, and such delayed commencement is otherwise required in order to avoid a prohibited distribution under Section 409A(a)(2) of the Code. The deferred Shares or other distributable amount shall be issued or distributed in a lump sum on or within sixty (60) days after the first (1st) day of the seventh (7th) month following the date of Participant’s Separation from Service or, if earlier, the first day of the month immediately following the date the Corporation receives proof of Participant’s death.</w:t>
      </w:r>
    </w:p>
    <w:p>
      <w:pPr>
        <w:spacing w:after="0" w:line="188" w:lineRule="exact"/>
        <w:rPr>
          <w:sz w:val="20"/>
          <w:szCs w:val="20"/>
          <w:color w:val="auto"/>
        </w:rPr>
      </w:pPr>
    </w:p>
    <w:p>
      <w:pPr>
        <w:jc w:val="both"/>
        <w:ind w:firstLine="1952"/>
        <w:spacing w:after="0"/>
        <w:tabs>
          <w:tab w:leader="none" w:pos="2592" w:val="left"/>
        </w:tabs>
        <w:numPr>
          <w:ilvl w:val="1"/>
          <w:numId w:val="191"/>
        </w:numPr>
        <w:rPr>
          <w:rFonts w:ascii="Arial" w:cs="Arial" w:eastAsia="Arial" w:hAnsi="Arial"/>
          <w:sz w:val="22"/>
          <w:szCs w:val="22"/>
          <w:color w:val="auto"/>
        </w:rPr>
      </w:pPr>
      <w:r>
        <w:rPr>
          <w:rFonts w:ascii="Arial" w:cs="Arial" w:eastAsia="Arial" w:hAnsi="Arial"/>
          <w:sz w:val="22"/>
          <w:szCs w:val="22"/>
          <w:color w:val="auto"/>
        </w:rPr>
        <w:t>Participant’s right to receive each installment of Shares or other installment distribution pursuant to the terms of this Agreement shall, for purposes of Section 409A, be treated as a right to receive a series of separate payments.</w:t>
      </w:r>
    </w:p>
    <w:p>
      <w:pPr>
        <w:spacing w:after="0" w:line="180" w:lineRule="exact"/>
        <w:rPr>
          <w:rFonts w:ascii="Arial" w:cs="Arial" w:eastAsia="Arial" w:hAnsi="Arial"/>
          <w:sz w:val="22"/>
          <w:szCs w:val="22"/>
          <w:color w:val="auto"/>
        </w:rPr>
      </w:pPr>
    </w:p>
    <w:p>
      <w:pPr>
        <w:jc w:val="both"/>
        <w:ind w:firstLine="1304"/>
        <w:spacing w:after="0" w:line="239" w:lineRule="auto"/>
        <w:tabs>
          <w:tab w:leader="none" w:pos="1944" w:val="left"/>
        </w:tabs>
        <w:numPr>
          <w:ilvl w:val="0"/>
          <w:numId w:val="192"/>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Laws and Regulations</w:t>
      </w:r>
      <w:r>
        <w:rPr>
          <w:rFonts w:ascii="Arial" w:cs="Arial" w:eastAsia="Arial" w:hAnsi="Arial"/>
          <w:sz w:val="22"/>
          <w:szCs w:val="22"/>
          <w:color w:val="auto"/>
        </w:rPr>
        <w:t>. The issuance of shares of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80" w:lineRule="exact"/>
        <w:rPr>
          <w:rFonts w:ascii="Arial" w:cs="Arial" w:eastAsia="Arial" w:hAnsi="Arial"/>
          <w:sz w:val="22"/>
          <w:szCs w:val="22"/>
          <w:color w:val="auto"/>
        </w:rPr>
      </w:pPr>
    </w:p>
    <w:p>
      <w:pPr>
        <w:jc w:val="both"/>
        <w:ind w:firstLine="1304"/>
        <w:spacing w:after="0" w:line="274" w:lineRule="auto"/>
        <w:tabs>
          <w:tab w:leader="none" w:pos="1944" w:val="left"/>
        </w:tabs>
        <w:numPr>
          <w:ilvl w:val="0"/>
          <w:numId w:val="192"/>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color w:val="auto"/>
        </w:rPr>
        <w:t>. Notwithstanding anything to the contrary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however, </w:t>
      </w:r>
      <w:r>
        <w:rPr>
          <w:rFonts w:ascii="Arial" w:cs="Arial" w:eastAsia="Arial" w:hAnsi="Arial"/>
          <w:sz w:val="19"/>
          <w:szCs w:val="19"/>
          <w:color w:val="auto"/>
        </w:rPr>
        <w:t>that in the event there is any conflict between the issuance or distribution provisions of this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and the issuance or distribution provisions of the Change in Control Benefits Agreement, the issuance and distribution provisions of this Agreement shall be controlling.</w:t>
      </w:r>
    </w:p>
    <w:p>
      <w:pPr>
        <w:spacing w:after="0" w:line="151" w:lineRule="exact"/>
        <w:rPr>
          <w:rFonts w:ascii="Arial" w:cs="Arial" w:eastAsia="Arial" w:hAnsi="Arial"/>
          <w:sz w:val="19"/>
          <w:szCs w:val="19"/>
          <w:color w:val="auto"/>
        </w:rPr>
      </w:pPr>
    </w:p>
    <w:p>
      <w:pPr>
        <w:jc w:val="both"/>
        <w:ind w:firstLine="1304"/>
        <w:spacing w:after="0" w:line="283" w:lineRule="auto"/>
        <w:tabs>
          <w:tab w:leader="none" w:pos="1944" w:val="left"/>
        </w:tabs>
        <w:numPr>
          <w:ilvl w:val="0"/>
          <w:numId w:val="192"/>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required to be given or delivered to the Corporation under the terms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in writing and addressed to the Corporation at its principal corporate offices. Any notice required to be given or delivered to Participant shall be in writing and addressed to Participant at the address on file with the Corporation’s Human Resources Department. All notices shall be deemed effective upon personal delivery or upon deposit in the U.S. mail, postage prepaid and properly addressed to the party to be notified.</w:t>
      </w:r>
    </w:p>
    <w:p>
      <w:pPr>
        <w:spacing w:after="0" w:line="142" w:lineRule="exact"/>
        <w:rPr>
          <w:rFonts w:ascii="Arial" w:cs="Arial" w:eastAsia="Arial" w:hAnsi="Arial"/>
          <w:sz w:val="19"/>
          <w:szCs w:val="19"/>
          <w:color w:val="auto"/>
        </w:rPr>
      </w:pPr>
    </w:p>
    <w:p>
      <w:pPr>
        <w:jc w:val="both"/>
        <w:ind w:firstLine="1304"/>
        <w:spacing w:after="0" w:line="289" w:lineRule="auto"/>
        <w:tabs>
          <w:tab w:leader="none" w:pos="1944" w:val="left"/>
        </w:tabs>
        <w:numPr>
          <w:ilvl w:val="0"/>
          <w:numId w:val="192"/>
        </w:numPr>
        <w:rPr>
          <w:rFonts w:ascii="Arial" w:cs="Arial" w:eastAsia="Arial" w:hAnsi="Arial"/>
          <w:sz w:val="19"/>
          <w:szCs w:val="19"/>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color w:val="auto"/>
        </w:rPr>
        <w:t>. Except to the extent otherwise provided in this Agreement,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35" w:lineRule="exact"/>
        <w:rPr>
          <w:rFonts w:ascii="Arial" w:cs="Arial" w:eastAsia="Arial" w:hAnsi="Arial"/>
          <w:sz w:val="19"/>
          <w:szCs w:val="19"/>
          <w:color w:val="auto"/>
        </w:rPr>
      </w:pPr>
    </w:p>
    <w:p>
      <w:pPr>
        <w:ind w:left="1960" w:hanging="656"/>
        <w:spacing w:after="0"/>
        <w:tabs>
          <w:tab w:leader="none" w:pos="1960" w:val="left"/>
        </w:tabs>
        <w:numPr>
          <w:ilvl w:val="0"/>
          <w:numId w:val="192"/>
        </w:numPr>
        <w:rPr>
          <w:rFonts w:ascii="Arial" w:cs="Arial" w:eastAsia="Arial" w:hAnsi="Arial"/>
          <w:sz w:val="22"/>
          <w:szCs w:val="22"/>
          <w:color w:val="auto"/>
        </w:rPr>
      </w:pPr>
      <w:r>
        <w:rPr>
          <w:rFonts w:ascii="Arial" w:cs="Arial" w:eastAsia="Arial" w:hAnsi="Arial"/>
          <w:sz w:val="22"/>
          <w:szCs w:val="22"/>
          <w:b w:val="1"/>
          <w:bCs w:val="1"/>
          <w:u w:val="single" w:color="auto"/>
          <w:color w:val="auto"/>
        </w:rPr>
        <w:t>Construction</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right="20" w:firstLine="1952"/>
        <w:spacing w:after="0" w:line="250" w:lineRule="auto"/>
        <w:tabs>
          <w:tab w:leader="none" w:pos="2592" w:val="left"/>
        </w:tabs>
        <w:numPr>
          <w:ilvl w:val="1"/>
          <w:numId w:val="192"/>
        </w:numPr>
        <w:rPr>
          <w:rFonts w:ascii="Arial" w:cs="Arial" w:eastAsia="Arial" w:hAnsi="Arial"/>
          <w:sz w:val="22"/>
          <w:szCs w:val="22"/>
          <w:color w:val="auto"/>
        </w:rPr>
      </w:pPr>
      <w:r>
        <w:rPr>
          <w:rFonts w:ascii="Arial" w:cs="Arial" w:eastAsia="Arial" w:hAnsi="Arial"/>
          <w:sz w:val="22"/>
          <w:szCs w:val="22"/>
          <w:color w:val="auto"/>
        </w:rPr>
        <w:t>This Agreement and the Award evidenced hereby are made and granted pursuant to the Plan and are in all respects limited by and subject to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72" w:name="page173"/>
    <w:bookmarkEnd w:id="172"/>
    <w:p>
      <w:pPr>
        <w:jc w:val="both"/>
        <w:spacing w:after="0"/>
        <w:rPr>
          <w:sz w:val="20"/>
          <w:szCs w:val="20"/>
          <w:color w:val="auto"/>
        </w:rPr>
      </w:pPr>
      <w:r>
        <w:rPr>
          <w:rFonts w:ascii="Arial" w:cs="Arial" w:eastAsia="Arial" w:hAnsi="Arial"/>
          <w:sz w:val="22"/>
          <w:szCs w:val="22"/>
          <w:color w:val="auto"/>
        </w:rPr>
        <w:t>and any applicable Change in Control Benefits Agreement. All decisions of the Plan Administrator with respect to any question or issue arising under the Plan or this Agreement shall be conclusive and binding on all persons having an interest in the Award.</w:t>
      </w:r>
    </w:p>
    <w:p>
      <w:pPr>
        <w:spacing w:after="0" w:line="186" w:lineRule="exact"/>
        <w:rPr>
          <w:sz w:val="20"/>
          <w:szCs w:val="20"/>
          <w:color w:val="auto"/>
        </w:rPr>
      </w:pPr>
    </w:p>
    <w:p>
      <w:pPr>
        <w:jc w:val="both"/>
        <w:ind w:firstLine="1952"/>
        <w:spacing w:after="0" w:line="287" w:lineRule="auto"/>
        <w:tabs>
          <w:tab w:leader="none" w:pos="2592" w:val="left"/>
        </w:tabs>
        <w:numPr>
          <w:ilvl w:val="1"/>
          <w:numId w:val="193"/>
        </w:numPr>
        <w:rPr>
          <w:rFonts w:ascii="Arial" w:cs="Arial" w:eastAsia="Arial" w:hAnsi="Arial"/>
          <w:sz w:val="19"/>
          <w:szCs w:val="19"/>
          <w:color w:val="auto"/>
        </w:rPr>
      </w:pPr>
      <w:r>
        <w:rPr>
          <w:rFonts w:ascii="Arial" w:cs="Arial" w:eastAsia="Arial" w:hAnsi="Arial"/>
          <w:sz w:val="19"/>
          <w:szCs w:val="19"/>
          <w:color w:val="auto"/>
        </w:rPr>
        <w:t>To the extent there is any ambiguity as to whether any provision of this Agreement would otherwise contravene one or more applicable requirements or limitations of Section 409A and the Treasury Regulations thereunder, such provision shall be interpreted and applied in a manner that complies with the applicable requirements of Section 409A and the Treasury Regulations thereunder.</w:t>
      </w:r>
    </w:p>
    <w:p>
      <w:pPr>
        <w:spacing w:after="0" w:line="142" w:lineRule="exact"/>
        <w:rPr>
          <w:rFonts w:ascii="Arial" w:cs="Arial" w:eastAsia="Arial" w:hAnsi="Arial"/>
          <w:sz w:val="19"/>
          <w:szCs w:val="19"/>
          <w:color w:val="auto"/>
        </w:rPr>
      </w:pPr>
    </w:p>
    <w:p>
      <w:pPr>
        <w:jc w:val="both"/>
        <w:ind w:firstLine="1952"/>
        <w:spacing w:after="0"/>
        <w:tabs>
          <w:tab w:leader="none" w:pos="2592" w:val="left"/>
        </w:tabs>
        <w:numPr>
          <w:ilvl w:val="1"/>
          <w:numId w:val="193"/>
        </w:numPr>
        <w:rPr>
          <w:rFonts w:ascii="Arial" w:cs="Arial" w:eastAsia="Arial" w:hAnsi="Arial"/>
          <w:sz w:val="22"/>
          <w:szCs w:val="22"/>
          <w:color w:val="auto"/>
        </w:rPr>
      </w:pPr>
      <w:r>
        <w:rPr>
          <w:rFonts w:ascii="Arial" w:cs="Arial" w:eastAsia="Arial" w:hAnsi="Arial"/>
          <w:sz w:val="22"/>
          <w:szCs w:val="22"/>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80" w:lineRule="exact"/>
        <w:rPr>
          <w:rFonts w:ascii="Arial" w:cs="Arial" w:eastAsia="Arial" w:hAnsi="Arial"/>
          <w:sz w:val="22"/>
          <w:szCs w:val="22"/>
          <w:color w:val="auto"/>
        </w:rPr>
      </w:pPr>
    </w:p>
    <w:p>
      <w:pPr>
        <w:ind w:firstLine="1304"/>
        <w:spacing w:after="0" w:line="280" w:lineRule="auto"/>
        <w:tabs>
          <w:tab w:leader="none" w:pos="1944" w:val="left"/>
        </w:tabs>
        <w:numPr>
          <w:ilvl w:val="0"/>
          <w:numId w:val="194"/>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The interpretation, performance and enforcement of this Agreement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 governed by the laws of the State of Hawaii without regard to that State’s conflict-of-laws rules.</w:t>
      </w:r>
    </w:p>
    <w:p>
      <w:pPr>
        <w:spacing w:after="0" w:line="138" w:lineRule="exact"/>
        <w:rPr>
          <w:rFonts w:ascii="Arial" w:cs="Arial" w:eastAsia="Arial" w:hAnsi="Arial"/>
          <w:sz w:val="21"/>
          <w:szCs w:val="21"/>
          <w:color w:val="auto"/>
        </w:rPr>
      </w:pPr>
    </w:p>
    <w:p>
      <w:pPr>
        <w:ind w:left="1960" w:hanging="656"/>
        <w:spacing w:after="0"/>
        <w:tabs>
          <w:tab w:leader="none" w:pos="1960" w:val="left"/>
        </w:tabs>
        <w:numPr>
          <w:ilvl w:val="0"/>
          <w:numId w:val="194"/>
        </w:numPr>
        <w:rPr>
          <w:rFonts w:ascii="Arial" w:cs="Arial" w:eastAsia="Arial" w:hAnsi="Arial"/>
          <w:sz w:val="22"/>
          <w:szCs w:val="22"/>
          <w:color w:val="auto"/>
        </w:rPr>
      </w:pPr>
      <w:r>
        <w:rPr>
          <w:rFonts w:ascii="Arial" w:cs="Arial" w:eastAsia="Arial" w:hAnsi="Arial"/>
          <w:sz w:val="22"/>
          <w:szCs w:val="22"/>
          <w:b w:val="1"/>
          <w:bCs w:val="1"/>
          <w:u w:val="single" w:color="auto"/>
          <w:color w:val="auto"/>
        </w:rPr>
        <w:t>Arbitration.</w:t>
      </w:r>
    </w:p>
    <w:p>
      <w:pPr>
        <w:spacing w:after="0" w:line="212" w:lineRule="exact"/>
        <w:rPr>
          <w:rFonts w:ascii="Arial" w:cs="Arial" w:eastAsia="Arial" w:hAnsi="Arial"/>
          <w:sz w:val="22"/>
          <w:szCs w:val="22"/>
          <w:color w:val="auto"/>
        </w:rPr>
      </w:pPr>
    </w:p>
    <w:p>
      <w:pPr>
        <w:jc w:val="both"/>
        <w:ind w:firstLine="1952"/>
        <w:spacing w:after="0" w:line="269" w:lineRule="auto"/>
        <w:tabs>
          <w:tab w:leader="none" w:pos="2592" w:val="left"/>
        </w:tabs>
        <w:numPr>
          <w:ilvl w:val="1"/>
          <w:numId w:val="194"/>
        </w:numPr>
        <w:rPr>
          <w:rFonts w:ascii="Arial" w:cs="Arial" w:eastAsia="Arial" w:hAnsi="Arial"/>
          <w:sz w:val="19"/>
          <w:szCs w:val="19"/>
          <w:color w:val="auto"/>
        </w:rPr>
      </w:pPr>
      <w:r>
        <w:rPr>
          <w:rFonts w:ascii="Arial" w:cs="Arial" w:eastAsia="Arial" w:hAnsi="Arial"/>
          <w:sz w:val="19"/>
          <w:szCs w:val="19"/>
          <w:color w:val="auto"/>
        </w:rPr>
        <w:t>Any dispute or controversy arising under or in connection with this Agreement shall be settled exclusively by arbitration, conducted before a single arbitrator who is an attorney or retired judge with expertise and experience in the field of employment law. The arbitration shall be held under the auspices of JAMS in accordance with JAMS then-current Employment Arbitration Rules and Procedures (available at http://www.jamsadr.com/rules-employment-arbitration/) and subject to JAMS Policy on Employment Arbitration Minimum Standards of Procedural Fairness. The arbitration shall take place in or near the city in which Participant is employed by the Corporation or was last employed by the Corporation. The arbitrator shall make a written award and shall prepare a written opinion containing the findings and conclusions on which the award was based. The decision of the arbitrator will be final and binding upon the parties hereto. Judgment may be entered on the arbitrator’s award in any court having jurisdiction. The parties acknowledge and agree that in connection with any such arbitration and regardless of outcome, (a) each party shall pay all of its own costs and expenses, including, without limitation, its own legal fees and expenses, and (b) the arbitration costs shall be borne entirely by the Corporation. The arbitration shall be confidential and no details concerning such arbitration shall be disclosed or released to any third party without the specific written consent of the non-disclosing party, unless required by law or court order, as necessary to prosecute or defend the arbitration, or in connection with enforcement of any decision in such arbitration. This agreement to arbitrate is mutually entered into between the parties. Each party fully understands and agrees that they are giving up certain rights otherwise afforded to them by civil court actions, including but not limited to the right to a jury trial. Nothing in this Agreement shall prevent Participant from filing charges or claims with the Equal Employment Opportunity Commission, the U.S. Department of Labor, or any other federal, state or local government agency. However, Participant may seek individual monetary relief only through arbitration under this Agreement. The Corporation and Participant further agree that any claim submitted to arbitration must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73" w:name="page174"/>
    <w:bookmarkEnd w:id="173"/>
    <w:p>
      <w:pPr>
        <w:ind w:right="20"/>
        <w:spacing w:after="0" w:line="250" w:lineRule="auto"/>
        <w:rPr>
          <w:sz w:val="20"/>
          <w:szCs w:val="20"/>
          <w:color w:val="auto"/>
        </w:rPr>
      </w:pPr>
      <w:r>
        <w:rPr>
          <w:rFonts w:ascii="Arial" w:cs="Arial" w:eastAsia="Arial" w:hAnsi="Arial"/>
          <w:sz w:val="22"/>
          <w:szCs w:val="22"/>
          <w:color w:val="auto"/>
        </w:rPr>
        <w:t>brought in the party’s individual capacity, and not as a plaintiff or class member in any purported class, representative or consolidated proceeding.</w:t>
      </w:r>
    </w:p>
    <w:p>
      <w:pPr>
        <w:spacing w:after="0" w:line="175" w:lineRule="exact"/>
        <w:rPr>
          <w:sz w:val="20"/>
          <w:szCs w:val="20"/>
          <w:color w:val="auto"/>
        </w:rPr>
      </w:pPr>
    </w:p>
    <w:p>
      <w:pPr>
        <w:ind w:right="20" w:firstLine="1952"/>
        <w:spacing w:after="0" w:line="274" w:lineRule="auto"/>
        <w:tabs>
          <w:tab w:leader="none" w:pos="2592" w:val="left"/>
        </w:tabs>
        <w:numPr>
          <w:ilvl w:val="1"/>
          <w:numId w:val="195"/>
        </w:numPr>
        <w:rPr>
          <w:rFonts w:ascii="Arial" w:cs="Arial" w:eastAsia="Arial" w:hAnsi="Arial"/>
          <w:sz w:val="21"/>
          <w:szCs w:val="21"/>
          <w:color w:val="auto"/>
        </w:rPr>
      </w:pPr>
      <w:r>
        <w:rPr>
          <w:rFonts w:ascii="Arial" w:cs="Arial" w:eastAsia="Arial" w:hAnsi="Arial"/>
          <w:sz w:val="21"/>
          <w:szCs w:val="21"/>
          <w:color w:val="auto"/>
        </w:rPr>
        <w:t>Each party fully understands and agrees that they are giving up certain rights otherwise afforded to them by civil court actions, including but not limited to the right to a jury trial.</w:t>
      </w:r>
    </w:p>
    <w:p>
      <w:pPr>
        <w:spacing w:after="0" w:line="144" w:lineRule="exact"/>
        <w:rPr>
          <w:rFonts w:ascii="Arial" w:cs="Arial" w:eastAsia="Arial" w:hAnsi="Arial"/>
          <w:sz w:val="21"/>
          <w:szCs w:val="21"/>
          <w:color w:val="auto"/>
        </w:rPr>
      </w:pPr>
    </w:p>
    <w:p>
      <w:pPr>
        <w:jc w:val="both"/>
        <w:ind w:firstLine="1304"/>
        <w:spacing w:after="0" w:line="249" w:lineRule="auto"/>
        <w:tabs>
          <w:tab w:leader="none" w:pos="1944" w:val="left"/>
        </w:tabs>
        <w:numPr>
          <w:ilvl w:val="0"/>
          <w:numId w:val="196"/>
        </w:numPr>
        <w:rPr>
          <w:rFonts w:ascii="Arial" w:cs="Arial" w:eastAsia="Arial" w:hAnsi="Arial"/>
          <w:sz w:val="21"/>
          <w:szCs w:val="21"/>
          <w:color w:val="auto"/>
        </w:rPr>
      </w:pPr>
      <w:r>
        <w:rPr>
          <w:rFonts w:ascii="Arial" w:cs="Arial" w:eastAsia="Arial" w:hAnsi="Arial"/>
          <w:sz w:val="21"/>
          <w:szCs w:val="21"/>
          <w:b w:val="1"/>
          <w:bCs w:val="1"/>
          <w:u w:val="single" w:color="auto"/>
          <w:color w:val="auto"/>
        </w:rPr>
        <w:t>Coverage under Recoupment Policy</w:t>
      </w:r>
      <w:r>
        <w:rPr>
          <w:rFonts w:ascii="Arial" w:cs="Arial" w:eastAsia="Arial" w:hAnsi="Arial"/>
          <w:sz w:val="21"/>
          <w:szCs w:val="21"/>
          <w:color w:val="auto"/>
        </w:rPr>
        <w:t>. If Participant is on the Award Date, or at any time</w:t>
      </w:r>
      <w:r>
        <w:rPr>
          <w:rFonts w:ascii="Arial" w:cs="Arial" w:eastAsia="Arial" w:hAnsi="Arial"/>
          <w:sz w:val="21"/>
          <w:szCs w:val="21"/>
          <w:b w:val="1"/>
          <w:bCs w:val="1"/>
          <w:color w:val="auto"/>
        </w:rPr>
        <w:t xml:space="preserve"> </w:t>
      </w:r>
      <w:r>
        <w:rPr>
          <w:rFonts w:ascii="Arial" w:cs="Arial" w:eastAsia="Arial" w:hAnsi="Arial"/>
          <w:sz w:val="21"/>
          <w:szCs w:val="21"/>
          <w:color w:val="auto"/>
        </w:rPr>
        <w:t>thereafter becomes an executive officer of the Corporation subject to Section 16 of the 1934 Act, then Participant shall be subject to the Matson, Inc. Policy Regarding Recoupment of Certain Compensation, as amended from time to time (the “Recoupment Policy”), the terms of which are hereby incorporated herein by reference and receipt of a copy of which Participant hereby acknowledges. A copy of the Recoupment Policy is available upon request made to the Corporate Secretary.</w:t>
      </w:r>
    </w:p>
    <w:p>
      <w:pPr>
        <w:spacing w:after="0" w:line="170" w:lineRule="exact"/>
        <w:rPr>
          <w:rFonts w:ascii="Arial" w:cs="Arial" w:eastAsia="Arial" w:hAnsi="Arial"/>
          <w:sz w:val="21"/>
          <w:szCs w:val="21"/>
          <w:color w:val="auto"/>
        </w:rPr>
      </w:pPr>
    </w:p>
    <w:p>
      <w:pPr>
        <w:ind w:left="1960" w:hanging="656"/>
        <w:spacing w:after="0"/>
        <w:tabs>
          <w:tab w:leader="none" w:pos="1960" w:val="left"/>
        </w:tabs>
        <w:numPr>
          <w:ilvl w:val="0"/>
          <w:numId w:val="196"/>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line="238" w:lineRule="auto"/>
        <w:tabs>
          <w:tab w:leader="none" w:pos="2592" w:val="left"/>
        </w:tabs>
        <w:numPr>
          <w:ilvl w:val="1"/>
          <w:numId w:val="196"/>
        </w:numPr>
        <w:rPr>
          <w:rFonts w:ascii="Arial" w:cs="Arial" w:eastAsia="Arial" w:hAnsi="Arial"/>
          <w:sz w:val="22"/>
          <w:szCs w:val="22"/>
          <w:color w:val="auto"/>
        </w:rPr>
      </w:pPr>
      <w:r>
        <w:rPr>
          <w:rFonts w:ascii="Arial" w:cs="Arial" w:eastAsia="Arial" w:hAnsi="Arial"/>
          <w:sz w:val="22"/>
          <w:szCs w:val="22"/>
          <w:color w:val="auto"/>
        </w:rPr>
        <w:t>Participant hereby explicitly and unambiguously consents to the collection, use and transfer, in electronic or other form, of Participant’s personal data as described in this Agreement by the Corporation for the exclusive purpose of implementing, administering and managing Participant’s participation in the Plan.</w:t>
      </w:r>
    </w:p>
    <w:p>
      <w:pPr>
        <w:spacing w:after="0" w:line="184" w:lineRule="exact"/>
        <w:rPr>
          <w:rFonts w:ascii="Arial" w:cs="Arial" w:eastAsia="Arial" w:hAnsi="Arial"/>
          <w:sz w:val="22"/>
          <w:szCs w:val="22"/>
          <w:color w:val="auto"/>
        </w:rPr>
      </w:pPr>
    </w:p>
    <w:p>
      <w:pPr>
        <w:jc w:val="both"/>
        <w:ind w:firstLine="1952"/>
        <w:spacing w:after="0" w:line="271" w:lineRule="auto"/>
        <w:tabs>
          <w:tab w:leader="none" w:pos="2592" w:val="left"/>
        </w:tabs>
        <w:numPr>
          <w:ilvl w:val="1"/>
          <w:numId w:val="196"/>
        </w:numPr>
        <w:rPr>
          <w:rFonts w:ascii="Arial" w:cs="Arial" w:eastAsia="Arial" w:hAnsi="Arial"/>
          <w:sz w:val="19"/>
          <w:szCs w:val="19"/>
          <w:color w:val="auto"/>
        </w:rPr>
      </w:pPr>
      <w:r>
        <w:rPr>
          <w:rFonts w:ascii="Arial" w:cs="Arial" w:eastAsia="Arial" w:hAnsi="Arial"/>
          <w:sz w:val="19"/>
          <w:szCs w:val="19"/>
          <w:color w:val="auto"/>
        </w:rPr>
        <w:t>Participant understands that the Corporation holds certain personal 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 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 in electronic or other form, for the purposes of implementing, administering and managing 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spacing w:after="0" w:line="158" w:lineRule="exact"/>
        <w:rPr>
          <w:rFonts w:ascii="Arial" w:cs="Arial" w:eastAsia="Arial" w:hAnsi="Arial"/>
          <w:sz w:val="19"/>
          <w:szCs w:val="19"/>
          <w:color w:val="auto"/>
        </w:rPr>
      </w:pPr>
    </w:p>
    <w:p>
      <w:pPr>
        <w:jc w:val="both"/>
        <w:ind w:right="20" w:firstLine="1304"/>
        <w:spacing w:after="0" w:line="239" w:lineRule="auto"/>
        <w:tabs>
          <w:tab w:leader="none" w:pos="1944" w:val="left"/>
        </w:tabs>
        <w:numPr>
          <w:ilvl w:val="0"/>
          <w:numId w:val="196"/>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This Agreement may not be altered, modified, or amended except by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instrument signed by the parties hereto; provided that the Corporation may alter, modify or amend this Agreement unilaterally if such change is not materially adverse to Participant or to cause this Agreement to comply with applicable law.</w:t>
      </w:r>
    </w:p>
    <w:p>
      <w:pPr>
        <w:spacing w:after="0" w:line="180" w:lineRule="exact"/>
        <w:rPr>
          <w:rFonts w:ascii="Arial" w:cs="Arial" w:eastAsia="Arial" w:hAnsi="Arial"/>
          <w:sz w:val="22"/>
          <w:szCs w:val="22"/>
          <w:color w:val="auto"/>
        </w:rPr>
      </w:pPr>
    </w:p>
    <w:p>
      <w:pPr>
        <w:ind w:firstLine="1304"/>
        <w:spacing w:after="0" w:line="256" w:lineRule="auto"/>
        <w:tabs>
          <w:tab w:leader="none" w:pos="1944" w:val="left"/>
        </w:tabs>
        <w:numPr>
          <w:ilvl w:val="0"/>
          <w:numId w:val="196"/>
        </w:numPr>
        <w:rPr>
          <w:rFonts w:ascii="Arial" w:cs="Arial" w:eastAsia="Arial" w:hAnsi="Arial"/>
          <w:sz w:val="22"/>
          <w:szCs w:val="22"/>
          <w:color w:val="auto"/>
        </w:rPr>
      </w:pPr>
      <w:r>
        <w:rPr>
          <w:rFonts w:ascii="Arial" w:cs="Arial" w:eastAsia="Arial" w:hAnsi="Arial"/>
          <w:sz w:val="22"/>
          <w:szCs w:val="22"/>
          <w:b w:val="1"/>
          <w:bCs w:val="1"/>
          <w:u w:val="single" w:color="auto"/>
          <w:color w:val="auto"/>
        </w:rPr>
        <w:t>Other Agreements Superseded</w:t>
      </w:r>
      <w:r>
        <w:rPr>
          <w:rFonts w:ascii="Arial" w:cs="Arial" w:eastAsia="Arial" w:hAnsi="Arial"/>
          <w:sz w:val="22"/>
          <w:szCs w:val="22"/>
          <w:color w:val="auto"/>
        </w:rPr>
        <w:t>. The Award Notice, this Agreement,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the entire understanding between Participant and the Corporation regarding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74" w:name="page175"/>
    <w:bookmarkEnd w:id="174"/>
    <w:p>
      <w:pPr>
        <w:spacing w:after="0"/>
        <w:rPr>
          <w:sz w:val="20"/>
          <w:szCs w:val="20"/>
          <w:color w:val="auto"/>
        </w:rPr>
      </w:pPr>
      <w:r>
        <w:rPr>
          <w:rFonts w:ascii="Arial" w:cs="Arial" w:eastAsia="Arial" w:hAnsi="Arial"/>
          <w:sz w:val="22"/>
          <w:szCs w:val="22"/>
          <w:color w:val="auto"/>
        </w:rPr>
        <w:t>Award. Any prior agreements, commitments or negotiations concerning the Award are superseded.</w:t>
      </w:r>
    </w:p>
    <w:p>
      <w:pPr>
        <w:spacing w:after="0" w:line="200" w:lineRule="exact"/>
        <w:rPr>
          <w:sz w:val="20"/>
          <w:szCs w:val="20"/>
          <w:color w:val="auto"/>
        </w:rPr>
      </w:pPr>
    </w:p>
    <w:p>
      <w:pPr>
        <w:jc w:val="both"/>
        <w:ind w:firstLine="1304"/>
        <w:spacing w:after="0" w:line="300" w:lineRule="auto"/>
        <w:tabs>
          <w:tab w:leader="none" w:pos="1944" w:val="left"/>
        </w:tabs>
        <w:numPr>
          <w:ilvl w:val="0"/>
          <w:numId w:val="197"/>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Plan Document</w:t>
      </w:r>
      <w:r>
        <w:rPr>
          <w:rFonts w:ascii="Arial" w:cs="Arial" w:eastAsia="Arial" w:hAnsi="Arial"/>
          <w:sz w:val="19"/>
          <w:szCs w:val="19"/>
          <w:color w:val="auto"/>
        </w:rPr>
        <w:t>. The Award is subject to all the provisions of the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which are hereby made a part of the Award, and is further subject to all interpretations, amendments, rules and regulations, which may from time to time be promulgated and adopted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75" w:name="page176"/>
    <w:bookmarkEnd w:id="175"/>
    <w:p>
      <w:pPr>
        <w:jc w:val="center"/>
        <w:spacing w:after="0"/>
        <w:rPr>
          <w:sz w:val="20"/>
          <w:szCs w:val="20"/>
          <w:color w:val="auto"/>
        </w:rPr>
      </w:pPr>
      <w:r>
        <w:rPr>
          <w:rFonts w:ascii="Arial" w:cs="Arial" w:eastAsia="Arial" w:hAnsi="Arial"/>
          <w:sz w:val="22"/>
          <w:szCs w:val="22"/>
          <w:b w:val="1"/>
          <w:bCs w:val="1"/>
          <w:color w:val="auto"/>
        </w:rPr>
        <w:t>APPENDIX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00" w:lineRule="exact"/>
        <w:rPr>
          <w:sz w:val="20"/>
          <w:szCs w:val="20"/>
          <w:color w:val="auto"/>
        </w:rPr>
      </w:pPr>
    </w:p>
    <w:p>
      <w:pPr>
        <w:spacing w:after="0" w:line="2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following definitions shall be in effect under the Agreement:</w:t>
      </w:r>
    </w:p>
    <w:p>
      <w:pPr>
        <w:spacing w:after="0" w:line="200" w:lineRule="exact"/>
        <w:rPr>
          <w:sz w:val="20"/>
          <w:szCs w:val="20"/>
          <w:color w:val="auto"/>
        </w:rPr>
      </w:pPr>
    </w:p>
    <w:p>
      <w:pPr>
        <w:ind w:left="1960" w:hanging="656"/>
        <w:spacing w:after="0"/>
        <w:tabs>
          <w:tab w:leader="none" w:pos="1960" w:val="left"/>
        </w:tabs>
        <w:numPr>
          <w:ilvl w:val="1"/>
          <w:numId w:val="198"/>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this Restricted Stock Unit Award Agreement.</w:t>
      </w:r>
    </w:p>
    <w:p>
      <w:pPr>
        <w:spacing w:after="0" w:line="206" w:lineRule="exact"/>
        <w:rPr>
          <w:rFonts w:ascii="Arial" w:cs="Arial" w:eastAsia="Arial" w:hAnsi="Arial"/>
          <w:sz w:val="22"/>
          <w:szCs w:val="22"/>
          <w:color w:val="auto"/>
        </w:rPr>
      </w:pPr>
    </w:p>
    <w:p>
      <w:pPr>
        <w:ind w:firstLine="1304"/>
        <w:spacing w:after="0" w:line="256" w:lineRule="auto"/>
        <w:tabs>
          <w:tab w:leader="none" w:pos="1944" w:val="left"/>
        </w:tabs>
        <w:numPr>
          <w:ilvl w:val="1"/>
          <w:numId w:val="198"/>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award of restricted stock units made to Participant pursuant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of this Agreement.</w:t>
      </w:r>
    </w:p>
    <w:p>
      <w:pPr>
        <w:spacing w:after="0" w:line="162" w:lineRule="exact"/>
        <w:rPr>
          <w:rFonts w:ascii="Arial" w:cs="Arial" w:eastAsia="Arial" w:hAnsi="Arial"/>
          <w:sz w:val="22"/>
          <w:szCs w:val="22"/>
          <w:color w:val="auto"/>
        </w:rPr>
      </w:pPr>
    </w:p>
    <w:p>
      <w:pPr>
        <w:ind w:right="20" w:firstLine="1304"/>
        <w:spacing w:after="0" w:line="256" w:lineRule="auto"/>
        <w:tabs>
          <w:tab w:leader="none" w:pos="1944" w:val="left"/>
        </w:tabs>
        <w:numPr>
          <w:ilvl w:val="1"/>
          <w:numId w:val="198"/>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 Date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date the restricted stock units are awarded to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Agreement and shall be the date specified in the Award Notice.</w:t>
      </w:r>
    </w:p>
    <w:p>
      <w:pPr>
        <w:spacing w:after="0" w:line="162" w:lineRule="exact"/>
        <w:rPr>
          <w:rFonts w:ascii="Arial" w:cs="Arial" w:eastAsia="Arial" w:hAnsi="Arial"/>
          <w:sz w:val="22"/>
          <w:szCs w:val="22"/>
          <w:color w:val="auto"/>
        </w:rPr>
      </w:pPr>
    </w:p>
    <w:p>
      <w:pPr>
        <w:jc w:val="both"/>
        <w:ind w:firstLine="1304"/>
        <w:spacing w:after="0" w:line="260" w:lineRule="auto"/>
        <w:tabs>
          <w:tab w:leader="none" w:pos="1944" w:val="left"/>
        </w:tabs>
        <w:numPr>
          <w:ilvl w:val="1"/>
          <w:numId w:val="198"/>
        </w:numPr>
        <w:rPr>
          <w:rFonts w:ascii="Arial" w:cs="Arial" w:eastAsia="Arial" w:hAnsi="Arial"/>
          <w:sz w:val="21"/>
          <w:szCs w:val="21"/>
          <w:color w:val="auto"/>
        </w:rPr>
      </w:pPr>
      <w:r>
        <w:rPr>
          <w:rFonts w:ascii="Arial" w:cs="Arial" w:eastAsia="Arial" w:hAnsi="Arial"/>
          <w:sz w:val="21"/>
          <w:szCs w:val="21"/>
          <w:b w:val="1"/>
          <w:bCs w:val="1"/>
          <w:u w:val="single" w:color="auto"/>
          <w:color w:val="auto"/>
        </w:rPr>
        <w:t>Award Notice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Notice of Award of Time-Based Restricted Stock Units</w:t>
      </w:r>
      <w:r>
        <w:rPr>
          <w:rFonts w:ascii="Arial" w:cs="Arial" w:eastAsia="Arial" w:hAnsi="Arial"/>
          <w:sz w:val="21"/>
          <w:szCs w:val="21"/>
          <w:b w:val="1"/>
          <w:bCs w:val="1"/>
          <w:color w:val="auto"/>
        </w:rPr>
        <w:t xml:space="preserve"> </w:t>
      </w:r>
      <w:r>
        <w:rPr>
          <w:rFonts w:ascii="Arial" w:cs="Arial" w:eastAsia="Arial" w:hAnsi="Arial"/>
          <w:sz w:val="21"/>
          <w:szCs w:val="21"/>
          <w:color w:val="auto"/>
        </w:rPr>
        <w:t>delivered to Participant in which there is set forth the basic terms of the restricted stock units subject to this Agreement, including (without limitation) the applicable vesting schedule for those RSUs.</w:t>
      </w:r>
    </w:p>
    <w:p>
      <w:pPr>
        <w:spacing w:after="0" w:line="160" w:lineRule="exact"/>
        <w:rPr>
          <w:rFonts w:ascii="Arial" w:cs="Arial" w:eastAsia="Arial" w:hAnsi="Arial"/>
          <w:sz w:val="21"/>
          <w:szCs w:val="21"/>
          <w:color w:val="auto"/>
        </w:rPr>
      </w:pPr>
    </w:p>
    <w:p>
      <w:pPr>
        <w:jc w:val="both"/>
        <w:ind w:firstLine="1304"/>
        <w:spacing w:after="0" w:line="276" w:lineRule="auto"/>
        <w:tabs>
          <w:tab w:leader="none" w:pos="1944" w:val="left"/>
        </w:tabs>
        <w:numPr>
          <w:ilvl w:val="1"/>
          <w:numId w:val="198"/>
        </w:numPr>
        <w:rPr>
          <w:rFonts w:ascii="Arial" w:cs="Arial" w:eastAsia="Arial" w:hAnsi="Arial"/>
          <w:sz w:val="19"/>
          <w:szCs w:val="19"/>
          <w:color w:val="auto"/>
        </w:rPr>
      </w:pPr>
      <w:r>
        <w:rPr>
          <w:rFonts w:ascii="Arial" w:cs="Arial" w:eastAsia="Arial" w:hAnsi="Arial"/>
          <w:sz w:val="19"/>
          <w:szCs w:val="19"/>
          <w:b w:val="1"/>
          <w:bCs w:val="1"/>
          <w:u w:val="single" w:color="auto"/>
          <w:color w:val="auto"/>
        </w:rPr>
        <w:t>Cause</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set forth in the Plan document; provided, however, that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event Participant is, at the time the Corporation (or any Parent or Subsidiary) purports to terminate Participant’s Employee status for Cause, a party to a Change in Control Benefits Agreement applicable to the Award, the term Cause shall have the meaning ascribed to that term in such Change in Control Benefits Agreement. The foregoing definition shall not in any way preclude or restrict the right of the Corporation (or any Parent or Subsidiary) to discharge or dismiss Participant or any other person in the Service of the Corporation (or any Parent or Subsidiary) for any other acts or omissions, but such other acts or omissions shall not be deemed, for purposes of the Plan and this Agreement, to constitute grounds for termination for Cause.</w:t>
      </w:r>
    </w:p>
    <w:p>
      <w:pPr>
        <w:spacing w:after="0" w:line="149" w:lineRule="exact"/>
        <w:rPr>
          <w:rFonts w:ascii="Arial" w:cs="Arial" w:eastAsia="Arial" w:hAnsi="Arial"/>
          <w:sz w:val="19"/>
          <w:szCs w:val="19"/>
          <w:color w:val="auto"/>
        </w:rPr>
      </w:pPr>
    </w:p>
    <w:p>
      <w:pPr>
        <w:jc w:val="both"/>
        <w:ind w:firstLine="1304"/>
        <w:spacing w:after="0" w:line="300" w:lineRule="auto"/>
        <w:tabs>
          <w:tab w:leader="none" w:pos="1944" w:val="left"/>
        </w:tabs>
        <w:numPr>
          <w:ilvl w:val="1"/>
          <w:numId w:val="198"/>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set forth in the Plan; provided, however, that in</w:t>
      </w:r>
      <w:r>
        <w:rPr>
          <w:rFonts w:ascii="Arial" w:cs="Arial" w:eastAsia="Arial" w:hAnsi="Arial"/>
          <w:sz w:val="19"/>
          <w:szCs w:val="19"/>
          <w:b w:val="1"/>
          <w:bCs w:val="1"/>
          <w:color w:val="auto"/>
        </w:rPr>
        <w:t xml:space="preserve"> </w:t>
      </w:r>
      <w:r>
        <w:rPr>
          <w:rFonts w:ascii="Arial" w:cs="Arial" w:eastAsia="Arial" w:hAnsi="Arial"/>
          <w:sz w:val="19"/>
          <w:szCs w:val="19"/>
          <w:color w:val="auto"/>
        </w:rPr>
        <w:t>the event Participant is a party to a Change in Control Benefits Agreement applicable to the Award, the term Change in Control shall have the meaning ascribed to that term in such Change in Control Benefits Agreement.</w:t>
      </w:r>
    </w:p>
    <w:p>
      <w:pPr>
        <w:spacing w:after="0" w:line="125" w:lineRule="exact"/>
        <w:rPr>
          <w:rFonts w:ascii="Arial" w:cs="Arial" w:eastAsia="Arial" w:hAnsi="Arial"/>
          <w:sz w:val="19"/>
          <w:szCs w:val="19"/>
          <w:color w:val="auto"/>
        </w:rPr>
      </w:pPr>
    </w:p>
    <w:p>
      <w:pPr>
        <w:jc w:val="both"/>
        <w:ind w:firstLine="1304"/>
        <w:spacing w:after="0" w:line="283" w:lineRule="auto"/>
        <w:tabs>
          <w:tab w:leader="none" w:pos="1944" w:val="left"/>
        </w:tabs>
        <w:numPr>
          <w:ilvl w:val="1"/>
          <w:numId w:val="198"/>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any separate agreement between</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and the 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spacing w:after="0" w:line="142" w:lineRule="exact"/>
        <w:rPr>
          <w:rFonts w:ascii="Arial" w:cs="Arial" w:eastAsia="Arial" w:hAnsi="Arial"/>
          <w:sz w:val="19"/>
          <w:szCs w:val="19"/>
          <w:color w:val="auto"/>
        </w:rPr>
      </w:pPr>
    </w:p>
    <w:p>
      <w:pPr>
        <w:jc w:val="both"/>
        <w:ind w:firstLine="1304"/>
        <w:spacing w:after="0" w:line="280" w:lineRule="auto"/>
        <w:tabs>
          <w:tab w:leader="none" w:pos="1944" w:val="left"/>
        </w:tabs>
        <w:numPr>
          <w:ilvl w:val="1"/>
          <w:numId w:val="198"/>
        </w:numPr>
        <w:rPr>
          <w:rFonts w:ascii="Arial" w:cs="Arial" w:eastAsia="Arial" w:hAnsi="Arial"/>
          <w:sz w:val="19"/>
          <w:szCs w:val="19"/>
          <w:color w:val="auto"/>
        </w:rPr>
      </w:pPr>
      <w:r>
        <w:rPr>
          <w:rFonts w:ascii="Arial" w:cs="Arial" w:eastAsia="Arial" w:hAnsi="Arial"/>
          <w:sz w:val="19"/>
          <w:szCs w:val="19"/>
          <w:b w:val="1"/>
          <w:bCs w:val="1"/>
          <w:u w:val="single" w:color="auto"/>
          <w:color w:val="auto"/>
        </w:rPr>
        <w:t>Early Retirement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Participant’s retirement from Service, with the prior approval</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Corporation (or the Parent or Subsidiary employing Participant), on or after the attainment of age fifty-five</w:t>
      </w:r>
    </w:p>
    <w:p>
      <w:pPr>
        <w:ind w:left="420" w:hanging="412"/>
        <w:spacing w:after="0"/>
        <w:tabs>
          <w:tab w:leader="none" w:pos="42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and the completion of at least five (5) years of Service.</w:t>
      </w:r>
    </w:p>
    <w:p>
      <w:pPr>
        <w:spacing w:after="0" w:line="182" w:lineRule="exact"/>
        <w:rPr>
          <w:rFonts w:ascii="Arial" w:cs="Arial" w:eastAsia="Arial" w:hAnsi="Arial"/>
          <w:sz w:val="22"/>
          <w:szCs w:val="22"/>
          <w:color w:val="auto"/>
        </w:rPr>
      </w:pPr>
    </w:p>
    <w:p>
      <w:pPr>
        <w:ind w:firstLine="1304"/>
        <w:spacing w:after="0" w:line="256" w:lineRule="auto"/>
        <w:tabs>
          <w:tab w:leader="none" w:pos="1944" w:val="left"/>
        </w:tabs>
        <w:numPr>
          <w:ilvl w:val="1"/>
          <w:numId w:val="199"/>
        </w:numPr>
        <w:rPr>
          <w:rFonts w:ascii="Arial" w:cs="Arial" w:eastAsia="Arial" w:hAnsi="Arial"/>
          <w:sz w:val="22"/>
          <w:szCs w:val="22"/>
          <w:color w:val="auto"/>
        </w:rPr>
      </w:pPr>
      <w:r>
        <w:rPr>
          <w:rFonts w:ascii="Arial" w:cs="Arial" w:eastAsia="Arial" w:hAnsi="Arial"/>
          <w:sz w:val="22"/>
          <w:szCs w:val="22"/>
          <w:b w:val="1"/>
          <w:bCs w:val="1"/>
          <w:u w:val="single" w:color="auto"/>
          <w:color w:val="auto"/>
        </w:rPr>
        <w:t>Good Reason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the Plan;</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provided however</w:t>
      </w:r>
      <w:r>
        <w:rPr>
          <w:rFonts w:ascii="Arial" w:cs="Arial" w:eastAsia="Arial" w:hAnsi="Arial"/>
          <w:sz w:val="22"/>
          <w:szCs w:val="22"/>
          <w:color w:val="auto"/>
        </w:rPr>
        <w:t>, in the event</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is at the time of his or her cessation of Employee status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6" w:name="page177"/>
    <w:bookmarkEnd w:id="176"/>
    <w:p>
      <w:pPr>
        <w:ind w:right="20"/>
        <w:spacing w:after="0" w:line="334" w:lineRule="auto"/>
        <w:rPr>
          <w:sz w:val="20"/>
          <w:szCs w:val="20"/>
          <w:color w:val="auto"/>
        </w:rPr>
      </w:pPr>
      <w:r>
        <w:rPr>
          <w:rFonts w:ascii="Arial" w:cs="Arial" w:eastAsia="Arial" w:hAnsi="Arial"/>
          <w:sz w:val="19"/>
          <w:szCs w:val="19"/>
          <w:color w:val="auto"/>
        </w:rPr>
        <w:t xml:space="preserve">to a Change in Control Benefits Agreement applicable to the Award evidenced by this Agreement, the term </w:t>
      </w:r>
      <w:r>
        <w:rPr>
          <w:rFonts w:ascii="Arial" w:cs="Arial" w:eastAsia="Arial" w:hAnsi="Arial"/>
          <w:sz w:val="19"/>
          <w:szCs w:val="19"/>
          <w:b w:val="1"/>
          <w:bCs w:val="1"/>
          <w:color w:val="auto"/>
        </w:rPr>
        <w:t>Good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Reason </w:t>
      </w:r>
      <w:r>
        <w:rPr>
          <w:rFonts w:ascii="Arial" w:cs="Arial" w:eastAsia="Arial" w:hAnsi="Arial"/>
          <w:sz w:val="19"/>
          <w:szCs w:val="19"/>
          <w:color w:val="auto"/>
        </w:rPr>
        <w:t>shall have the meaning ascribed to that term in such Change in Control Benefits Agreement.</w:t>
      </w:r>
    </w:p>
    <w:p>
      <w:pPr>
        <w:spacing w:after="0" w:line="94" w:lineRule="exact"/>
        <w:rPr>
          <w:sz w:val="20"/>
          <w:szCs w:val="20"/>
          <w:color w:val="auto"/>
        </w:rPr>
      </w:pPr>
    </w:p>
    <w:p>
      <w:pPr>
        <w:ind w:firstLine="1304"/>
        <w:spacing w:after="0" w:line="256" w:lineRule="auto"/>
        <w:tabs>
          <w:tab w:leader="none" w:pos="1944" w:val="left"/>
        </w:tabs>
        <w:numPr>
          <w:ilvl w:val="0"/>
          <w:numId w:val="200"/>
        </w:numPr>
        <w:rPr>
          <w:rFonts w:ascii="Arial" w:cs="Arial" w:eastAsia="Arial" w:hAnsi="Arial"/>
          <w:sz w:val="22"/>
          <w:szCs w:val="22"/>
          <w:color w:val="auto"/>
        </w:rPr>
      </w:pPr>
      <w:r>
        <w:rPr>
          <w:rFonts w:ascii="Arial" w:cs="Arial" w:eastAsia="Arial" w:hAnsi="Arial"/>
          <w:sz w:val="22"/>
          <w:szCs w:val="22"/>
          <w:b w:val="1"/>
          <w:bCs w:val="1"/>
          <w:u w:val="single" w:color="auto"/>
          <w:color w:val="auto"/>
        </w:rPr>
        <w:t>Normal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shall mean the cessation of Service by reason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at or after the attainment of age sixty-five (65).</w:t>
      </w:r>
    </w:p>
    <w:p>
      <w:pPr>
        <w:spacing w:after="0" w:line="162" w:lineRule="exact"/>
        <w:rPr>
          <w:rFonts w:ascii="Arial" w:cs="Arial" w:eastAsia="Arial" w:hAnsi="Arial"/>
          <w:sz w:val="22"/>
          <w:szCs w:val="22"/>
          <w:color w:val="auto"/>
        </w:rPr>
      </w:pPr>
    </w:p>
    <w:p>
      <w:pPr>
        <w:ind w:left="1960" w:hanging="656"/>
        <w:spacing w:after="0"/>
        <w:tabs>
          <w:tab w:leader="none" w:pos="1960" w:val="left"/>
        </w:tabs>
        <w:numPr>
          <w:ilvl w:val="0"/>
          <w:numId w:val="200"/>
        </w:numPr>
        <w:rPr>
          <w:rFonts w:ascii="Arial" w:cs="Arial" w:eastAsia="Arial" w:hAnsi="Arial"/>
          <w:sz w:val="19"/>
          <w:szCs w:val="19"/>
          <w:color w:val="auto"/>
        </w:rPr>
      </w:pPr>
      <w:r>
        <w:rPr>
          <w:rFonts w:ascii="Arial" w:cs="Arial" w:eastAsia="Arial" w:hAnsi="Arial"/>
          <w:sz w:val="19"/>
          <w:szCs w:val="19"/>
          <w:b w:val="1"/>
          <w:bCs w:val="1"/>
          <w:u w:val="single" w:color="auto"/>
          <w:color w:val="auto"/>
        </w:rPr>
        <w:t>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person to whom the Award is made pursuant to the Agreement.</w:t>
      </w:r>
    </w:p>
    <w:p>
      <w:pPr>
        <w:spacing w:after="0" w:line="240" w:lineRule="exact"/>
        <w:rPr>
          <w:rFonts w:ascii="Arial" w:cs="Arial" w:eastAsia="Arial" w:hAnsi="Arial"/>
          <w:sz w:val="19"/>
          <w:szCs w:val="19"/>
          <w:color w:val="auto"/>
        </w:rPr>
      </w:pPr>
    </w:p>
    <w:p>
      <w:pPr>
        <w:ind w:left="1960" w:hanging="656"/>
        <w:spacing w:after="0"/>
        <w:tabs>
          <w:tab w:leader="none" w:pos="1960" w:val="left"/>
        </w:tabs>
        <w:numPr>
          <w:ilvl w:val="0"/>
          <w:numId w:val="200"/>
        </w:numPr>
        <w:rPr>
          <w:rFonts w:ascii="Arial" w:cs="Arial" w:eastAsia="Arial" w:hAnsi="Arial"/>
          <w:sz w:val="19"/>
          <w:szCs w:val="19"/>
          <w:color w:val="auto"/>
        </w:rPr>
      </w:pPr>
      <w:r>
        <w:rPr>
          <w:rFonts w:ascii="Arial" w:cs="Arial" w:eastAsia="Arial" w:hAnsi="Arial"/>
          <w:sz w:val="19"/>
          <w:szCs w:val="19"/>
          <w:b w:val="1"/>
          <w:bCs w:val="1"/>
          <w:u w:val="single" w:color="auto"/>
          <w:color w:val="auto"/>
        </w:rPr>
        <w:t>Plan</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Corporation’s 2016 Incentive Compensation Plan, as amended from</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time to time.</w:t>
      </w:r>
    </w:p>
    <w:p>
      <w:pPr>
        <w:spacing w:after="0" w:line="182" w:lineRule="exact"/>
        <w:rPr>
          <w:rFonts w:ascii="Arial" w:cs="Arial" w:eastAsia="Arial" w:hAnsi="Arial"/>
          <w:sz w:val="19"/>
          <w:szCs w:val="19"/>
          <w:color w:val="auto"/>
        </w:rPr>
      </w:pPr>
    </w:p>
    <w:p>
      <w:pPr>
        <w:jc w:val="both"/>
        <w:ind w:firstLine="1304"/>
        <w:spacing w:after="0" w:line="249" w:lineRule="auto"/>
        <w:tabs>
          <w:tab w:leader="none" w:pos="1944" w:val="left"/>
        </w:tabs>
        <w:numPr>
          <w:ilvl w:val="0"/>
          <w:numId w:val="200"/>
        </w:numPr>
        <w:rPr>
          <w:rFonts w:ascii="Arial" w:cs="Arial" w:eastAsia="Arial" w:hAnsi="Arial"/>
          <w:sz w:val="21"/>
          <w:szCs w:val="21"/>
          <w:color w:val="auto"/>
        </w:rPr>
      </w:pPr>
      <w:r>
        <w:rPr>
          <w:rFonts w:ascii="Arial" w:cs="Arial" w:eastAsia="Arial" w:hAnsi="Arial"/>
          <w:sz w:val="21"/>
          <w:szCs w:val="21"/>
          <w:b w:val="1"/>
          <w:bCs w:val="1"/>
          <w:u w:val="single" w:color="auto"/>
          <w:color w:val="auto"/>
        </w:rPr>
        <w:t>Qualifying Change in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date on which there occurs a Change in</w:t>
      </w:r>
      <w:r>
        <w:rPr>
          <w:rFonts w:ascii="Arial" w:cs="Arial" w:eastAsia="Arial" w:hAnsi="Arial"/>
          <w:sz w:val="21"/>
          <w:szCs w:val="21"/>
          <w:b w:val="1"/>
          <w:bCs w:val="1"/>
          <w:color w:val="auto"/>
        </w:rPr>
        <w:t xml:space="preserve"> </w:t>
      </w:r>
      <w:r>
        <w:rPr>
          <w:rFonts w:ascii="Arial" w:cs="Arial" w:eastAsia="Arial" w:hAnsi="Arial"/>
          <w:sz w:val="21"/>
          <w:szCs w:val="21"/>
          <w:color w:val="auto"/>
        </w:rPr>
        <w:t>Control that also qualifies as: (i) a change in the ownership of the Corporation, as determined in accordance with Section 1.409A-3(i)((5)(v) of the Treasury Regulations, (ii) a change in the effective control of the Corporation, as determined in accordance with Section 1.409A-3(i)((5)(vi) of the Treasury Regulations, or (iii) a change in the ownership of a substantial portion of the assets of the Corporation, as determined in accordance with Section 1.409A-3(i)((5)(vii) of the Treasury Regulations.</w:t>
      </w:r>
    </w:p>
    <w:p>
      <w:pPr>
        <w:spacing w:after="0" w:line="170" w:lineRule="exact"/>
        <w:rPr>
          <w:rFonts w:ascii="Arial" w:cs="Arial" w:eastAsia="Arial" w:hAnsi="Arial"/>
          <w:sz w:val="21"/>
          <w:szCs w:val="21"/>
          <w:color w:val="auto"/>
        </w:rPr>
      </w:pPr>
    </w:p>
    <w:p>
      <w:pPr>
        <w:jc w:val="both"/>
        <w:ind w:firstLine="1304"/>
        <w:spacing w:after="0" w:line="270" w:lineRule="auto"/>
        <w:tabs>
          <w:tab w:leader="none" w:pos="1944" w:val="left"/>
        </w:tabs>
        <w:numPr>
          <w:ilvl w:val="0"/>
          <w:numId w:val="200"/>
        </w:numPr>
        <w:rPr>
          <w:rFonts w:ascii="Arial" w:cs="Arial" w:eastAsia="Arial" w:hAnsi="Arial"/>
          <w:sz w:val="19"/>
          <w:szCs w:val="19"/>
          <w:color w:val="auto"/>
        </w:rPr>
      </w:pPr>
      <w:r>
        <w:rPr>
          <w:rFonts w:ascii="Arial" w:cs="Arial" w:eastAsia="Arial" w:hAnsi="Arial"/>
          <w:sz w:val="19"/>
          <w:szCs w:val="19"/>
          <w:b w:val="1"/>
          <w:bCs w:val="1"/>
          <w:u w:val="single" w:color="auto"/>
          <w:color w:val="auto"/>
        </w:rPr>
        <w:t>Separation from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Participant’s cessation of Employee status by</w:t>
      </w:r>
      <w:r>
        <w:rPr>
          <w:rFonts w:ascii="Arial" w:cs="Arial" w:eastAsia="Arial" w:hAnsi="Arial"/>
          <w:sz w:val="19"/>
          <w:szCs w:val="19"/>
          <w:b w:val="1"/>
          <w:bCs w:val="1"/>
          <w:color w:val="auto"/>
        </w:rPr>
        <w:t xml:space="preserve"> </w:t>
      </w:r>
      <w:r>
        <w:rPr>
          <w:rFonts w:ascii="Arial" w:cs="Arial" w:eastAsia="Arial" w:hAnsi="Arial"/>
          <w:sz w:val="19"/>
          <w:szCs w:val="19"/>
          <w:color w:val="auto"/>
        </w:rPr>
        <w:t>reason of his or her death, retirement or termination of employment. The Participant shall be deemed to have terminated employment for such purpose at such time as the level of his or her bona fide services to be performed as an Employee (or as a consultant or independent contractor) permanently decreases to a level that is less than fifty percent (50%) of the average level of services 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firstLine="1304"/>
        <w:spacing w:after="0" w:line="256" w:lineRule="auto"/>
        <w:tabs>
          <w:tab w:leader="none" w:pos="1944" w:val="left"/>
        </w:tabs>
        <w:numPr>
          <w:ilvl w:val="0"/>
          <w:numId w:val="200"/>
        </w:numPr>
        <w:rPr>
          <w:rFonts w:ascii="Arial" w:cs="Arial" w:eastAsia="Arial" w:hAnsi="Arial"/>
          <w:sz w:val="22"/>
          <w:szCs w:val="22"/>
          <w:color w:val="auto"/>
        </w:rPr>
      </w:pPr>
      <w:r>
        <w:rPr>
          <w:rFonts w:ascii="Arial" w:cs="Arial" w:eastAsia="Arial" w:hAnsi="Arial"/>
          <w:sz w:val="22"/>
          <w:szCs w:val="22"/>
          <w:b w:val="1"/>
          <w:bCs w:val="1"/>
          <w:u w:val="single" w:color="auto"/>
          <w:color w:val="auto"/>
        </w:rPr>
        <w:t>Service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Participant’s performance of services for the Corporation (or any Parent</w:t>
      </w:r>
      <w:r>
        <w:rPr>
          <w:rFonts w:ascii="Arial" w:cs="Arial" w:eastAsia="Arial" w:hAnsi="Arial"/>
          <w:sz w:val="22"/>
          <w:szCs w:val="22"/>
          <w:b w:val="1"/>
          <w:bCs w:val="1"/>
          <w:color w:val="auto"/>
        </w:rPr>
        <w:t xml:space="preserve"> </w:t>
      </w:r>
      <w:r>
        <w:rPr>
          <w:rFonts w:ascii="Arial" w:cs="Arial" w:eastAsia="Arial" w:hAnsi="Arial"/>
          <w:sz w:val="22"/>
          <w:szCs w:val="22"/>
          <w:color w:val="auto"/>
        </w:rPr>
        <w:t>or Subsidiary) in the capacity of an Employee, a non-employee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77" w:name="page178"/>
    <w:bookmarkEnd w:id="177"/>
    <w:p>
      <w:pPr>
        <w:ind w:right="20"/>
        <w:spacing w:after="0" w:line="250" w:lineRule="auto"/>
        <w:rPr>
          <w:sz w:val="20"/>
          <w:szCs w:val="20"/>
          <w:color w:val="auto"/>
        </w:rPr>
      </w:pPr>
      <w:r>
        <w:rPr>
          <w:rFonts w:ascii="Arial" w:cs="Arial" w:eastAsia="Arial" w:hAnsi="Arial"/>
          <w:sz w:val="22"/>
          <w:szCs w:val="22"/>
          <w:color w:val="auto"/>
        </w:rPr>
        <w:t>of the board of directors or a consultant or independent advisor. In addition, the following provisions shall govern the determination of Participant’s period of Service:</w:t>
      </w:r>
    </w:p>
    <w:p>
      <w:pPr>
        <w:spacing w:after="0" w:line="175" w:lineRule="exact"/>
        <w:rPr>
          <w:sz w:val="20"/>
          <w:szCs w:val="20"/>
          <w:color w:val="auto"/>
        </w:rPr>
      </w:pPr>
    </w:p>
    <w:p>
      <w:pPr>
        <w:jc w:val="both"/>
        <w:ind w:firstLine="1952"/>
        <w:spacing w:after="0"/>
        <w:tabs>
          <w:tab w:leader="none" w:pos="2646" w:val="left"/>
        </w:tabs>
        <w:numPr>
          <w:ilvl w:val="0"/>
          <w:numId w:val="201"/>
        </w:numPr>
        <w:rPr>
          <w:rFonts w:ascii="Arial" w:cs="Arial" w:eastAsia="Arial" w:hAnsi="Arial"/>
          <w:sz w:val="22"/>
          <w:szCs w:val="22"/>
          <w:color w:val="auto"/>
        </w:rPr>
      </w:pPr>
      <w:r>
        <w:rPr>
          <w:rFonts w:ascii="Arial" w:cs="Arial" w:eastAsia="Arial" w:hAnsi="Arial"/>
          <w:sz w:val="22"/>
          <w:szCs w:val="22"/>
          <w:color w:val="auto"/>
        </w:rPr>
        <w:t>Participant shall be deemed to continue in Service for so long as Participant performs services for the Corporation (or any Parent or Subsidiary) in the capacity of an Employee, a non-employee member of the board of directors or a consultant or independent advisor.</w:t>
      </w:r>
    </w:p>
    <w:p>
      <w:pPr>
        <w:spacing w:after="0" w:line="213" w:lineRule="exact"/>
        <w:rPr>
          <w:rFonts w:ascii="Arial" w:cs="Arial" w:eastAsia="Arial" w:hAnsi="Arial"/>
          <w:sz w:val="22"/>
          <w:szCs w:val="22"/>
          <w:color w:val="auto"/>
        </w:rPr>
      </w:pPr>
    </w:p>
    <w:p>
      <w:pPr>
        <w:jc w:val="both"/>
        <w:ind w:firstLine="1952"/>
        <w:spacing w:after="0" w:line="236" w:lineRule="auto"/>
        <w:tabs>
          <w:tab w:leader="none" w:pos="2592" w:val="left"/>
        </w:tabs>
        <w:numPr>
          <w:ilvl w:val="0"/>
          <w:numId w:val="201"/>
        </w:numPr>
        <w:rPr>
          <w:rFonts w:ascii="Arial" w:cs="Arial" w:eastAsia="Arial" w:hAnsi="Arial"/>
          <w:sz w:val="22"/>
          <w:szCs w:val="22"/>
          <w:color w:val="auto"/>
        </w:rPr>
      </w:pPr>
      <w:r>
        <w:rPr>
          <w:rFonts w:ascii="Arial" w:cs="Arial" w:eastAsia="Arial" w:hAnsi="Arial"/>
          <w:sz w:val="22"/>
          <w:szCs w:val="22"/>
          <w:color w:val="auto"/>
        </w:rPr>
        <w:t>Participant shall be deemed to cease Service immediately upon the occurrence of the either of the following events: (a) Participant no longer performs services in any of the foregoing capacities for the Corporation (or any Parent or Subsidiary) or (b) the entity for which Participant performs such services ceases to remain a Parent or Subsidiary of the Corporation, even though Participant may subsequently continue to perform services for that entity.</w:t>
      </w:r>
    </w:p>
    <w:p>
      <w:pPr>
        <w:spacing w:after="0" w:line="214" w:lineRule="exact"/>
        <w:rPr>
          <w:rFonts w:ascii="Arial" w:cs="Arial" w:eastAsia="Arial" w:hAnsi="Arial"/>
          <w:sz w:val="22"/>
          <w:szCs w:val="22"/>
          <w:color w:val="auto"/>
        </w:rPr>
      </w:pPr>
    </w:p>
    <w:p>
      <w:pPr>
        <w:jc w:val="both"/>
        <w:ind w:firstLine="1952"/>
        <w:spacing w:after="0" w:line="238" w:lineRule="auto"/>
        <w:tabs>
          <w:tab w:leader="none" w:pos="2592" w:val="left"/>
        </w:tabs>
        <w:numPr>
          <w:ilvl w:val="0"/>
          <w:numId w:val="201"/>
        </w:numPr>
        <w:rPr>
          <w:rFonts w:ascii="Arial" w:cs="Arial" w:eastAsia="Arial" w:hAnsi="Arial"/>
          <w:sz w:val="22"/>
          <w:szCs w:val="22"/>
          <w:color w:val="auto"/>
        </w:rPr>
      </w:pPr>
      <w:r>
        <w:rPr>
          <w:rFonts w:ascii="Arial" w:cs="Arial" w:eastAsia="Arial" w:hAnsi="Arial"/>
          <w:sz w:val="22"/>
          <w:szCs w:val="22"/>
          <w:color w:val="auto"/>
        </w:rPr>
        <w:t>Service as an Employee shall not be deemed to cease during a period of military leave, sick leave or other personal leave approved by the Plan Administrator (or any Parent or Subsidiary) employing Participant; provided, however, that the following special provisions shall be in effect for any such leave:</w:t>
      </w:r>
    </w:p>
    <w:p>
      <w:pPr>
        <w:spacing w:after="0" w:line="211" w:lineRule="exact"/>
        <w:rPr>
          <w:rFonts w:ascii="Arial" w:cs="Arial" w:eastAsia="Arial" w:hAnsi="Arial"/>
          <w:sz w:val="22"/>
          <w:szCs w:val="22"/>
          <w:color w:val="auto"/>
        </w:rPr>
      </w:pPr>
    </w:p>
    <w:p>
      <w:pPr>
        <w:jc w:val="both"/>
        <w:ind w:left="660" w:firstLine="1940"/>
        <w:spacing w:after="0" w:line="287" w:lineRule="auto"/>
        <w:tabs>
          <w:tab w:leader="none" w:pos="3252" w:val="left"/>
        </w:tabs>
        <w:numPr>
          <w:ilvl w:val="1"/>
          <w:numId w:val="201"/>
        </w:numPr>
        <w:rPr>
          <w:rFonts w:ascii="Arial" w:cs="Arial" w:eastAsia="Arial" w:hAnsi="Arial"/>
          <w:sz w:val="19"/>
          <w:szCs w:val="19"/>
          <w:color w:val="auto"/>
        </w:rPr>
      </w:pPr>
      <w:r>
        <w:rPr>
          <w:rFonts w:ascii="Arial" w:cs="Arial" w:eastAsia="Arial" w:hAnsi="Arial"/>
          <w:sz w:val="19"/>
          <w:szCs w:val="19"/>
          <w:color w:val="auto"/>
        </w:rPr>
        <w:t>Should the period of such leave (other than a disability leave) exceed six (6) months, then Participant shall be deemed to cease Service and to incur a Separation from Service upon the expiration of the initial six (6)-month period of that leave, unless Participant retains a right to re-employment under applicable law or by contract with the Corporation (or any Parent or Subsidiary).</w:t>
      </w:r>
    </w:p>
    <w:p>
      <w:pPr>
        <w:spacing w:after="0" w:line="169" w:lineRule="exact"/>
        <w:rPr>
          <w:rFonts w:ascii="Arial" w:cs="Arial" w:eastAsia="Arial" w:hAnsi="Arial"/>
          <w:sz w:val="19"/>
          <w:szCs w:val="19"/>
          <w:color w:val="auto"/>
        </w:rPr>
      </w:pPr>
    </w:p>
    <w:p>
      <w:pPr>
        <w:jc w:val="both"/>
        <w:ind w:left="660" w:firstLine="1940"/>
        <w:spacing w:after="0" w:line="275" w:lineRule="auto"/>
        <w:tabs>
          <w:tab w:leader="none" w:pos="3252" w:val="left"/>
        </w:tabs>
        <w:numPr>
          <w:ilvl w:val="1"/>
          <w:numId w:val="201"/>
        </w:numPr>
        <w:rPr>
          <w:rFonts w:ascii="Arial" w:cs="Arial" w:eastAsia="Arial" w:hAnsi="Arial"/>
          <w:sz w:val="19"/>
          <w:szCs w:val="19"/>
          <w:color w:val="auto"/>
        </w:rPr>
      </w:pPr>
      <w:r>
        <w:rPr>
          <w:rFonts w:ascii="Arial" w:cs="Arial" w:eastAsia="Arial" w:hAnsi="Arial"/>
          <w:sz w:val="19"/>
          <w:szCs w:val="19"/>
          <w:color w:val="auto"/>
        </w:rPr>
        <w:t>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spacing w:after="0" w:line="184" w:lineRule="exact"/>
        <w:rPr>
          <w:rFonts w:ascii="Arial" w:cs="Arial" w:eastAsia="Arial" w:hAnsi="Arial"/>
          <w:sz w:val="19"/>
          <w:szCs w:val="19"/>
          <w:color w:val="auto"/>
        </w:rPr>
      </w:pPr>
    </w:p>
    <w:p>
      <w:pPr>
        <w:jc w:val="both"/>
        <w:ind w:left="660" w:firstLine="1940"/>
        <w:spacing w:after="0" w:line="257" w:lineRule="auto"/>
        <w:tabs>
          <w:tab w:leader="none" w:pos="3265" w:val="left"/>
        </w:tabs>
        <w:numPr>
          <w:ilvl w:val="1"/>
          <w:numId w:val="201"/>
        </w:numPr>
        <w:rPr>
          <w:rFonts w:ascii="Arial" w:cs="Arial" w:eastAsia="Arial" w:hAnsi="Arial"/>
          <w:sz w:val="21"/>
          <w:szCs w:val="21"/>
          <w:color w:val="auto"/>
        </w:rPr>
      </w:pPr>
      <w:r>
        <w:rPr>
          <w:rFonts w:ascii="Arial" w:cs="Arial" w:eastAsia="Arial" w:hAnsi="Arial"/>
          <w:sz w:val="21"/>
          <w:szCs w:val="21"/>
          <w:color w:val="auto"/>
        </w:rPr>
        <w:t>Except to the extent otherwise required by law or expressly authorized by the Plan Administrator or by the Corporation’s written policy on leaves of absence no Service credit shall be given for vesting purposes for any period Participant is on a leave of absence.</w:t>
      </w:r>
    </w:p>
    <w:p>
      <w:pPr>
        <w:spacing w:after="0" w:line="196" w:lineRule="exact"/>
        <w:rPr>
          <w:rFonts w:ascii="Arial" w:cs="Arial" w:eastAsia="Arial" w:hAnsi="Arial"/>
          <w:sz w:val="21"/>
          <w:szCs w:val="21"/>
          <w:color w:val="auto"/>
        </w:rPr>
      </w:pPr>
    </w:p>
    <w:p>
      <w:pPr>
        <w:ind w:right="20" w:firstLine="1952"/>
        <w:spacing w:after="0" w:line="250" w:lineRule="auto"/>
        <w:tabs>
          <w:tab w:leader="none" w:pos="2592" w:val="left"/>
        </w:tabs>
        <w:numPr>
          <w:ilvl w:val="0"/>
          <w:numId w:val="201"/>
        </w:numPr>
        <w:rPr>
          <w:rFonts w:ascii="Arial" w:cs="Arial" w:eastAsia="Arial" w:hAnsi="Arial"/>
          <w:sz w:val="22"/>
          <w:szCs w:val="22"/>
          <w:color w:val="auto"/>
        </w:rPr>
      </w:pPr>
      <w:r>
        <w:rPr>
          <w:rFonts w:ascii="Arial" w:cs="Arial" w:eastAsia="Arial" w:hAnsi="Arial"/>
          <w:sz w:val="22"/>
          <w:szCs w:val="22"/>
          <w:color w:val="auto"/>
        </w:rPr>
        <w:t>Notwithstanding anything to the contrary in the foregoing provisions of this Service definition, the Participant shall in all events be deemed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78" w:name="page179"/>
    <w:bookmarkEnd w:id="178"/>
    <w:p>
      <w:pPr>
        <w:ind w:left="200"/>
        <w:spacing w:after="0" w:line="250" w:lineRule="auto"/>
        <w:rPr>
          <w:sz w:val="20"/>
          <w:szCs w:val="20"/>
          <w:color w:val="auto"/>
        </w:rPr>
      </w:pPr>
      <w:r>
        <w:rPr>
          <w:rFonts w:ascii="Arial" w:cs="Arial" w:eastAsia="Arial" w:hAnsi="Arial"/>
          <w:sz w:val="22"/>
          <w:szCs w:val="22"/>
          <w:color w:val="auto"/>
        </w:rPr>
        <w:t>to cease Service for all purposes of this Award immediately upon Participant’s incurrence of a Separation from Service.</w:t>
      </w:r>
    </w:p>
    <w:p>
      <w:pPr>
        <w:spacing w:after="0" w:line="391"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APPENDIX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40"/>
          </w:cols>
          <w:pgMar w:left="1440" w:top="874" w:right="1019" w:bottom="1440" w:gutter="0" w:footer="0" w:header="0"/>
        </w:sectPr>
      </w:pPr>
    </w:p>
    <w:bookmarkStart w:id="179" w:name="page180"/>
    <w:bookmarkEnd w:id="179"/>
    <w:p>
      <w:pPr>
        <w:jc w:val="right"/>
        <w:spacing w:after="0"/>
        <w:rPr>
          <w:sz w:val="20"/>
          <w:szCs w:val="20"/>
          <w:color w:val="auto"/>
        </w:rPr>
      </w:pPr>
      <w:r>
        <w:rPr>
          <w:rFonts w:ascii="Arial" w:cs="Arial" w:eastAsia="Arial" w:hAnsi="Arial"/>
          <w:sz w:val="22"/>
          <w:szCs w:val="22"/>
          <w:b w:val="1"/>
          <w:bCs w:val="1"/>
          <w:color w:val="auto"/>
        </w:rPr>
        <w:t>Exhibit 10.51</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Time Based Restricted Stock Unit Package - Non-Executives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MATSON,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OF AWARD OF TIME-BASED RESTRICTED STOCK UNITS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Corporation hereby awards to Participant, as of the Award Date indicated below, an award (the “Award”) of restricted stock units under the Corporation’s 2016 Incentive Compensation Plan (as amended from time to time, the “Plan”). Each restricted stock unit represents the right to receive one share of Common Stock on the applicable issuance date following the vesting of that unit. The number of shares of Common Stock subject to the awarded restricted stock units (the “RSUs”) and the applicable vesting schedule for those RSUs and the underlying shares of Common Stock are set forth below. The remaining terms and conditions governing the Award, including the issuance date or dates for the shares of Common Stock that vest under the Award, shall be as set forth in the form Time-Based Restricted Stock Unit Award Agreement for service-vesting Awards.</w:t>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80"/>
        </w:trPr>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20" w:type="dxa"/>
            <w:vAlign w:val="bottom"/>
            <w:gridSpan w:val="3"/>
          </w:tcPr>
          <w:p>
            <w:pPr>
              <w:ind w:left="1200"/>
              <w:spacing w:after="0"/>
              <w:rPr>
                <w:sz w:val="20"/>
                <w:szCs w:val="20"/>
                <w:color w:val="auto"/>
              </w:rPr>
            </w:pPr>
            <w:r>
              <w:rPr>
                <w:rFonts w:ascii="Arial" w:cs="Arial" w:eastAsia="Arial" w:hAnsi="Arial"/>
                <w:sz w:val="22"/>
                <w:szCs w:val="22"/>
                <w:b w:val="1"/>
                <w:bCs w:val="1"/>
                <w:color w:val="auto"/>
              </w:rPr>
              <w:t>AWARD SUMMARY</w:t>
            </w:r>
          </w:p>
        </w:tc>
        <w:tc>
          <w:tcPr>
            <w:tcW w:w="0" w:type="dxa"/>
            <w:vAlign w:val="bottom"/>
          </w:tcPr>
          <w:p>
            <w:pPr>
              <w:spacing w:after="0"/>
              <w:rPr>
                <w:sz w:val="1"/>
                <w:szCs w:val="1"/>
                <w:color w:val="auto"/>
              </w:rPr>
            </w:pPr>
          </w:p>
        </w:tc>
      </w:tr>
      <w:tr>
        <w:trPr>
          <w:trHeight w:val="408"/>
        </w:trPr>
        <w:tc>
          <w:tcPr>
            <w:tcW w:w="80" w:type="dxa"/>
            <w:vAlign w:val="bottom"/>
          </w:tcPr>
          <w:p>
            <w:pPr>
              <w:spacing w:after="0"/>
              <w:rPr>
                <w:sz w:val="24"/>
                <w:szCs w:val="24"/>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8"/>
              </w:rPr>
              <w:t>Participant</w:t>
            </w:r>
          </w:p>
        </w:tc>
        <w:tc>
          <w:tcPr>
            <w:tcW w:w="1620" w:type="dxa"/>
            <w:vAlign w:val="bottom"/>
            <w:gridSpan w:val="6"/>
          </w:tcPr>
          <w:p>
            <w:pPr>
              <w:spacing w:after="0"/>
              <w:rPr>
                <w:sz w:val="24"/>
                <w:szCs w:val="24"/>
                <w:color w:val="auto"/>
              </w:rPr>
            </w:pPr>
          </w:p>
        </w:tc>
        <w:tc>
          <w:tcPr>
            <w:tcW w:w="6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0" w:type="dxa"/>
            <w:vAlign w:val="bottom"/>
          </w:tcPr>
          <w:p>
            <w:pPr>
              <w:spacing w:after="0"/>
              <w:rPr>
                <w:sz w:val="24"/>
                <w:szCs w:val="24"/>
                <w:color w:val="auto"/>
              </w:rPr>
            </w:pPr>
          </w:p>
        </w:tc>
        <w:tc>
          <w:tcPr>
            <w:tcW w:w="110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89"/>
              </w:rPr>
              <w:t>Award Date:</w:t>
            </w:r>
          </w:p>
        </w:tc>
        <w:tc>
          <w:tcPr>
            <w:tcW w:w="1460" w:type="dxa"/>
            <w:vAlign w:val="bottom"/>
            <w:gridSpan w:val="4"/>
          </w:tcPr>
          <w:p>
            <w:pPr>
              <w:spacing w:after="0"/>
              <w:rPr>
                <w:sz w:val="24"/>
                <w:szCs w:val="24"/>
                <w:color w:val="auto"/>
              </w:rPr>
            </w:pPr>
          </w:p>
        </w:tc>
        <w:tc>
          <w:tcPr>
            <w:tcW w:w="6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0" w:type="dxa"/>
            <w:vAlign w:val="bottom"/>
          </w:tcPr>
          <w:p>
            <w:pPr>
              <w:spacing w:after="0"/>
              <w:rPr>
                <w:sz w:val="24"/>
                <w:szCs w:val="24"/>
                <w:color w:val="auto"/>
              </w:rPr>
            </w:pPr>
          </w:p>
        </w:tc>
        <w:tc>
          <w:tcPr>
            <w:tcW w:w="1580" w:type="dxa"/>
            <w:vAlign w:val="bottom"/>
            <w:tcBorders>
              <w:bottom w:val="single" w:sz="8" w:color="auto"/>
            </w:tcBorders>
            <w:gridSpan w:val="7"/>
          </w:tcPr>
          <w:p>
            <w:pPr>
              <w:spacing w:after="0"/>
              <w:rPr>
                <w:sz w:val="20"/>
                <w:szCs w:val="20"/>
                <w:color w:val="auto"/>
              </w:rPr>
            </w:pPr>
            <w:r>
              <w:rPr>
                <w:rFonts w:ascii="Arial" w:cs="Arial" w:eastAsia="Arial" w:hAnsi="Arial"/>
                <w:sz w:val="22"/>
                <w:szCs w:val="22"/>
                <w:color w:val="auto"/>
                <w:w w:val="87"/>
              </w:rPr>
              <w:t>Number of Shares</w:t>
            </w:r>
          </w:p>
        </w:tc>
        <w:tc>
          <w:tcPr>
            <w:tcW w:w="9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7"/>
              </w:rPr>
              <w:t>Subject to</w:t>
            </w:r>
          </w:p>
        </w:tc>
        <w:tc>
          <w:tcPr>
            <w:tcW w:w="1680" w:type="dxa"/>
            <w:vAlign w:val="bottom"/>
            <w:gridSpan w:val="7"/>
          </w:tcPr>
          <w:p>
            <w:pPr>
              <w:spacing w:after="0"/>
              <w:rPr>
                <w:sz w:val="19"/>
                <w:szCs w:val="19"/>
                <w:color w:val="auto"/>
              </w:rPr>
            </w:pPr>
          </w:p>
        </w:tc>
        <w:tc>
          <w:tcPr>
            <w:tcW w:w="6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560" w:type="dxa"/>
            <w:vAlign w:val="bottom"/>
            <w:gridSpan w:val="8"/>
          </w:tcPr>
          <w:p>
            <w:pPr>
              <w:spacing w:after="0" w:line="223" w:lineRule="exact"/>
              <w:rPr>
                <w:sz w:val="20"/>
                <w:szCs w:val="20"/>
                <w:color w:val="auto"/>
              </w:rPr>
            </w:pPr>
            <w:r>
              <w:rPr>
                <w:rFonts w:ascii="Arial" w:cs="Arial" w:eastAsia="Arial" w:hAnsi="Arial"/>
                <w:sz w:val="22"/>
                <w:szCs w:val="22"/>
                <w:color w:val="auto"/>
              </w:rPr>
              <w:t>Restricted Stock</w:t>
            </w:r>
          </w:p>
        </w:tc>
        <w:tc>
          <w:tcPr>
            <w:tcW w:w="7020" w:type="dxa"/>
            <w:vAlign w:val="bottom"/>
            <w:gridSpan w:val="3"/>
            <w:vMerge w:val="restart"/>
          </w:tcPr>
          <w:p>
            <w:pPr>
              <w:ind w:left="980"/>
              <w:spacing w:after="0"/>
              <w:rPr>
                <w:sz w:val="20"/>
                <w:szCs w:val="20"/>
                <w:color w:val="auto"/>
              </w:rPr>
            </w:pPr>
            <w:r>
              <w:rPr>
                <w:rFonts w:ascii="Arial" w:cs="Arial" w:eastAsia="Arial" w:hAnsi="Arial"/>
                <w:sz w:val="22"/>
                <w:szCs w:val="22"/>
                <w:color w:val="auto"/>
              </w:rPr>
              <w:t>_______shares of Common Stock (the “Shares”)</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420" w:type="dxa"/>
            <w:vAlign w:val="bottom"/>
            <w:tcBorders>
              <w:top w:val="single" w:sz="8" w:color="auto"/>
            </w:tcBorders>
            <w:gridSpan w:val="5"/>
          </w:tcPr>
          <w:p>
            <w:pPr>
              <w:spacing w:after="0" w:line="223" w:lineRule="exact"/>
              <w:rPr>
                <w:sz w:val="20"/>
                <w:szCs w:val="20"/>
                <w:color w:val="auto"/>
              </w:rPr>
            </w:pPr>
            <w:r>
              <w:rPr>
                <w:rFonts w:ascii="Arial" w:cs="Arial" w:eastAsia="Arial" w:hAnsi="Arial"/>
                <w:sz w:val="22"/>
                <w:szCs w:val="22"/>
                <w:color w:val="auto"/>
              </w:rPr>
              <w:t>Unit Award:</w:t>
            </w:r>
          </w:p>
        </w:tc>
        <w:tc>
          <w:tcPr>
            <w:tcW w:w="1140" w:type="dxa"/>
            <w:vAlign w:val="bottom"/>
            <w:gridSpan w:val="3"/>
          </w:tcPr>
          <w:p>
            <w:pPr>
              <w:spacing w:after="0"/>
              <w:rPr>
                <w:sz w:val="19"/>
                <w:szCs w:val="19"/>
                <w:color w:val="auto"/>
              </w:rPr>
            </w:pPr>
          </w:p>
        </w:tc>
        <w:tc>
          <w:tcPr>
            <w:tcW w:w="70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640" w:type="dxa"/>
            <w:vAlign w:val="bottom"/>
            <w:gridSpan w:val="9"/>
          </w:tcPr>
          <w:p>
            <w:pPr>
              <w:spacing w:after="0"/>
              <w:rPr>
                <w:sz w:val="20"/>
                <w:szCs w:val="20"/>
                <w:color w:val="auto"/>
              </w:rPr>
            </w:pPr>
            <w:r>
              <w:rPr>
                <w:rFonts w:ascii="Arial" w:cs="Arial" w:eastAsia="Arial" w:hAnsi="Arial"/>
                <w:sz w:val="22"/>
                <w:szCs w:val="22"/>
                <w:color w:val="auto"/>
              </w:rPr>
              <w:t>Vesting Schedule:</w:t>
            </w:r>
          </w:p>
        </w:tc>
        <w:tc>
          <w:tcPr>
            <w:tcW w:w="7020" w:type="dxa"/>
            <w:vAlign w:val="bottom"/>
            <w:gridSpan w:val="3"/>
          </w:tcPr>
          <w:p>
            <w:pPr>
              <w:ind w:left="980"/>
              <w:spacing w:after="0"/>
              <w:rPr>
                <w:sz w:val="20"/>
                <w:szCs w:val="20"/>
                <w:color w:val="auto"/>
              </w:rPr>
            </w:pPr>
            <w:r>
              <w:rPr>
                <w:rFonts w:ascii="Arial" w:cs="Arial" w:eastAsia="Arial" w:hAnsi="Arial"/>
                <w:sz w:val="22"/>
                <w:szCs w:val="22"/>
                <w:color w:val="auto"/>
                <w:w w:val="93"/>
              </w:rPr>
              <w:t>The Shares underlying the Award shall vest in a series of three (3)</w:t>
            </w:r>
          </w:p>
        </w:tc>
        <w:tc>
          <w:tcPr>
            <w:tcW w:w="0" w:type="dxa"/>
            <w:vAlign w:val="bottom"/>
          </w:tcPr>
          <w:p>
            <w:pPr>
              <w:spacing w:after="0"/>
              <w:rPr>
                <w:sz w:val="1"/>
                <w:szCs w:val="1"/>
                <w:color w:val="auto"/>
              </w:rPr>
            </w:pPr>
          </w:p>
        </w:tc>
      </w:tr>
      <w:tr>
        <w:trPr>
          <w:trHeight w:val="242"/>
        </w:trPr>
        <w:tc>
          <w:tcPr>
            <w:tcW w:w="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20" w:type="dxa"/>
            <w:vAlign w:val="bottom"/>
            <w:gridSpan w:val="3"/>
          </w:tcPr>
          <w:p>
            <w:pPr>
              <w:ind w:left="980"/>
              <w:spacing w:after="0" w:line="242" w:lineRule="exact"/>
              <w:rPr>
                <w:sz w:val="20"/>
                <w:szCs w:val="20"/>
                <w:color w:val="auto"/>
              </w:rPr>
            </w:pPr>
            <w:r>
              <w:rPr>
                <w:rFonts w:ascii="Arial" w:cs="Arial" w:eastAsia="Arial" w:hAnsi="Arial"/>
                <w:sz w:val="22"/>
                <w:szCs w:val="22"/>
                <w:color w:val="auto"/>
                <w:w w:val="88"/>
              </w:rPr>
              <w:t>successive equal annual installments upon Participant’s completion of</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20" w:type="dxa"/>
            <w:vAlign w:val="bottom"/>
            <w:gridSpan w:val="3"/>
          </w:tcPr>
          <w:p>
            <w:pPr>
              <w:ind w:left="980"/>
              <w:spacing w:after="0" w:line="243" w:lineRule="exact"/>
              <w:rPr>
                <w:sz w:val="20"/>
                <w:szCs w:val="20"/>
                <w:color w:val="auto"/>
              </w:rPr>
            </w:pPr>
            <w:r>
              <w:rPr>
                <w:rFonts w:ascii="Arial" w:cs="Arial" w:eastAsia="Arial" w:hAnsi="Arial"/>
                <w:sz w:val="22"/>
                <w:szCs w:val="22"/>
                <w:color w:val="auto"/>
                <w:w w:val="99"/>
              </w:rPr>
              <w:t>each successive year of Service over the three (3)-year period</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20" w:type="dxa"/>
            <w:vAlign w:val="bottom"/>
            <w:gridSpan w:val="3"/>
          </w:tcPr>
          <w:p>
            <w:pPr>
              <w:ind w:left="980"/>
              <w:spacing w:after="0" w:line="243" w:lineRule="exact"/>
              <w:rPr>
                <w:sz w:val="20"/>
                <w:szCs w:val="20"/>
                <w:color w:val="auto"/>
              </w:rPr>
            </w:pPr>
            <w:r>
              <w:rPr>
                <w:rFonts w:ascii="Arial" w:cs="Arial" w:eastAsia="Arial" w:hAnsi="Arial"/>
                <w:sz w:val="22"/>
                <w:szCs w:val="22"/>
                <w:color w:val="auto"/>
                <w:w w:val="88"/>
              </w:rPr>
              <w:t>measured from the Award Date. Each such installment vesting date is</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20" w:type="dxa"/>
            <w:vAlign w:val="bottom"/>
            <w:gridSpan w:val="3"/>
          </w:tcPr>
          <w:p>
            <w:pPr>
              <w:ind w:left="980"/>
              <w:spacing w:after="0" w:line="243" w:lineRule="exact"/>
              <w:rPr>
                <w:sz w:val="20"/>
                <w:szCs w:val="20"/>
                <w:color w:val="auto"/>
              </w:rPr>
            </w:pPr>
            <w:r>
              <w:rPr>
                <w:rFonts w:ascii="Arial" w:cs="Arial" w:eastAsia="Arial" w:hAnsi="Arial"/>
                <w:sz w:val="22"/>
                <w:szCs w:val="22"/>
                <w:color w:val="auto"/>
                <w:w w:val="91"/>
              </w:rPr>
              <w:t>hereby designated a “Vesting and Issuance Date.” However, one or</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20" w:type="dxa"/>
            <w:vAlign w:val="bottom"/>
            <w:gridSpan w:val="3"/>
          </w:tcPr>
          <w:p>
            <w:pPr>
              <w:ind w:left="980"/>
              <w:spacing w:after="0" w:line="243" w:lineRule="exact"/>
              <w:rPr>
                <w:sz w:val="20"/>
                <w:szCs w:val="20"/>
                <w:color w:val="auto"/>
              </w:rPr>
            </w:pPr>
            <w:r>
              <w:rPr>
                <w:rFonts w:ascii="Arial" w:cs="Arial" w:eastAsia="Arial" w:hAnsi="Arial"/>
                <w:sz w:val="22"/>
                <w:szCs w:val="22"/>
                <w:color w:val="auto"/>
                <w:w w:val="87"/>
              </w:rPr>
              <w:t>more Shares may be subject to accelerated vesting in accordance with</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20" w:type="dxa"/>
            <w:vAlign w:val="bottom"/>
            <w:gridSpan w:val="3"/>
          </w:tcPr>
          <w:p>
            <w:pPr>
              <w:ind w:left="980"/>
              <w:spacing w:after="0" w:line="243" w:lineRule="exact"/>
              <w:rPr>
                <w:sz w:val="20"/>
                <w:szCs w:val="20"/>
                <w:color w:val="auto"/>
              </w:rPr>
            </w:pPr>
            <w:r>
              <w:rPr>
                <w:rFonts w:ascii="Arial" w:cs="Arial" w:eastAsia="Arial" w:hAnsi="Arial"/>
                <w:sz w:val="22"/>
                <w:szCs w:val="22"/>
                <w:color w:val="auto"/>
                <w:w w:val="89"/>
              </w:rPr>
              <w:t>the provisions of Paragraph 3 or Paragraph 5 of the form Time-Based</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20" w:type="dxa"/>
            <w:vAlign w:val="bottom"/>
            <w:gridSpan w:val="3"/>
          </w:tcPr>
          <w:p>
            <w:pPr>
              <w:ind w:left="980"/>
              <w:spacing w:after="0" w:line="224" w:lineRule="exact"/>
              <w:rPr>
                <w:sz w:val="20"/>
                <w:szCs w:val="20"/>
                <w:color w:val="auto"/>
              </w:rPr>
            </w:pPr>
            <w:r>
              <w:rPr>
                <w:rFonts w:ascii="Arial" w:cs="Arial" w:eastAsia="Arial" w:hAnsi="Arial"/>
                <w:sz w:val="22"/>
                <w:szCs w:val="22"/>
                <w:color w:val="auto"/>
                <w:w w:val="89"/>
              </w:rPr>
              <w:t>Restricted Stock Unit Award Agreement attached hereto as Exhibit A</w:t>
            </w:r>
          </w:p>
        </w:tc>
        <w:tc>
          <w:tcPr>
            <w:tcW w:w="0" w:type="dxa"/>
            <w:vAlign w:val="bottom"/>
          </w:tcPr>
          <w:p>
            <w:pPr>
              <w:spacing w:after="0"/>
              <w:rPr>
                <w:sz w:val="1"/>
                <w:szCs w:val="1"/>
                <w:color w:val="auto"/>
              </w:rPr>
            </w:pPr>
          </w:p>
        </w:tc>
      </w:tr>
      <w:tr>
        <w:trPr>
          <w:trHeight w:val="274"/>
        </w:trPr>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140" w:type="dxa"/>
            <w:vAlign w:val="bottom"/>
          </w:tcPr>
          <w:p>
            <w:pPr>
              <w:ind w:left="980"/>
              <w:spacing w:after="0"/>
              <w:rPr>
                <w:sz w:val="20"/>
                <w:szCs w:val="20"/>
                <w:color w:val="auto"/>
              </w:rPr>
            </w:pPr>
            <w:r>
              <w:rPr>
                <w:rFonts w:ascii="Arial" w:cs="Arial" w:eastAsia="Arial" w:hAnsi="Arial"/>
                <w:sz w:val="22"/>
                <w:szCs w:val="22"/>
                <w:color w:val="auto"/>
              </w:rPr>
              <w:t>(the “Award Agreement”).</w:t>
            </w:r>
          </w:p>
        </w:tc>
        <w:tc>
          <w:tcPr>
            <w:tcW w:w="8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Participant understands and agrees that the Award is granted subject to and in accordance with the terms of the Plan and hereby agrees to be bound by the terms of the Plan and the terms of the Award as set forth in the Award Agreement. Participant hereby acknowledges the receipt of a copy of the official prospectus for the Plan. A copy of the Plan is available upon request made to the Corporation’s Human Resources Department at the Corporation’s offices at 555 12th Street, Oakland, California 94607. Participant agrees to electronic delivery of any and all communications relating to the Award, the Award Agreement or the Plan, including but not limited to documentation of the Award, the official prospectus for the Plan, and any and all other documents and materials relating to the Award, the Award Agreement or the Plan.</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Coverage under Recoupment Policy</w:t>
      </w:r>
      <w:r>
        <w:rPr>
          <w:rFonts w:ascii="Arial" w:cs="Arial" w:eastAsia="Arial" w:hAnsi="Arial"/>
          <w:sz w:val="22"/>
          <w:szCs w:val="22"/>
          <w:color w:val="auto"/>
        </w:rPr>
        <w:t>. Participant hereby agrees that:</w:t>
      </w:r>
    </w:p>
    <w:p>
      <w:pPr>
        <w:spacing w:after="0" w:line="193" w:lineRule="exact"/>
        <w:rPr>
          <w:sz w:val="20"/>
          <w:szCs w:val="20"/>
          <w:color w:val="auto"/>
        </w:rPr>
      </w:pPr>
    </w:p>
    <w:p>
      <w:pPr>
        <w:ind w:firstLine="1304"/>
        <w:spacing w:after="0" w:line="250" w:lineRule="auto"/>
        <w:tabs>
          <w:tab w:leader="none" w:pos="1944" w:val="left"/>
        </w:tabs>
        <w:numPr>
          <w:ilvl w:val="0"/>
          <w:numId w:val="202"/>
        </w:numPr>
        <w:rPr>
          <w:rFonts w:ascii="Arial" w:cs="Arial" w:eastAsia="Arial" w:hAnsi="Arial"/>
          <w:sz w:val="22"/>
          <w:szCs w:val="22"/>
          <w:color w:val="auto"/>
        </w:rPr>
      </w:pPr>
      <w:r>
        <w:rPr>
          <w:rFonts w:ascii="Arial" w:cs="Arial" w:eastAsia="Arial" w:hAnsi="Arial"/>
          <w:sz w:val="22"/>
          <w:szCs w:val="22"/>
          <w:color w:val="auto"/>
        </w:rPr>
        <w:t>Participant may be subject to the Matson, Inc. Policy Regarding Recoupment of Certain Compensation, as applicable, and as it may be amended from time to time,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80" w:name="page181"/>
    <w:bookmarkEnd w:id="180"/>
    <w:p>
      <w:pPr>
        <w:ind w:right="20"/>
        <w:spacing w:after="0" w:line="250" w:lineRule="auto"/>
        <w:rPr>
          <w:sz w:val="20"/>
          <w:szCs w:val="20"/>
          <w:color w:val="auto"/>
        </w:rPr>
      </w:pPr>
      <w:r>
        <w:rPr>
          <w:rFonts w:ascii="Arial" w:cs="Arial" w:eastAsia="Arial" w:hAnsi="Arial"/>
          <w:sz w:val="22"/>
          <w:szCs w:val="22"/>
          <w:color w:val="auto"/>
        </w:rPr>
        <w:t>the terms of which are hereby incorporated herein by reference and receipt of a copy of which Participant hereby acknowledges; and</w:t>
      </w:r>
    </w:p>
    <w:p>
      <w:pPr>
        <w:spacing w:after="0" w:line="175" w:lineRule="exact"/>
        <w:rPr>
          <w:sz w:val="20"/>
          <w:szCs w:val="20"/>
          <w:color w:val="auto"/>
        </w:rPr>
      </w:pPr>
    </w:p>
    <w:p>
      <w:pPr>
        <w:ind w:right="20" w:firstLine="1304"/>
        <w:spacing w:after="0" w:line="250" w:lineRule="auto"/>
        <w:tabs>
          <w:tab w:leader="none" w:pos="1944" w:val="left"/>
        </w:tabs>
        <w:numPr>
          <w:ilvl w:val="0"/>
          <w:numId w:val="203"/>
        </w:numPr>
        <w:rPr>
          <w:rFonts w:ascii="Arial" w:cs="Arial" w:eastAsia="Arial" w:hAnsi="Arial"/>
          <w:sz w:val="22"/>
          <w:szCs w:val="22"/>
          <w:color w:val="auto"/>
        </w:rPr>
      </w:pPr>
      <w:r>
        <w:rPr>
          <w:rFonts w:ascii="Arial" w:cs="Arial" w:eastAsia="Arial" w:hAnsi="Arial"/>
          <w:sz w:val="22"/>
          <w:szCs w:val="22"/>
          <w:color w:val="auto"/>
        </w:rPr>
        <w:t>any incentive compensation that is paid or granted to, or received by, Participant under the Award shall be subject to recovery and recoupment pursuant to the terms of such policy.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 copy of the recoupment policy is available upon request made to the Corporate Secretary.</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u w:val="single" w:color="auto"/>
          <w:color w:val="auto"/>
        </w:rPr>
        <w:t>Continuing Consent</w:t>
      </w:r>
      <w:r>
        <w:rPr>
          <w:rFonts w:ascii="Arial" w:cs="Arial" w:eastAsia="Arial" w:hAnsi="Arial"/>
          <w:sz w:val="19"/>
          <w:szCs w:val="19"/>
          <w:color w:val="auto"/>
        </w:rPr>
        <w:t>. Participant further acknowledges and agrees that, except to the extent the Plan Administrator notifies Participant in writing to the contrary, each subsequent award of service-vesting restricted stock units made to him or her under the Plan shall be subject to the same terms and conditions set forth in the Award Agreement, and Participant hereby understands and agrees to those terms and conditions for each such subsequent service-vesting restricted stock unit award that may be made to him or her under the Plan and hereby agrees to be bound by those terms and conditions for any such restricted stock unit awards, without any further consent or action required on his or her part at the time or times when those awards may be made. However, Participant may, at any time he or she holds an outstanding service-vesting restricted stock unit award under the Plan, request a written copy of the Award Agreement from the Corporation by contacting the Corporation’s Human Resources Department at the Corporation’s offices at 555 12th Street, Oakland, California 94607.</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u w:val="single" w:color="auto"/>
          <w:color w:val="auto"/>
        </w:rPr>
        <w:t>Employment at Will</w:t>
      </w:r>
      <w:r>
        <w:rPr>
          <w:rFonts w:ascii="Arial" w:cs="Arial" w:eastAsia="Arial" w:hAnsi="Arial"/>
          <w:sz w:val="19"/>
          <w:szCs w:val="19"/>
          <w:color w:val="auto"/>
        </w:rPr>
        <w:t>. Nothing in this Notice or in the Award Agreement or in the Plan shall confer upon Participant any right to continue in Service for any period of specific duration or interfere with or otherwise restrict in any way the rights of the Corporation (or any Parent or Subsidiary employing or retaining Participant) or of Participant, which rights are hereby expressly reserved by each, to terminate Participant’s Service at any time for any reason or no reason with or without advance notice and with or without cause.</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All capitalized terms in this Notice shall have the meaning assigned to them in this Notice or in the Award Agreement.</w:t>
      </w:r>
    </w:p>
    <w:p>
      <w:pPr>
        <w:spacing w:after="0" w:line="196" w:lineRule="exact"/>
        <w:rPr>
          <w:sz w:val="20"/>
          <w:szCs w:val="20"/>
          <w:color w:val="auto"/>
        </w:rPr>
      </w:pPr>
    </w:p>
    <w:p>
      <w:pPr>
        <w:ind w:left="5360"/>
        <w:spacing w:after="0"/>
        <w:rPr>
          <w:sz w:val="20"/>
          <w:szCs w:val="20"/>
          <w:color w:val="auto"/>
        </w:rPr>
      </w:pPr>
      <w:r>
        <w:rPr>
          <w:rFonts w:ascii="Arial" w:cs="Arial" w:eastAsia="Arial" w:hAnsi="Arial"/>
          <w:sz w:val="22"/>
          <w:szCs w:val="22"/>
          <w:b w:val="1"/>
          <w:bCs w:val="1"/>
          <w:color w:val="auto"/>
        </w:rPr>
        <w:t>MATSON, INC.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6985</wp:posOffset>
            </wp:positionV>
            <wp:extent cx="25888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86"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Title:Vice President,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6985</wp:posOffset>
            </wp:positionV>
            <wp:extent cx="258889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9">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140"/>
        <w:spacing w:after="0"/>
        <w:rPr>
          <w:sz w:val="20"/>
          <w:szCs w:val="20"/>
          <w:color w:val="auto"/>
        </w:rPr>
      </w:pPr>
      <w:r>
        <w:rPr>
          <w:rFonts w:ascii="Arial" w:cs="Arial" w:eastAsia="Arial" w:hAnsi="Arial"/>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-151130</wp:posOffset>
            </wp:positionV>
            <wp:extent cx="25888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81" w:name="page182"/>
    <w:bookmarkEnd w:id="181"/>
    <w:p>
      <w:pPr>
        <w:jc w:val="center"/>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MATSON,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TIME-BASED RESTRICTED STOCK UNIT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AWARD AGREEMENT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RECITALS</w:t>
      </w:r>
    </w:p>
    <w:p>
      <w:pPr>
        <w:spacing w:after="0" w:line="239" w:lineRule="exact"/>
        <w:rPr>
          <w:sz w:val="20"/>
          <w:szCs w:val="20"/>
          <w:color w:val="auto"/>
        </w:rPr>
      </w:pPr>
    </w:p>
    <w:p>
      <w:pPr>
        <w:jc w:val="both"/>
        <w:ind w:firstLine="1304"/>
        <w:spacing w:after="0" w:line="282" w:lineRule="auto"/>
        <w:tabs>
          <w:tab w:leader="none" w:pos="1944" w:val="left"/>
        </w:tabs>
        <w:numPr>
          <w:ilvl w:val="0"/>
          <w:numId w:val="204"/>
        </w:numPr>
        <w:rPr>
          <w:rFonts w:ascii="Arial" w:cs="Arial" w:eastAsia="Arial" w:hAnsi="Arial"/>
          <w:sz w:val="19"/>
          <w:szCs w:val="19"/>
          <w:color w:val="auto"/>
        </w:rPr>
      </w:pPr>
      <w:r>
        <w:rPr>
          <w:rFonts w:ascii="Arial" w:cs="Arial" w:eastAsia="Arial" w:hAnsi="Arial"/>
          <w:sz w:val="19"/>
          <w:szCs w:val="19"/>
          <w:color w:val="auto"/>
        </w:rPr>
        <w:t>Matson, Inc., a Hawaii corporation (along with any subsequent corporate successor to all or substantially all of the assets or voting stock of Matson, Inc., which has by appropriate action assumed the Plan, the “Corporation”), has implemented the Plan for the purpose of providing eligible persons in the Corporation’s service with the opportunity to participate in one or more cash or equity incentive compensation programs designed to motivate, attract and retain the services of persons who contribute to the success of the Corporation.</w:t>
      </w:r>
    </w:p>
    <w:p>
      <w:pPr>
        <w:spacing w:after="0" w:line="147" w:lineRule="exact"/>
        <w:rPr>
          <w:rFonts w:ascii="Arial" w:cs="Arial" w:eastAsia="Arial" w:hAnsi="Arial"/>
          <w:sz w:val="19"/>
          <w:szCs w:val="19"/>
          <w:color w:val="auto"/>
        </w:rPr>
      </w:pPr>
    </w:p>
    <w:p>
      <w:pPr>
        <w:jc w:val="both"/>
        <w:ind w:firstLine="1304"/>
        <w:spacing w:after="0" w:line="297" w:lineRule="auto"/>
        <w:tabs>
          <w:tab w:leader="none" w:pos="1944" w:val="left"/>
        </w:tabs>
        <w:numPr>
          <w:ilvl w:val="0"/>
          <w:numId w:val="204"/>
        </w:numPr>
        <w:rPr>
          <w:rFonts w:ascii="Arial" w:cs="Arial" w:eastAsia="Arial" w:hAnsi="Arial"/>
          <w:sz w:val="19"/>
          <w:szCs w:val="19"/>
          <w:color w:val="auto"/>
        </w:rPr>
      </w:pPr>
      <w:r>
        <w:rPr>
          <w:rFonts w:ascii="Arial" w:cs="Arial" w:eastAsia="Arial" w:hAnsi="Arial"/>
          <w:sz w:val="19"/>
          <w:szCs w:val="19"/>
          <w:color w:val="auto"/>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spacing w:after="0" w:line="133" w:lineRule="exact"/>
        <w:rPr>
          <w:rFonts w:ascii="Arial" w:cs="Arial" w:eastAsia="Arial" w:hAnsi="Arial"/>
          <w:sz w:val="19"/>
          <w:szCs w:val="19"/>
          <w:color w:val="auto"/>
        </w:rPr>
      </w:pPr>
    </w:p>
    <w:p>
      <w:pPr>
        <w:ind w:firstLine="1304"/>
        <w:spacing w:after="0" w:line="250" w:lineRule="auto"/>
        <w:tabs>
          <w:tab w:leader="none" w:pos="1944" w:val="left"/>
        </w:tabs>
        <w:numPr>
          <w:ilvl w:val="0"/>
          <w:numId w:val="204"/>
        </w:numPr>
        <w:rPr>
          <w:rFonts w:ascii="Arial" w:cs="Arial" w:eastAsia="Arial" w:hAnsi="Arial"/>
          <w:sz w:val="22"/>
          <w:szCs w:val="22"/>
          <w:color w:val="auto"/>
        </w:rPr>
      </w:pPr>
      <w:r>
        <w:rPr>
          <w:rFonts w:ascii="Arial" w:cs="Arial" w:eastAsia="Arial" w:hAnsi="Arial"/>
          <w:sz w:val="22"/>
          <w:szCs w:val="22"/>
          <w:color w:val="auto"/>
        </w:rPr>
        <w:t xml:space="preserve">All capitalized terms in this Agreement shall have the meaning assigned to them in the attached </w:t>
      </w:r>
      <w:r>
        <w:rPr>
          <w:rFonts w:ascii="Arial" w:cs="Arial" w:eastAsia="Arial" w:hAnsi="Arial"/>
          <w:sz w:val="22"/>
          <w:szCs w:val="22"/>
          <w:u w:val="single" w:color="auto"/>
          <w:color w:val="auto"/>
        </w:rPr>
        <w:t>Appendix A</w:t>
      </w:r>
      <w:r>
        <w:rPr>
          <w:rFonts w:ascii="Arial" w:cs="Arial" w:eastAsia="Arial" w:hAnsi="Arial"/>
          <w:sz w:val="22"/>
          <w:szCs w:val="22"/>
          <w:color w:val="auto"/>
        </w:rPr>
        <w:t>, or if not defined in that appendix, as defined in the Plan.</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it is hereby agreed as follows:</w:t>
      </w:r>
    </w:p>
    <w:p>
      <w:pPr>
        <w:spacing w:after="0" w:line="206" w:lineRule="exact"/>
        <w:rPr>
          <w:sz w:val="20"/>
          <w:szCs w:val="20"/>
          <w:color w:val="auto"/>
        </w:rPr>
      </w:pPr>
    </w:p>
    <w:p>
      <w:pPr>
        <w:jc w:val="both"/>
        <w:ind w:firstLine="1304"/>
        <w:spacing w:after="0" w:line="239" w:lineRule="auto"/>
        <w:tabs>
          <w:tab w:leader="none" w:pos="1944" w:val="left"/>
        </w:tabs>
        <w:numPr>
          <w:ilvl w:val="0"/>
          <w:numId w:val="205"/>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Restricted Stock Units</w:t>
      </w:r>
      <w:r>
        <w:rPr>
          <w:rFonts w:ascii="Arial" w:cs="Arial" w:eastAsia="Arial" w:hAnsi="Arial"/>
          <w:sz w:val="22"/>
          <w:szCs w:val="22"/>
          <w:color w:val="auto"/>
        </w:rPr>
        <w:t>. The Corporation hereby awards to Participant,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Award Date, restricted stock units under the Plan. The number of RSUs and the applicable service vesting requirements for those RSUs are set forth in the Award Notice. The remaining terms and conditions governing the Award shall be as set forth in this Agreement.</w:t>
      </w:r>
    </w:p>
    <w:p>
      <w:pPr>
        <w:spacing w:after="0" w:line="180" w:lineRule="exact"/>
        <w:rPr>
          <w:rFonts w:ascii="Arial" w:cs="Arial" w:eastAsia="Arial" w:hAnsi="Arial"/>
          <w:sz w:val="22"/>
          <w:szCs w:val="22"/>
          <w:color w:val="auto"/>
        </w:rPr>
      </w:pPr>
    </w:p>
    <w:p>
      <w:pPr>
        <w:jc w:val="both"/>
        <w:ind w:firstLine="1304"/>
        <w:spacing w:after="0" w:line="274" w:lineRule="auto"/>
        <w:tabs>
          <w:tab w:leader="none" w:pos="1944" w:val="left"/>
        </w:tabs>
        <w:numPr>
          <w:ilvl w:val="0"/>
          <w:numId w:val="205"/>
        </w:numPr>
        <w:rPr>
          <w:rFonts w:ascii="Arial" w:cs="Arial" w:eastAsia="Arial" w:hAnsi="Arial"/>
          <w:sz w:val="19"/>
          <w:szCs w:val="19"/>
          <w:color w:val="auto"/>
        </w:rPr>
      </w:pPr>
      <w:r>
        <w:rPr>
          <w:rFonts w:ascii="Arial" w:cs="Arial" w:eastAsia="Arial" w:hAnsi="Arial"/>
          <w:sz w:val="19"/>
          <w:szCs w:val="19"/>
          <w:b w:val="1"/>
          <w:bCs w:val="1"/>
          <w:u w:val="single" w:color="auto"/>
          <w:color w:val="auto"/>
        </w:rPr>
        <w:t>Limited Transferability</w:t>
      </w:r>
      <w:r>
        <w:rPr>
          <w:rFonts w:ascii="Arial" w:cs="Arial" w:eastAsia="Arial" w:hAnsi="Arial"/>
          <w:sz w:val="19"/>
          <w:szCs w:val="19"/>
          <w:color w:val="auto"/>
        </w:rPr>
        <w:t>. Prior to the actual issuance of the Shares hereunder,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may not transfer any interest in the RSUs or the underlying Shares or pledge or otherwise hedge the sale of those RSUs or Shares, including (without limitation) any short sale or any acquisition or disposition of any put or call option or other instrument tied to the value of those RSUs or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become issuable hereunder in the name of a revocable living trust established for the exclusive benefit of either Participant or Participant and his or her spouse. Participant may make such a beneficiary designation or ownership directive at any time by filing the appropriate form with the Plan Administrator or its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82" w:name="page183"/>
    <w:bookmarkEnd w:id="182"/>
    <w:p>
      <w:pPr>
        <w:ind w:left="1960" w:hanging="656"/>
        <w:spacing w:after="0"/>
        <w:tabs>
          <w:tab w:leader="none" w:pos="1960" w:val="left"/>
        </w:tabs>
        <w:numPr>
          <w:ilvl w:val="0"/>
          <w:numId w:val="206"/>
        </w:numPr>
        <w:rPr>
          <w:rFonts w:ascii="Arial" w:cs="Arial" w:eastAsia="Arial" w:hAnsi="Arial"/>
          <w:sz w:val="22"/>
          <w:szCs w:val="22"/>
          <w:color w:val="auto"/>
        </w:rPr>
      </w:pPr>
      <w:r>
        <w:rPr>
          <w:rFonts w:ascii="Arial" w:cs="Arial" w:eastAsia="Arial" w:hAnsi="Arial"/>
          <w:sz w:val="22"/>
          <w:szCs w:val="22"/>
          <w:b w:val="1"/>
          <w:bCs w:val="1"/>
          <w:u w:val="single" w:color="auto"/>
          <w:color w:val="auto"/>
        </w:rPr>
        <w:t>Cessation of Service</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line="238" w:lineRule="auto"/>
        <w:tabs>
          <w:tab w:leader="none" w:pos="2592" w:val="left"/>
        </w:tabs>
        <w:numPr>
          <w:ilvl w:val="1"/>
          <w:numId w:val="206"/>
        </w:numPr>
        <w:rPr>
          <w:rFonts w:ascii="Arial" w:cs="Arial" w:eastAsia="Arial" w:hAnsi="Arial"/>
          <w:sz w:val="22"/>
          <w:szCs w:val="22"/>
          <w:color w:val="auto"/>
        </w:rPr>
      </w:pPr>
      <w:r>
        <w:rPr>
          <w:rFonts w:ascii="Arial" w:cs="Arial" w:eastAsia="Arial" w:hAnsi="Arial"/>
          <w:sz w:val="22"/>
          <w:szCs w:val="22"/>
          <w:color w:val="auto"/>
        </w:rPr>
        <w:t>Except to the extent otherwise provided in this Paragraph 3 or Paragraph 5 below, should Participant cease Service for any reason prior to vesting in one or more RSUs, then any unvested RSUs shall be automatically cancelled. Participant shall thereupon cease to have any right or entitlement to receive any Shares under those cancelled RSUs.</w:t>
      </w:r>
    </w:p>
    <w:p>
      <w:pPr>
        <w:spacing w:after="0" w:line="184" w:lineRule="exact"/>
        <w:rPr>
          <w:rFonts w:ascii="Arial" w:cs="Arial" w:eastAsia="Arial" w:hAnsi="Arial"/>
          <w:sz w:val="22"/>
          <w:szCs w:val="22"/>
          <w:color w:val="auto"/>
        </w:rPr>
      </w:pPr>
    </w:p>
    <w:p>
      <w:pPr>
        <w:jc w:val="both"/>
        <w:ind w:firstLine="1952"/>
        <w:spacing w:after="0" w:line="238" w:lineRule="auto"/>
        <w:tabs>
          <w:tab w:leader="none" w:pos="2592" w:val="left"/>
        </w:tabs>
        <w:numPr>
          <w:ilvl w:val="1"/>
          <w:numId w:val="206"/>
        </w:numPr>
        <w:rPr>
          <w:rFonts w:ascii="Arial" w:cs="Arial" w:eastAsia="Arial" w:hAnsi="Arial"/>
          <w:sz w:val="22"/>
          <w:szCs w:val="22"/>
          <w:color w:val="auto"/>
        </w:rPr>
      </w:pPr>
      <w:r>
        <w:rPr>
          <w:rFonts w:ascii="Arial" w:cs="Arial" w:eastAsia="Arial" w:hAnsi="Arial"/>
          <w:sz w:val="22"/>
          <w:szCs w:val="22"/>
          <w:color w:val="auto"/>
        </w:rPr>
        <w:t>Should Participant’s Service terminate by reason of his or her death or Permanent Disability prior to vesting in one or more RSUs, then the RSUs shall vest in full upon Participant’s termination of Service. The Shares subject to those vested RSUs shall be issued in accordance with the applicable provisions of Paragraph 7.</w:t>
      </w:r>
    </w:p>
    <w:p>
      <w:pPr>
        <w:spacing w:after="0" w:line="184" w:lineRule="exact"/>
        <w:rPr>
          <w:rFonts w:ascii="Arial" w:cs="Arial" w:eastAsia="Arial" w:hAnsi="Arial"/>
          <w:sz w:val="22"/>
          <w:szCs w:val="22"/>
          <w:color w:val="auto"/>
        </w:rPr>
      </w:pPr>
    </w:p>
    <w:p>
      <w:pPr>
        <w:jc w:val="both"/>
        <w:ind w:firstLine="1952"/>
        <w:spacing w:after="0" w:line="274" w:lineRule="auto"/>
        <w:tabs>
          <w:tab w:leader="none" w:pos="2592" w:val="left"/>
        </w:tabs>
        <w:numPr>
          <w:ilvl w:val="1"/>
          <w:numId w:val="206"/>
        </w:numPr>
        <w:rPr>
          <w:rFonts w:ascii="Arial" w:cs="Arial" w:eastAsia="Arial" w:hAnsi="Arial"/>
          <w:sz w:val="19"/>
          <w:szCs w:val="19"/>
          <w:color w:val="auto"/>
        </w:rPr>
      </w:pPr>
      <w:r>
        <w:rPr>
          <w:rFonts w:ascii="Arial" w:cs="Arial" w:eastAsia="Arial" w:hAnsi="Arial"/>
          <w:sz w:val="19"/>
          <w:szCs w:val="19"/>
          <w:color w:val="auto"/>
        </w:rPr>
        <w:t>Should Participant’s Service terminate by reason of his or her Early Retirement or Normal Retirement prior to vesting in all the RSUs subject to this Award in accordance with the annual installment vesting schedule set forth in the Award Notice, then Participant shall immediately vest in that number of additional RSUs (if any) in which Participant would have otherwise been vested at the time of such termination had the RSUs subject to this Award vested in a series of successive equal monthly installments over the duration of the vesting schedule set forth in the Award Notice. The RSUs which are deemed to vest on the basis of such monthly installment vesting schedule shall, together with any other RSUs which are at the time vested but unissued, be settled in Shares in accordance with the applicable provisions of Paragraph 7. The balance of the Award shall be automatically cancelled and cease to be outstanding upon such termination of Service.</w:t>
      </w:r>
    </w:p>
    <w:p>
      <w:pPr>
        <w:spacing w:after="0" w:line="152" w:lineRule="exact"/>
        <w:rPr>
          <w:rFonts w:ascii="Arial" w:cs="Arial" w:eastAsia="Arial" w:hAnsi="Arial"/>
          <w:sz w:val="19"/>
          <w:szCs w:val="19"/>
          <w:color w:val="auto"/>
        </w:rPr>
      </w:pPr>
    </w:p>
    <w:p>
      <w:pPr>
        <w:ind w:left="1960" w:hanging="656"/>
        <w:spacing w:after="0"/>
        <w:tabs>
          <w:tab w:leader="none" w:pos="1960" w:val="left"/>
        </w:tabs>
        <w:numPr>
          <w:ilvl w:val="0"/>
          <w:numId w:val="206"/>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Stockholder Rights and Dividend Equivalents</w:t>
      </w:r>
    </w:p>
    <w:p>
      <w:pPr>
        <w:spacing w:after="0" w:line="212" w:lineRule="exact"/>
        <w:rPr>
          <w:rFonts w:ascii="Arial" w:cs="Arial" w:eastAsia="Arial" w:hAnsi="Arial"/>
          <w:sz w:val="22"/>
          <w:szCs w:val="22"/>
          <w:color w:val="auto"/>
        </w:rPr>
      </w:pPr>
    </w:p>
    <w:p>
      <w:pPr>
        <w:jc w:val="both"/>
        <w:ind w:firstLine="1952"/>
        <w:spacing w:after="0" w:line="238" w:lineRule="auto"/>
        <w:tabs>
          <w:tab w:leader="none" w:pos="2592" w:val="left"/>
        </w:tabs>
        <w:numPr>
          <w:ilvl w:val="1"/>
          <w:numId w:val="206"/>
        </w:numPr>
        <w:rPr>
          <w:rFonts w:ascii="Arial" w:cs="Arial" w:eastAsia="Arial" w:hAnsi="Arial"/>
          <w:sz w:val="22"/>
          <w:szCs w:val="22"/>
          <w:color w:val="auto"/>
        </w:rPr>
      </w:pPr>
      <w:r>
        <w:rPr>
          <w:rFonts w:ascii="Arial" w:cs="Arial" w:eastAsia="Arial" w:hAnsi="Arial"/>
          <w:sz w:val="22"/>
          <w:szCs w:val="22"/>
          <w:color w:val="auto"/>
        </w:rPr>
        <w:t>The holder of this Award shall not have any stockholder rights, including voting, dividend or liquidation rights, with respect to the Shares subject to the Award until Participant becomes the record holder of those Shares upon their actual issuance following the Corporation’s collection of the applicable Withholding Taxes.</w:t>
      </w:r>
    </w:p>
    <w:p>
      <w:pPr>
        <w:spacing w:after="0" w:line="184" w:lineRule="exact"/>
        <w:rPr>
          <w:rFonts w:ascii="Arial" w:cs="Arial" w:eastAsia="Arial" w:hAnsi="Arial"/>
          <w:sz w:val="22"/>
          <w:szCs w:val="22"/>
          <w:color w:val="auto"/>
        </w:rPr>
      </w:pPr>
    </w:p>
    <w:p>
      <w:pPr>
        <w:jc w:val="both"/>
        <w:ind w:firstLine="1952"/>
        <w:spacing w:after="0" w:line="272" w:lineRule="auto"/>
        <w:tabs>
          <w:tab w:leader="none" w:pos="2592" w:val="left"/>
        </w:tabs>
        <w:numPr>
          <w:ilvl w:val="1"/>
          <w:numId w:val="206"/>
        </w:numPr>
        <w:rPr>
          <w:rFonts w:ascii="Arial" w:cs="Arial" w:eastAsia="Arial" w:hAnsi="Arial"/>
          <w:sz w:val="19"/>
          <w:szCs w:val="19"/>
          <w:color w:val="auto"/>
        </w:rPr>
      </w:pPr>
      <w:r>
        <w:rPr>
          <w:rFonts w:ascii="Arial" w:cs="Arial" w:eastAsia="Arial" w:hAnsi="Arial"/>
          <w:sz w:val="19"/>
          <w:szCs w:val="19"/>
          <w:color w:val="auto"/>
        </w:rPr>
        <w:t>Notwithstanding the foregoing, should any dividend or other distribution payable other than in shares of Common Stock be declared and paid on the Corporation’s outstanding Common Stock at a time when one or more Shares remain subject to this Award (i.e., those Shares are not otherwise issued and outstanding for purposes of entitlement to the dividend or distribution), then a special book account shall be established for Participant and credited with a phantom dividend equivalent to the actual dividend or distribution which would have been paid on those Shares had they been issued and outstanding and entitled to that dividend or distribution. The phantom dividend equivalents so credited to the Participant’s book account for each calendar quarter this Award remains outstanding in whole or in part shall be distributed to Participant (in cash or such other form as the Plan Administrator may deem appropriate in its sole discretion) on or after the date the dividend or other distribution is paid to holders of Common Stock, but in no case later than the last business day of that calendar quarter. However, each such distribution shall be subject to the Corporation’s collection of the Withholding Taxes applicable to that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83" w:name="page184"/>
    <w:bookmarkEnd w:id="183"/>
    <w:p>
      <w:pPr>
        <w:ind w:left="1960" w:hanging="656"/>
        <w:spacing w:after="0"/>
        <w:tabs>
          <w:tab w:leader="none" w:pos="1960" w:val="left"/>
        </w:tabs>
        <w:numPr>
          <w:ilvl w:val="0"/>
          <w:numId w:val="207"/>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line="270" w:lineRule="auto"/>
        <w:tabs>
          <w:tab w:leader="none" w:pos="2592" w:val="left"/>
        </w:tabs>
        <w:numPr>
          <w:ilvl w:val="1"/>
          <w:numId w:val="207"/>
        </w:numPr>
        <w:rPr>
          <w:rFonts w:ascii="Arial" w:cs="Arial" w:eastAsia="Arial" w:hAnsi="Arial"/>
          <w:sz w:val="19"/>
          <w:szCs w:val="19"/>
          <w:color w:val="auto"/>
        </w:rPr>
      </w:pPr>
      <w:r>
        <w:rPr>
          <w:rFonts w:ascii="Arial" w:cs="Arial" w:eastAsia="Arial" w:hAnsi="Arial"/>
          <w:sz w:val="19"/>
          <w:szCs w:val="19"/>
          <w:color w:val="auto"/>
        </w:rPr>
        <w:t xml:space="preserve">This Award, to the extent outstanding at the time of a Change in Control, may be assumed by the successor entity or otherwise continued in full force and effect or may be replaced with a substitute equivalent award by the successor entity. Any such assumption or continuation of this Award shall be effected in accordance with Paragraph 5(b) below. To the extent the substitute equivalent award is in the form of cash, a cash retention account shall be established in replacement of this Award and shall initially be credited with the Fair Market Value (determined at the effective time of the Change in Control) of the Shares subject to the Award at that time, and interest shall accrue on the outstanding balance of such account, for the period commencing with the closing date of the Change in Control and continuing through the date of the final payment of the account, including any deferred payment date under Paragraph 8, at a variable per annum rate, compounded semi-annually, equal to the prime rate of interest as in effect from time to time during such period, as determined on the basis of the prime rate quotations published by </w:t>
      </w:r>
      <w:r>
        <w:rPr>
          <w:rFonts w:ascii="Arial" w:cs="Arial" w:eastAsia="Arial" w:hAnsi="Arial"/>
          <w:sz w:val="19"/>
          <w:szCs w:val="19"/>
          <w:b w:val="1"/>
          <w:bCs w:val="1"/>
          <w:i w:val="1"/>
          <w:iCs w:val="1"/>
          <w:color w:val="auto"/>
        </w:rPr>
        <w:t>The Wall Street Journal</w:t>
      </w:r>
      <w:r>
        <w:rPr>
          <w:rFonts w:ascii="Arial" w:cs="Arial" w:eastAsia="Arial" w:hAnsi="Arial"/>
          <w:sz w:val="19"/>
          <w:szCs w:val="19"/>
          <w:color w:val="auto"/>
        </w:rPr>
        <w:t>. The substitute equivalent award shall vest and be paid out in accordance with the same vesting and payment schedule applicable to the Award, as set forth in Paragraphs 1 and 7, and the Participant’s interest in any substitute equivalent award shall at all times be that of a general, unsecured creditor. In the event of such assumption or continuation of this Award or such replacement of the Award with a substitute equivalent award, no accelerated vesting of the RSUs subject to this Award or the underlying Shares shall occur at the time of the Change in Control, and the Service-vesting provisions set forth in the Award Notice shall continue in full force and effect.</w:t>
      </w:r>
    </w:p>
    <w:p>
      <w:pPr>
        <w:spacing w:after="0" w:line="168" w:lineRule="exact"/>
        <w:rPr>
          <w:rFonts w:ascii="Arial" w:cs="Arial" w:eastAsia="Arial" w:hAnsi="Arial"/>
          <w:sz w:val="19"/>
          <w:szCs w:val="19"/>
          <w:color w:val="auto"/>
        </w:rPr>
      </w:pPr>
    </w:p>
    <w:p>
      <w:pPr>
        <w:jc w:val="both"/>
        <w:ind w:firstLine="1952"/>
        <w:spacing w:after="0" w:line="273" w:lineRule="auto"/>
        <w:tabs>
          <w:tab w:leader="none" w:pos="2592" w:val="left"/>
        </w:tabs>
        <w:numPr>
          <w:ilvl w:val="1"/>
          <w:numId w:val="207"/>
        </w:numPr>
        <w:rPr>
          <w:rFonts w:ascii="Arial" w:cs="Arial" w:eastAsia="Arial" w:hAnsi="Arial"/>
          <w:sz w:val="19"/>
          <w:szCs w:val="19"/>
          <w:color w:val="auto"/>
        </w:rPr>
      </w:pPr>
      <w:r>
        <w:rPr>
          <w:rFonts w:ascii="Arial" w:cs="Arial" w:eastAsia="Arial" w:hAnsi="Arial"/>
          <w:sz w:val="19"/>
          <w:szCs w:val="19"/>
          <w:color w:val="auto"/>
        </w:rPr>
        <w:t>In the event this Award is assumed, otherwise continued in effect, or replaced in connection with such Change in Control, the RSUs subject to the Award shall be adjusted immediately after the consummation of that Change in Control so as to apply to the number and class of securities into which the Shares subject to those RSUs immediately prior to the Change in Control would have been converted in consummation of that Change in Control had those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RSUs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spacing w:after="0" w:line="155" w:lineRule="exact"/>
        <w:rPr>
          <w:rFonts w:ascii="Arial" w:cs="Arial" w:eastAsia="Arial" w:hAnsi="Arial"/>
          <w:sz w:val="19"/>
          <w:szCs w:val="19"/>
          <w:color w:val="auto"/>
        </w:rPr>
      </w:pPr>
    </w:p>
    <w:p>
      <w:pPr>
        <w:jc w:val="both"/>
        <w:ind w:firstLine="1952"/>
        <w:spacing w:after="0" w:line="275" w:lineRule="auto"/>
        <w:tabs>
          <w:tab w:leader="none" w:pos="2592" w:val="left"/>
        </w:tabs>
        <w:numPr>
          <w:ilvl w:val="1"/>
          <w:numId w:val="207"/>
        </w:numPr>
        <w:rPr>
          <w:rFonts w:ascii="Arial" w:cs="Arial" w:eastAsia="Arial" w:hAnsi="Arial"/>
          <w:sz w:val="19"/>
          <w:szCs w:val="19"/>
          <w:color w:val="auto"/>
        </w:rPr>
      </w:pPr>
      <w:r>
        <w:rPr>
          <w:rFonts w:ascii="Arial" w:cs="Arial" w:eastAsia="Arial" w:hAnsi="Arial"/>
          <w:sz w:val="19"/>
          <w:szCs w:val="19"/>
          <w:color w:val="auto"/>
        </w:rPr>
        <w:t xml:space="preserve">Upon Participant’s Separation from Service due to an Involuntary Termination occurring within twelve (12) months after a Change in Control in which this Award is assumed or continued in effect, all of the RSUs at the time subject to this Award shall vest, or any substitute equivalent award, and the Shares underlying those RSUs shall be issued to Participant in accordance with the applicable provisions of Paragraph 7. Should the RSUs be replaced with a cash retention account in accordance with Paragraph 5(a), then the balance credited to Participant under that account at the time of his or her Separation from Service due to an Involuntary Termination shall immediately vest and shall be distributed to Participant in accordance with the applicable provisions of Paragraph 7;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Participant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84" w:name="page185"/>
    <w:bookmarkEnd w:id="184"/>
    <w:p>
      <w:pPr>
        <w:spacing w:after="0" w:line="250" w:lineRule="auto"/>
        <w:rPr>
          <w:sz w:val="20"/>
          <w:szCs w:val="20"/>
          <w:color w:val="auto"/>
        </w:rPr>
      </w:pPr>
      <w:r>
        <w:rPr>
          <w:rFonts w:ascii="Arial" w:cs="Arial" w:eastAsia="Arial" w:hAnsi="Arial"/>
          <w:sz w:val="22"/>
          <w:szCs w:val="22"/>
          <w:color w:val="auto"/>
        </w:rPr>
        <w:t>vest and be entitled to such distribution only if such Involuntary Termination occurs within twelve (12) months following the Change in Control.</w:t>
      </w:r>
    </w:p>
    <w:p>
      <w:pPr>
        <w:spacing w:after="0" w:line="175" w:lineRule="exact"/>
        <w:rPr>
          <w:sz w:val="20"/>
          <w:szCs w:val="20"/>
          <w:color w:val="auto"/>
        </w:rPr>
      </w:pPr>
    </w:p>
    <w:p>
      <w:pPr>
        <w:jc w:val="both"/>
        <w:ind w:firstLine="1952"/>
        <w:spacing w:after="0" w:line="236" w:lineRule="auto"/>
        <w:tabs>
          <w:tab w:leader="none" w:pos="2592" w:val="left"/>
        </w:tabs>
        <w:numPr>
          <w:ilvl w:val="1"/>
          <w:numId w:val="208"/>
        </w:numPr>
        <w:rPr>
          <w:rFonts w:ascii="Arial" w:cs="Arial" w:eastAsia="Arial" w:hAnsi="Arial"/>
          <w:sz w:val="22"/>
          <w:szCs w:val="22"/>
          <w:color w:val="auto"/>
        </w:rPr>
      </w:pPr>
      <w:r>
        <w:rPr>
          <w:rFonts w:ascii="Arial" w:cs="Arial" w:eastAsia="Arial" w:hAnsi="Arial"/>
          <w:sz w:val="22"/>
          <w:szCs w:val="22"/>
          <w:color w:val="auto"/>
        </w:rPr>
        <w:t>If the RSUs subject to this Award at the time of the Change in Control are not assumed or otherwise continued in effect or replaced with substitute equivalent award in accordance with Paragraph 5(a), then those RSUs shall vest immediately prior to the closing of the Change in Control, and Participant shall become entitled to a vested distribution in accordance with the applicable provisions of Paragraph 7.</w:t>
      </w:r>
    </w:p>
    <w:p>
      <w:pPr>
        <w:spacing w:after="0" w:line="187" w:lineRule="exact"/>
        <w:rPr>
          <w:rFonts w:ascii="Arial" w:cs="Arial" w:eastAsia="Arial" w:hAnsi="Arial"/>
          <w:sz w:val="22"/>
          <w:szCs w:val="22"/>
          <w:color w:val="auto"/>
        </w:rPr>
      </w:pPr>
    </w:p>
    <w:p>
      <w:pPr>
        <w:jc w:val="both"/>
        <w:ind w:firstLine="1952"/>
        <w:spacing w:after="0"/>
        <w:tabs>
          <w:tab w:leader="none" w:pos="2592" w:val="left"/>
        </w:tabs>
        <w:numPr>
          <w:ilvl w:val="1"/>
          <w:numId w:val="208"/>
        </w:numPr>
        <w:rPr>
          <w:rFonts w:ascii="Arial" w:cs="Arial" w:eastAsia="Arial" w:hAnsi="Arial"/>
          <w:sz w:val="22"/>
          <w:szCs w:val="22"/>
          <w:color w:val="auto"/>
        </w:rPr>
      </w:pPr>
      <w:r>
        <w:rPr>
          <w:rFonts w:ascii="Arial" w:cs="Arial" w:eastAsia="Arial" w:hAnsi="Arial"/>
          <w:sz w:val="22"/>
          <w:szCs w:val="22"/>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80" w:lineRule="exact"/>
        <w:rPr>
          <w:rFonts w:ascii="Arial" w:cs="Arial" w:eastAsia="Arial" w:hAnsi="Arial"/>
          <w:sz w:val="22"/>
          <w:szCs w:val="22"/>
          <w:color w:val="auto"/>
        </w:rPr>
      </w:pPr>
    </w:p>
    <w:p>
      <w:pPr>
        <w:jc w:val="both"/>
        <w:ind w:firstLine="1304"/>
        <w:spacing w:after="0" w:line="272" w:lineRule="auto"/>
        <w:tabs>
          <w:tab w:leader="none" w:pos="1944" w:val="left"/>
        </w:tabs>
        <w:numPr>
          <w:ilvl w:val="0"/>
          <w:numId w:val="209"/>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in Shares</w:t>
      </w:r>
      <w:r>
        <w:rPr>
          <w:rFonts w:ascii="Arial" w:cs="Arial" w:eastAsia="Arial" w:hAnsi="Arial"/>
          <w:sz w:val="19"/>
          <w:szCs w:val="19"/>
          <w:color w:val="auto"/>
        </w:rPr>
        <w:t>. Should any change be made to the Common Stock by reason of</w:t>
      </w:r>
      <w:r>
        <w:rPr>
          <w:rFonts w:ascii="Arial" w:cs="Arial" w:eastAsia="Arial" w:hAnsi="Arial"/>
          <w:sz w:val="19"/>
          <w:szCs w:val="19"/>
          <w:b w:val="1"/>
          <w:bCs w:val="1"/>
          <w:color w:val="auto"/>
        </w:rPr>
        <w:t xml:space="preserve"> </w:t>
      </w:r>
      <w:r>
        <w:rPr>
          <w:rFonts w:ascii="Arial" w:cs="Arial" w:eastAsia="Arial" w:hAnsi="Arial"/>
          <w:sz w:val="19"/>
          <w:szCs w:val="19"/>
          <w:color w:val="auto"/>
        </w:rPr>
        <w:t>any 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the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4(b) in connection with the transaction, and the determination of the Plan Administrator shall be final, binding and conclusive as provided in Section III.C of Article One of the Plan. In the event of any Change in Control transaction, the adjustment provisions of Paragraph 5(b) shall be controlling.</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1960" w:hanging="656"/>
        <w:spacing w:after="0"/>
        <w:tabs>
          <w:tab w:leader="none" w:pos="1960" w:val="left"/>
        </w:tabs>
        <w:numPr>
          <w:ilvl w:val="0"/>
          <w:numId w:val="209"/>
        </w:numPr>
        <w:rPr>
          <w:rFonts w:ascii="Arial" w:cs="Arial" w:eastAsia="Arial" w:hAnsi="Arial"/>
          <w:sz w:val="19"/>
          <w:szCs w:val="19"/>
          <w:color w:val="auto"/>
        </w:rPr>
      </w:pPr>
      <w:r>
        <w:rPr>
          <w:rFonts w:ascii="Arial" w:cs="Arial" w:eastAsia="Arial" w:hAnsi="Arial"/>
          <w:sz w:val="19"/>
          <w:szCs w:val="19"/>
          <w:b w:val="1"/>
          <w:bCs w:val="1"/>
          <w:u w:val="single" w:color="auto"/>
          <w:color w:val="auto"/>
        </w:rPr>
        <w:t>Issuance  or  Distribution  of  Shares  or  Other  Vested  Amounts  and  Applicable</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u w:val="single" w:color="auto"/>
          <w:color w:val="auto"/>
        </w:rPr>
        <w:t>Withholding Taxes.</w:t>
      </w:r>
    </w:p>
    <w:p>
      <w:pPr>
        <w:spacing w:after="0" w:line="188" w:lineRule="exact"/>
        <w:rPr>
          <w:rFonts w:ascii="Arial" w:cs="Arial" w:eastAsia="Arial" w:hAnsi="Arial"/>
          <w:sz w:val="19"/>
          <w:szCs w:val="19"/>
          <w:color w:val="auto"/>
        </w:rPr>
      </w:pPr>
    </w:p>
    <w:p>
      <w:pPr>
        <w:jc w:val="both"/>
        <w:ind w:firstLine="1952"/>
        <w:spacing w:after="0"/>
        <w:tabs>
          <w:tab w:leader="none" w:pos="2592" w:val="left"/>
        </w:tabs>
        <w:numPr>
          <w:ilvl w:val="1"/>
          <w:numId w:val="209"/>
        </w:numPr>
        <w:rPr>
          <w:rFonts w:ascii="Arial" w:cs="Arial" w:eastAsia="Arial" w:hAnsi="Arial"/>
          <w:sz w:val="22"/>
          <w:szCs w:val="22"/>
          <w:color w:val="auto"/>
        </w:rPr>
      </w:pPr>
      <w:r>
        <w:rPr>
          <w:rFonts w:ascii="Arial" w:cs="Arial" w:eastAsia="Arial" w:hAnsi="Arial"/>
          <w:sz w:val="22"/>
          <w:szCs w:val="22"/>
          <w:color w:val="auto"/>
        </w:rPr>
        <w:t>The following provisions shall govern the issuance of the Shares (or any replacement or substitute amounts under Paragraph 5) which vest in accordance with the provisions of this Agreement:</w:t>
      </w:r>
    </w:p>
    <w:p>
      <w:pPr>
        <w:spacing w:after="0" w:line="186" w:lineRule="exact"/>
        <w:rPr>
          <w:rFonts w:ascii="Arial" w:cs="Arial" w:eastAsia="Arial" w:hAnsi="Arial"/>
          <w:sz w:val="22"/>
          <w:szCs w:val="22"/>
          <w:color w:val="auto"/>
        </w:rPr>
      </w:pPr>
    </w:p>
    <w:p>
      <w:pPr>
        <w:jc w:val="both"/>
        <w:ind w:left="660" w:firstLine="1940"/>
        <w:spacing w:after="0" w:line="252" w:lineRule="auto"/>
        <w:tabs>
          <w:tab w:leader="none" w:pos="3252" w:val="left"/>
        </w:tabs>
        <w:numPr>
          <w:ilvl w:val="2"/>
          <w:numId w:val="209"/>
        </w:numPr>
        <w:rPr>
          <w:rFonts w:ascii="Arial" w:cs="Arial" w:eastAsia="Arial" w:hAnsi="Arial"/>
          <w:sz w:val="21"/>
          <w:szCs w:val="21"/>
          <w:color w:val="auto"/>
        </w:rPr>
      </w:pPr>
      <w:r>
        <w:rPr>
          <w:rFonts w:ascii="Arial" w:cs="Arial" w:eastAsia="Arial" w:hAnsi="Arial"/>
          <w:sz w:val="21"/>
          <w:szCs w:val="21"/>
          <w:color w:val="auto"/>
        </w:rPr>
        <w:t>On each Vesting and Issuance Date specified in the Award Notice, the Shares underlying the RSUs which vest at that time or which are otherwise deemed to have vested during the twelve (12)-month period ending with that date but have not otherwise been issued in accordance with any other applicable provision of this Paragraph 7(a) shall be issued.</w:t>
      </w:r>
    </w:p>
    <w:p>
      <w:pPr>
        <w:spacing w:after="0" w:line="173" w:lineRule="exact"/>
        <w:rPr>
          <w:rFonts w:ascii="Arial" w:cs="Arial" w:eastAsia="Arial" w:hAnsi="Arial"/>
          <w:sz w:val="21"/>
          <w:szCs w:val="21"/>
          <w:color w:val="auto"/>
        </w:rPr>
      </w:pPr>
    </w:p>
    <w:p>
      <w:pPr>
        <w:jc w:val="both"/>
        <w:ind w:left="660" w:firstLine="1940"/>
        <w:spacing w:after="0" w:line="238" w:lineRule="auto"/>
        <w:tabs>
          <w:tab w:leader="none" w:pos="3252" w:val="left"/>
        </w:tabs>
        <w:numPr>
          <w:ilvl w:val="2"/>
          <w:numId w:val="209"/>
        </w:numPr>
        <w:rPr>
          <w:rFonts w:ascii="Arial" w:cs="Arial" w:eastAsia="Arial" w:hAnsi="Arial"/>
          <w:sz w:val="22"/>
          <w:szCs w:val="22"/>
          <w:color w:val="auto"/>
        </w:rPr>
      </w:pPr>
      <w:r>
        <w:rPr>
          <w:rFonts w:ascii="Arial" w:cs="Arial" w:eastAsia="Arial" w:hAnsi="Arial"/>
          <w:sz w:val="22"/>
          <w:szCs w:val="22"/>
          <w:color w:val="auto"/>
        </w:rPr>
        <w:t>Shares underlying RSUs which vest on an accelerated basis upon the Participant’s cessation of Service under Paragraph 3(b) or 3(c) or upon his or her Involuntary Termination under Paragraph 5(c) shall be issued on the date of Participant’s Separation from Service due to such cessation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85" w:name="page186"/>
    <w:bookmarkEnd w:id="185"/>
    <w:p>
      <w:pPr>
        <w:jc w:val="both"/>
        <w:ind w:left="200"/>
        <w:spacing w:after="0" w:line="249" w:lineRule="auto"/>
        <w:rPr>
          <w:sz w:val="20"/>
          <w:szCs w:val="20"/>
          <w:color w:val="auto"/>
        </w:rPr>
      </w:pPr>
      <w:r>
        <w:rPr>
          <w:rFonts w:ascii="Arial" w:cs="Arial" w:eastAsia="Arial" w:hAnsi="Arial"/>
          <w:sz w:val="21"/>
          <w:szCs w:val="21"/>
          <w:color w:val="auto"/>
        </w:rPr>
        <w:t>Service or Involuntary Termination. Any distribution from the cash retention account to which Participant is entitled under Paragraph 5(c) upon his or her Involuntary Termination shall be paid in a lump sum on the date of his or her Separation from Service due to such Involuntary Termination. However, any issuance or distribution pursuant to the provisions of this subparagraph (ii) shall be subject to the deferred issuance provisions of Paragraph 8, to the extent applicable.</w:t>
      </w:r>
    </w:p>
    <w:p>
      <w:pPr>
        <w:spacing w:after="0" w:line="178" w:lineRule="exact"/>
        <w:rPr>
          <w:sz w:val="20"/>
          <w:szCs w:val="20"/>
          <w:color w:val="auto"/>
        </w:rPr>
      </w:pPr>
    </w:p>
    <w:p>
      <w:pPr>
        <w:jc w:val="both"/>
        <w:ind w:left="200" w:firstLine="1940"/>
        <w:spacing w:after="0" w:line="275" w:lineRule="auto"/>
        <w:tabs>
          <w:tab w:leader="none" w:pos="2792" w:val="left"/>
        </w:tabs>
        <w:numPr>
          <w:ilvl w:val="0"/>
          <w:numId w:val="210"/>
        </w:numPr>
        <w:rPr>
          <w:rFonts w:ascii="Arial" w:cs="Arial" w:eastAsia="Arial" w:hAnsi="Arial"/>
          <w:sz w:val="19"/>
          <w:szCs w:val="19"/>
          <w:color w:val="auto"/>
        </w:rPr>
      </w:pPr>
      <w:r>
        <w:rPr>
          <w:rFonts w:ascii="Arial" w:cs="Arial" w:eastAsia="Arial" w:hAnsi="Arial"/>
          <w:sz w:val="19"/>
          <w:szCs w:val="19"/>
          <w:color w:val="auto"/>
        </w:rPr>
        <w:t xml:space="preserve">Shares underlying RSUs which vest under Paragraph 5(d) shall be converted into the right to receive the same consideration per share of Common Stock payable to the other stockholders of the Corporation in consummation of the Change in Control transaction, and such consideration per Share shall be distributed to Participant upon the </w:t>
      </w:r>
      <w:r>
        <w:rPr>
          <w:rFonts w:ascii="Arial" w:cs="Arial" w:eastAsia="Arial" w:hAnsi="Arial"/>
          <w:sz w:val="19"/>
          <w:szCs w:val="19"/>
          <w:b w:val="1"/>
          <w:bCs w:val="1"/>
          <w:i w:val="1"/>
          <w:iCs w:val="1"/>
          <w:color w:val="auto"/>
        </w:rPr>
        <w:t>earliest</w:t>
      </w:r>
      <w:r>
        <w:rPr>
          <w:rFonts w:ascii="Arial" w:cs="Arial" w:eastAsia="Arial" w:hAnsi="Arial"/>
          <w:sz w:val="19"/>
          <w:szCs w:val="19"/>
          <w:color w:val="auto"/>
        </w:rPr>
        <w:t xml:space="preserve"> to occur of (i) the Vesting and Issuance Date on which the particular Shares to which such consideration relates would have been issued in the absence of such Change in Control, (ii) the date of Participant’s Separation from Service or (iii) the first date following a Qualifying Change in Control on which the distribution can be made without contravention of any applicable provisions of Section 409A of the Code (“Section 409A”).</w:t>
      </w:r>
    </w:p>
    <w:p>
      <w:pPr>
        <w:spacing w:after="0" w:line="157" w:lineRule="exact"/>
        <w:rPr>
          <w:rFonts w:ascii="Arial" w:cs="Arial" w:eastAsia="Arial" w:hAnsi="Arial"/>
          <w:sz w:val="19"/>
          <w:szCs w:val="19"/>
          <w:color w:val="auto"/>
        </w:rPr>
      </w:pPr>
    </w:p>
    <w:p>
      <w:pPr>
        <w:jc w:val="both"/>
        <w:ind w:left="200" w:firstLine="1940"/>
        <w:spacing w:after="0" w:line="272" w:lineRule="auto"/>
        <w:tabs>
          <w:tab w:leader="none" w:pos="2792" w:val="left"/>
        </w:tabs>
        <w:numPr>
          <w:ilvl w:val="0"/>
          <w:numId w:val="210"/>
        </w:numPr>
        <w:rPr>
          <w:rFonts w:ascii="Arial" w:cs="Arial" w:eastAsia="Arial" w:hAnsi="Arial"/>
          <w:sz w:val="19"/>
          <w:szCs w:val="19"/>
          <w:color w:val="auto"/>
        </w:rPr>
      </w:pPr>
      <w:r>
        <w:rPr>
          <w:rFonts w:ascii="Arial" w:cs="Arial" w:eastAsia="Arial" w:hAnsi="Arial"/>
          <w:sz w:val="19"/>
          <w:szCs w:val="19"/>
          <w:color w:val="auto"/>
        </w:rPr>
        <w:t xml:space="preserve">To the extent the consideration payable per share of Common Stock in the Change in Control is in the form of cash, a fully-vested cash retention account shall be established by the successor entity at the time of such Change in Control for any Shares subject to this Award that vest on an accelerated basis under Paragraph 5(d). Such account shall be credited with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8, at a variable per annum rate, compounded semi-annually, equal to the prime rate of interest as in effect from time to time during such period, as determined on the basis of the prime rate quotations published by </w:t>
      </w:r>
      <w:r>
        <w:rPr>
          <w:rFonts w:ascii="Arial" w:cs="Arial" w:eastAsia="Arial" w:hAnsi="Arial"/>
          <w:sz w:val="19"/>
          <w:szCs w:val="19"/>
          <w:b w:val="1"/>
          <w:bCs w:val="1"/>
          <w:i w:val="1"/>
          <w:iCs w:val="1"/>
          <w:color w:val="auto"/>
        </w:rPr>
        <w:t>The Wall Street Journal</w:t>
      </w:r>
      <w:r>
        <w:rPr>
          <w:rFonts w:ascii="Arial" w:cs="Arial" w:eastAsia="Arial" w:hAnsi="Arial"/>
          <w:sz w:val="19"/>
          <w:szCs w:val="19"/>
          <w:color w:val="auto"/>
        </w:rPr>
        <w:t>. The cash retention account, together with all accrued interest thereon through the actual payment date, shall be distributed in accordance with the same distribution provisions in effect under Paragraph 7(a)(iii), and the Participant’s interest in the account shall at all times be that of a general, unsecured creditor.</w:t>
      </w:r>
    </w:p>
    <w:p>
      <w:pPr>
        <w:spacing w:after="0" w:line="160" w:lineRule="exact"/>
        <w:rPr>
          <w:rFonts w:ascii="Arial" w:cs="Arial" w:eastAsia="Arial" w:hAnsi="Arial"/>
          <w:sz w:val="19"/>
          <w:szCs w:val="19"/>
          <w:color w:val="auto"/>
        </w:rPr>
      </w:pPr>
    </w:p>
    <w:p>
      <w:pPr>
        <w:jc w:val="both"/>
        <w:ind w:left="200" w:firstLine="1940"/>
        <w:spacing w:after="0" w:line="287" w:lineRule="auto"/>
        <w:tabs>
          <w:tab w:leader="none" w:pos="3037" w:val="left"/>
        </w:tabs>
        <w:numPr>
          <w:ilvl w:val="0"/>
          <w:numId w:val="210"/>
        </w:numPr>
        <w:rPr>
          <w:rFonts w:ascii="Arial" w:cs="Arial" w:eastAsia="Arial" w:hAnsi="Arial"/>
          <w:sz w:val="19"/>
          <w:szCs w:val="19"/>
          <w:color w:val="auto"/>
        </w:rPr>
      </w:pPr>
      <w:r>
        <w:rPr>
          <w:rFonts w:ascii="Arial" w:cs="Arial" w:eastAsia="Arial" w:hAnsi="Arial"/>
          <w:sz w:val="19"/>
          <w:szCs w:val="19"/>
          <w:color w:val="auto"/>
        </w:rPr>
        <w:t>Any issuance or distribution to be made pursuant to the foregoing provisions of this Paragraph 7(a) shall be made on the designated issuance or distribution date or as soon as administratively practicable thereafter. In no event, however, shall such issuance or distribution be made later than the fifteenth (15th) day of the third (3rd) calendar month following that date.</w:t>
      </w:r>
    </w:p>
    <w:p>
      <w:pPr>
        <w:spacing w:after="0" w:line="142" w:lineRule="exact"/>
        <w:rPr>
          <w:rFonts w:ascii="Arial" w:cs="Arial" w:eastAsia="Arial" w:hAnsi="Arial"/>
          <w:sz w:val="19"/>
          <w:szCs w:val="19"/>
          <w:color w:val="auto"/>
        </w:rPr>
      </w:pPr>
    </w:p>
    <w:p>
      <w:pPr>
        <w:jc w:val="both"/>
        <w:ind w:left="200" w:firstLine="1940"/>
        <w:spacing w:after="0"/>
        <w:tabs>
          <w:tab w:leader="none" w:pos="2792" w:val="left"/>
        </w:tabs>
        <w:numPr>
          <w:ilvl w:val="0"/>
          <w:numId w:val="210"/>
        </w:numPr>
        <w:rPr>
          <w:rFonts w:ascii="Arial" w:cs="Arial" w:eastAsia="Arial" w:hAnsi="Arial"/>
          <w:sz w:val="22"/>
          <w:szCs w:val="22"/>
          <w:color w:val="auto"/>
        </w:rPr>
      </w:pPr>
      <w:r>
        <w:rPr>
          <w:rFonts w:ascii="Arial" w:cs="Arial" w:eastAsia="Arial" w:hAnsi="Arial"/>
          <w:sz w:val="22"/>
          <w:szCs w:val="22"/>
          <w:color w:val="auto"/>
        </w:rPr>
        <w:t>Each issuance or distribution to be made pursuant to this Paragraph 7(a) shall be subject to the Corporation’s collection of all applicable Withholding Taxes, in accordance with the provisions of Paragraphs 7(b) and 7(c).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7" w:right="999" w:bottom="1440" w:gutter="0" w:footer="0" w:header="0"/>
        </w:sectPr>
      </w:pPr>
    </w:p>
    <w:bookmarkStart w:id="186" w:name="page187"/>
    <w:bookmarkEnd w:id="186"/>
    <w:p>
      <w:pPr>
        <w:jc w:val="both"/>
        <w:ind w:left="660" w:firstLine="1940"/>
        <w:spacing w:after="0" w:line="287" w:lineRule="auto"/>
        <w:tabs>
          <w:tab w:leader="none" w:pos="3252" w:val="left"/>
        </w:tabs>
        <w:numPr>
          <w:ilvl w:val="1"/>
          <w:numId w:val="211"/>
        </w:numPr>
        <w:rPr>
          <w:rFonts w:ascii="Arial" w:cs="Arial" w:eastAsia="Arial" w:hAnsi="Arial"/>
          <w:sz w:val="19"/>
          <w:szCs w:val="19"/>
          <w:color w:val="auto"/>
        </w:rPr>
      </w:pPr>
      <w:r>
        <w:rPr>
          <w:rFonts w:ascii="Arial" w:cs="Arial" w:eastAsia="Arial" w:hAnsi="Arial"/>
          <w:sz w:val="19"/>
          <w:szCs w:val="19"/>
          <w:color w:val="auto"/>
        </w:rPr>
        <w:t>Any Shares to be issued to Participant in accordance with the foregoing provisions of this Agreement shall be in the form of a book entry evidencing ownership of those Shares. Actual certificates for any vested Shares evidenced by book entry ownership shall be promptly delivered upon the request of Participant or any other person having an interest at the time in those Shares.</w:t>
      </w:r>
    </w:p>
    <w:p>
      <w:pPr>
        <w:spacing w:after="0" w:line="142" w:lineRule="exact"/>
        <w:rPr>
          <w:rFonts w:ascii="Arial" w:cs="Arial" w:eastAsia="Arial" w:hAnsi="Arial"/>
          <w:sz w:val="19"/>
          <w:szCs w:val="19"/>
          <w:color w:val="auto"/>
        </w:rPr>
      </w:pPr>
    </w:p>
    <w:p>
      <w:pPr>
        <w:jc w:val="both"/>
        <w:ind w:firstLine="1952"/>
        <w:spacing w:after="0" w:line="257" w:lineRule="auto"/>
        <w:tabs>
          <w:tab w:leader="none" w:pos="2592" w:val="left"/>
        </w:tabs>
        <w:numPr>
          <w:ilvl w:val="0"/>
          <w:numId w:val="212"/>
        </w:numPr>
        <w:rPr>
          <w:rFonts w:ascii="Arial" w:cs="Arial" w:eastAsia="Arial" w:hAnsi="Arial"/>
          <w:sz w:val="21"/>
          <w:szCs w:val="21"/>
          <w:color w:val="auto"/>
        </w:rPr>
      </w:pPr>
      <w:r>
        <w:rPr>
          <w:rFonts w:ascii="Arial" w:cs="Arial" w:eastAsia="Arial" w:hAnsi="Arial"/>
          <w:sz w:val="21"/>
          <w:szCs w:val="21"/>
          <w:color w:val="auto"/>
        </w:rPr>
        <w:t>The Corporation shall collect the Withholding Taxes with respect to each non-Share distribution by withholding a portion of that distribution equal to the amount of the applicable Withholding Taxes, with the cash portion of the distribution to be the first portion so withheld.</w:t>
      </w:r>
    </w:p>
    <w:p>
      <w:pPr>
        <w:spacing w:after="0" w:line="169" w:lineRule="exact"/>
        <w:rPr>
          <w:rFonts w:ascii="Arial" w:cs="Arial" w:eastAsia="Arial" w:hAnsi="Arial"/>
          <w:sz w:val="21"/>
          <w:szCs w:val="21"/>
          <w:color w:val="auto"/>
        </w:rPr>
      </w:pPr>
    </w:p>
    <w:p>
      <w:pPr>
        <w:jc w:val="both"/>
        <w:ind w:firstLine="1952"/>
        <w:spacing w:after="0"/>
        <w:tabs>
          <w:tab w:leader="none" w:pos="2592" w:val="left"/>
        </w:tabs>
        <w:numPr>
          <w:ilvl w:val="0"/>
          <w:numId w:val="212"/>
        </w:numPr>
        <w:rPr>
          <w:rFonts w:ascii="Arial" w:cs="Arial" w:eastAsia="Arial" w:hAnsi="Arial"/>
          <w:sz w:val="22"/>
          <w:szCs w:val="22"/>
          <w:color w:val="auto"/>
        </w:rPr>
      </w:pPr>
      <w:r>
        <w:rPr>
          <w:rFonts w:ascii="Arial" w:cs="Arial" w:eastAsia="Arial" w:hAnsi="Arial"/>
          <w:sz w:val="22"/>
          <w:szCs w:val="22"/>
          <w:color w:val="auto"/>
        </w:rPr>
        <w:t>The following provisions shall govern the US Withholding Taxes on the Shares (or any replacement or substitute securities, property or other amounts under Paragraphs 5 or 6 above) which vest in accordance with the provisions of this Agreement:</w:t>
      </w:r>
    </w:p>
    <w:p>
      <w:pPr>
        <w:spacing w:after="0" w:line="186" w:lineRule="exact"/>
        <w:rPr>
          <w:rFonts w:ascii="Arial" w:cs="Arial" w:eastAsia="Arial" w:hAnsi="Arial"/>
          <w:sz w:val="22"/>
          <w:szCs w:val="22"/>
          <w:color w:val="auto"/>
        </w:rPr>
      </w:pPr>
    </w:p>
    <w:p>
      <w:pPr>
        <w:jc w:val="both"/>
        <w:ind w:left="660" w:firstLine="1940"/>
        <w:spacing w:after="0" w:line="273" w:lineRule="auto"/>
        <w:tabs>
          <w:tab w:leader="none" w:pos="3252" w:val="left"/>
        </w:tabs>
        <w:numPr>
          <w:ilvl w:val="1"/>
          <w:numId w:val="212"/>
        </w:numPr>
        <w:rPr>
          <w:rFonts w:ascii="Arial" w:cs="Arial" w:eastAsia="Arial" w:hAnsi="Arial"/>
          <w:sz w:val="19"/>
          <w:szCs w:val="19"/>
          <w:color w:val="auto"/>
        </w:rPr>
      </w:pPr>
      <w:r>
        <w:rPr>
          <w:rFonts w:ascii="Arial" w:cs="Arial" w:eastAsia="Arial" w:hAnsi="Arial"/>
          <w:sz w:val="19"/>
          <w:szCs w:val="19"/>
          <w:color w:val="auto"/>
        </w:rPr>
        <w:t>The Corporation may, in its sole discretion and subject to the following sentence, establish a procedure to permit the satisfaction of the Withholding Taxes by the Participant in the form of cash and shall inform Participant of any such procedure (the “Alternate Arrangement”). In the event an Alternate Arrangement is approved, Participant shall (i) make satisfactory arrangements with the Corporation’s Human Resources Department, on or before the expiration of the notification period designated by the Corporation preceding each applicable issuance date of the Shares, to pay the applicable Withholding Taxes through the delivery of cash or a cash equivalent to the Corporation in the amount of such Withholding Taxes and (ii) deliver such payment to the Corporation not later than that issuance date. Otherwise the Corporation shall collect the Withholding Taxes applicable to the Share issuance through the automatic share withholding method set forth in Section 7(c)(ii).</w:t>
      </w:r>
    </w:p>
    <w:p>
      <w:pPr>
        <w:spacing w:after="0" w:line="154" w:lineRule="exact"/>
        <w:rPr>
          <w:rFonts w:ascii="Arial" w:cs="Arial" w:eastAsia="Arial" w:hAnsi="Arial"/>
          <w:sz w:val="19"/>
          <w:szCs w:val="19"/>
          <w:color w:val="auto"/>
        </w:rPr>
      </w:pPr>
    </w:p>
    <w:p>
      <w:pPr>
        <w:jc w:val="both"/>
        <w:ind w:left="660" w:firstLine="1940"/>
        <w:spacing w:after="0" w:line="278" w:lineRule="auto"/>
        <w:tabs>
          <w:tab w:leader="none" w:pos="3252" w:val="left"/>
        </w:tabs>
        <w:numPr>
          <w:ilvl w:val="1"/>
          <w:numId w:val="212"/>
        </w:numPr>
        <w:rPr>
          <w:rFonts w:ascii="Arial" w:cs="Arial" w:eastAsia="Arial" w:hAnsi="Arial"/>
          <w:sz w:val="19"/>
          <w:szCs w:val="19"/>
          <w:color w:val="auto"/>
        </w:rPr>
      </w:pPr>
      <w:r>
        <w:rPr>
          <w:rFonts w:ascii="Arial" w:cs="Arial" w:eastAsia="Arial" w:hAnsi="Arial"/>
          <w:sz w:val="19"/>
          <w:szCs w:val="19"/>
          <w:b w:val="1"/>
          <w:bCs w:val="1"/>
          <w:color w:val="auto"/>
        </w:rPr>
        <w:t>Automatic Share Withholding</w:t>
      </w:r>
      <w:r>
        <w:rPr>
          <w:rFonts w:ascii="Arial" w:cs="Arial" w:eastAsia="Arial" w:hAnsi="Arial"/>
          <w:sz w:val="19"/>
          <w:szCs w:val="19"/>
          <w:color w:val="auto"/>
        </w:rPr>
        <w:t>. On each applicable issuance date,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Corporation shall withhold, from the vested Shares otherwise issuable to Participant at that time, a portion of those Shares with a Fair Market Value (measured as of the issuance date) equal to the applicable Withholding Taxes as determined by the Corporation;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number of Shares which the Corporation shall be required to so withhold shall not exceed in Fair Market Value the amount necessary to satisfy the Corporation’s required tax withholding obligations using the minimum statutory withholding rates, except as provided in Section 7(c)(iii) below (the “Applicable Withholding Rate”).</w:t>
      </w:r>
    </w:p>
    <w:p>
      <w:pPr>
        <w:spacing w:after="0" w:line="145" w:lineRule="exact"/>
        <w:rPr>
          <w:rFonts w:ascii="Arial" w:cs="Arial" w:eastAsia="Arial" w:hAnsi="Arial"/>
          <w:sz w:val="19"/>
          <w:szCs w:val="19"/>
          <w:color w:val="auto"/>
        </w:rPr>
      </w:pPr>
    </w:p>
    <w:p>
      <w:pPr>
        <w:jc w:val="both"/>
        <w:ind w:left="660" w:firstLine="1940"/>
        <w:spacing w:after="0" w:line="235" w:lineRule="auto"/>
        <w:tabs>
          <w:tab w:leader="none" w:pos="3252" w:val="left"/>
        </w:tabs>
        <w:numPr>
          <w:ilvl w:val="1"/>
          <w:numId w:val="212"/>
        </w:numPr>
        <w:rPr>
          <w:rFonts w:ascii="Arial" w:cs="Arial" w:eastAsia="Arial" w:hAnsi="Arial"/>
          <w:sz w:val="22"/>
          <w:szCs w:val="22"/>
          <w:color w:val="auto"/>
        </w:rPr>
      </w:pPr>
      <w:r>
        <w:rPr>
          <w:rFonts w:ascii="Arial" w:cs="Arial" w:eastAsia="Arial" w:hAnsi="Arial"/>
          <w:sz w:val="22"/>
          <w:szCs w:val="22"/>
          <w:b w:val="1"/>
          <w:bCs w:val="1"/>
          <w:color w:val="auto"/>
        </w:rPr>
        <w:t>Amount of Withholding</w:t>
      </w:r>
      <w:r>
        <w:rPr>
          <w:rFonts w:ascii="Arial" w:cs="Arial" w:eastAsia="Arial" w:hAnsi="Arial"/>
          <w:sz w:val="22"/>
          <w:szCs w:val="22"/>
          <w:color w:val="auto"/>
        </w:rPr>
        <w:t>. The amount which the Corporation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to so withhold shall not exceed in Fair Market Value the amount necessary to satisfy the Corporation’s required tax withholding obligations using the minimum statutory withholding rates for federal and state tax purposes, including payroll taxes, that are applicable to supplemental taxable income. However, Participant may elect an alternate Applicable Withholding Rate equal to the maximum statutory tax rate for the applicable withholding tax in Participant’s applicable jurisdictions (the “Alternate Withholding Rate”).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87" w:name="page188"/>
    <w:bookmarkEnd w:id="187"/>
    <w:p>
      <w:pPr>
        <w:jc w:val="both"/>
        <w:ind w:left="660"/>
        <w:spacing w:after="0" w:line="273" w:lineRule="auto"/>
        <w:rPr>
          <w:sz w:val="20"/>
          <w:szCs w:val="20"/>
          <w:color w:val="auto"/>
        </w:rPr>
      </w:pPr>
      <w:r>
        <w:rPr>
          <w:rFonts w:ascii="Arial" w:cs="Arial" w:eastAsia="Arial" w:hAnsi="Arial"/>
          <w:sz w:val="19"/>
          <w:szCs w:val="19"/>
          <w:color w:val="auto"/>
        </w:rPr>
        <w:t>request an Alternate Withholding Rate, the Participant must complete and return to the Corporation the appropriate Corporation’s Form of Alternate Withholding Rate (the “Alternate Rate Form”) within the required timeframe provided for by the Corporation. The Alternate Rate Form can be obtained from the Corporation’s Human Resources Department. Any election of an Alternate Withholding Rate under an Alternate Rate Form will become the default Applicable Withholding Rate with respect to all of Participant’s outstanding equity awards (including options exercised during the applicable period) until a new Alternate Rate Form is filed with the Corporation in accordance with the administrative procedures provided for by the Corporation. An Alternate Withholding Rate is subject to the Corporation’s approval and can be approved or denied in its sole discretion. Notwithstanding Sections 7(c)(ii) and 7(c)(iii), in the event Participant is determined to be subject to Section 16 of the 1934 Act at the time of settlement, the Alternate Withholding Rate must be approved by the Corporation’s Compensation Committee.</w:t>
      </w:r>
    </w:p>
    <w:p>
      <w:pPr>
        <w:spacing w:after="0" w:line="155" w:lineRule="exact"/>
        <w:rPr>
          <w:sz w:val="20"/>
          <w:szCs w:val="20"/>
          <w:color w:val="auto"/>
        </w:rPr>
      </w:pPr>
    </w:p>
    <w:p>
      <w:pPr>
        <w:jc w:val="both"/>
        <w:ind w:firstLine="1952"/>
        <w:spacing w:after="0" w:line="273" w:lineRule="auto"/>
        <w:tabs>
          <w:tab w:leader="none" w:pos="2592" w:val="left"/>
        </w:tabs>
        <w:numPr>
          <w:ilvl w:val="1"/>
          <w:numId w:val="213"/>
        </w:numPr>
        <w:rPr>
          <w:rFonts w:ascii="Arial" w:cs="Arial" w:eastAsia="Arial" w:hAnsi="Arial"/>
          <w:sz w:val="19"/>
          <w:szCs w:val="19"/>
          <w:color w:val="auto"/>
        </w:rPr>
      </w:pPr>
      <w:r>
        <w:rPr>
          <w:rFonts w:ascii="Arial" w:cs="Arial" w:eastAsia="Arial" w:hAnsi="Arial"/>
          <w:sz w:val="19"/>
          <w:szCs w:val="19"/>
          <w:color w:val="auto"/>
        </w:rPr>
        <w:t>Notwithstanding the foregoing provisions of this Paragraph 7,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7(d) shall be applicable only to the extent necessary to comply with the applicable tax withholding requirements of Section 3121(v) of the Code.</w:t>
      </w:r>
    </w:p>
    <w:p>
      <w:pPr>
        <w:spacing w:after="0" w:line="155" w:lineRule="exact"/>
        <w:rPr>
          <w:rFonts w:ascii="Arial" w:cs="Arial" w:eastAsia="Arial" w:hAnsi="Arial"/>
          <w:sz w:val="19"/>
          <w:szCs w:val="19"/>
          <w:color w:val="auto"/>
        </w:rPr>
      </w:pPr>
    </w:p>
    <w:p>
      <w:pPr>
        <w:jc w:val="both"/>
        <w:ind w:firstLine="1952"/>
        <w:spacing w:after="0" w:line="236" w:lineRule="auto"/>
        <w:tabs>
          <w:tab w:leader="none" w:pos="2592" w:val="left"/>
        </w:tabs>
        <w:numPr>
          <w:ilvl w:val="1"/>
          <w:numId w:val="213"/>
        </w:numPr>
        <w:rPr>
          <w:rFonts w:ascii="Arial" w:cs="Arial" w:eastAsia="Arial" w:hAnsi="Arial"/>
          <w:sz w:val="22"/>
          <w:szCs w:val="22"/>
          <w:color w:val="auto"/>
        </w:rPr>
      </w:pPr>
      <w:r>
        <w:rPr>
          <w:rFonts w:ascii="Arial" w:cs="Arial" w:eastAsia="Arial" w:hAnsi="Arial"/>
          <w:sz w:val="22"/>
          <w:szCs w:val="22"/>
          <w:color w:val="auto"/>
        </w:rPr>
        <w:t>Except as otherwise provided in Paragraph 5 or this Paragraph 7, the settlement of all restricted stock units which vest under the Award shall be made solely in shares of Common Stock. In no event, however, shall any fractional shares be issued. Accordingly, the total number of shares of Common Stock to be issued at the time the Award vests shall, to the extent necessary, be rounded up to the next whole share in order to avoid the issuance of a fractional share.</w:t>
      </w:r>
    </w:p>
    <w:p>
      <w:pPr>
        <w:spacing w:after="0" w:line="181" w:lineRule="exact"/>
        <w:rPr>
          <w:rFonts w:ascii="Arial" w:cs="Arial" w:eastAsia="Arial" w:hAnsi="Arial"/>
          <w:sz w:val="22"/>
          <w:szCs w:val="22"/>
          <w:color w:val="auto"/>
        </w:rPr>
      </w:pPr>
    </w:p>
    <w:p>
      <w:pPr>
        <w:jc w:val="both"/>
        <w:ind w:firstLine="1304"/>
        <w:spacing w:after="0" w:line="243" w:lineRule="auto"/>
        <w:tabs>
          <w:tab w:leader="none" w:pos="1944" w:val="left"/>
        </w:tabs>
        <w:numPr>
          <w:ilvl w:val="0"/>
          <w:numId w:val="214"/>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provision to the contrary in this Agreement,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extent this Award may be deemed to create a deferred compensation arrangement under Section 409A, then the following limitation and provisions shall apply:</w:t>
      </w:r>
    </w:p>
    <w:p>
      <w:pPr>
        <w:spacing w:after="0" w:line="182" w:lineRule="exact"/>
        <w:rPr>
          <w:rFonts w:ascii="Arial" w:cs="Arial" w:eastAsia="Arial" w:hAnsi="Arial"/>
          <w:sz w:val="22"/>
          <w:szCs w:val="22"/>
          <w:color w:val="auto"/>
        </w:rPr>
      </w:pPr>
    </w:p>
    <w:p>
      <w:pPr>
        <w:jc w:val="both"/>
        <w:ind w:firstLine="1952"/>
        <w:spacing w:after="0" w:line="279" w:lineRule="auto"/>
        <w:tabs>
          <w:tab w:leader="none" w:pos="2592" w:val="left"/>
        </w:tabs>
        <w:numPr>
          <w:ilvl w:val="1"/>
          <w:numId w:val="214"/>
        </w:numPr>
        <w:rPr>
          <w:rFonts w:ascii="Arial" w:cs="Arial" w:eastAsia="Arial" w:hAnsi="Arial"/>
          <w:sz w:val="19"/>
          <w:szCs w:val="19"/>
          <w:color w:val="auto"/>
        </w:rPr>
      </w:pPr>
      <w:r>
        <w:rPr>
          <w:rFonts w:ascii="Arial" w:cs="Arial" w:eastAsia="Arial" w:hAnsi="Arial"/>
          <w:sz w:val="19"/>
          <w:szCs w:val="19"/>
          <w:color w:val="auto"/>
        </w:rPr>
        <w:t xml:space="preserve">No Shares or other amounts which become issuable or distributable under this Agreement upon Participant’s Separation from Service shall actually be issued or distributed to Participant prior to the </w:t>
      </w:r>
      <w:r>
        <w:rPr>
          <w:rFonts w:ascii="Arial" w:cs="Arial" w:eastAsia="Arial" w:hAnsi="Arial"/>
          <w:sz w:val="19"/>
          <w:szCs w:val="19"/>
          <w:b w:val="1"/>
          <w:bCs w:val="1"/>
          <w:i w:val="1"/>
          <w:iCs w:val="1"/>
          <w:color w:val="auto"/>
        </w:rPr>
        <w:t>earlier</w:t>
      </w:r>
      <w:r>
        <w:rPr>
          <w:rFonts w:ascii="Arial" w:cs="Arial" w:eastAsia="Arial" w:hAnsi="Arial"/>
          <w:sz w:val="19"/>
          <w:szCs w:val="19"/>
          <w:color w:val="auto"/>
        </w:rPr>
        <w:t xml:space="preserve"> of (i) the first (1st) day of the seventh (7th) month following the date of such Separation from Service or (ii) the date of Participant’s death, if Participant is deemed at the time of such Separation from Service to be a specified employee under Section 1.409A-1(i) of the Treasury Regulations issued under Section 409A, as determined by the Plan Administrator in accordance with consistent and uniform standards applied to all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88" w:name="page189"/>
    <w:bookmarkEnd w:id="188"/>
    <w:p>
      <w:pPr>
        <w:jc w:val="both"/>
        <w:spacing w:after="0" w:line="235" w:lineRule="auto"/>
        <w:rPr>
          <w:sz w:val="20"/>
          <w:szCs w:val="20"/>
          <w:color w:val="auto"/>
        </w:rPr>
      </w:pPr>
      <w:r>
        <w:rPr>
          <w:rFonts w:ascii="Arial" w:cs="Arial" w:eastAsia="Arial" w:hAnsi="Arial"/>
          <w:sz w:val="22"/>
          <w:szCs w:val="22"/>
          <w:color w:val="auto"/>
        </w:rPr>
        <w:t>Section 409A arrangements of the Corporation subject to Section 409A, and such delayed commencement is otherwise required in order to avoid a prohibited distribution under Section 409A(a)(2) of the Code. The deferred Shares or other distributable amount shall be issued or distributed in a lump sum on or within sixty (60) days after the first (1st) day of the seventh (7th) month following the date of Participant’s Separation from Service or, if earlier, the first day of the month immediately following the date the Corporation receives proof of Participant’s death.</w:t>
      </w:r>
    </w:p>
    <w:p>
      <w:pPr>
        <w:spacing w:after="0" w:line="188" w:lineRule="exact"/>
        <w:rPr>
          <w:sz w:val="20"/>
          <w:szCs w:val="20"/>
          <w:color w:val="auto"/>
        </w:rPr>
      </w:pPr>
    </w:p>
    <w:p>
      <w:pPr>
        <w:jc w:val="both"/>
        <w:ind w:firstLine="1952"/>
        <w:spacing w:after="0"/>
        <w:tabs>
          <w:tab w:leader="none" w:pos="2592" w:val="left"/>
        </w:tabs>
        <w:numPr>
          <w:ilvl w:val="1"/>
          <w:numId w:val="215"/>
        </w:numPr>
        <w:rPr>
          <w:rFonts w:ascii="Arial" w:cs="Arial" w:eastAsia="Arial" w:hAnsi="Arial"/>
          <w:sz w:val="22"/>
          <w:szCs w:val="22"/>
          <w:color w:val="auto"/>
        </w:rPr>
      </w:pPr>
      <w:r>
        <w:rPr>
          <w:rFonts w:ascii="Arial" w:cs="Arial" w:eastAsia="Arial" w:hAnsi="Arial"/>
          <w:sz w:val="22"/>
          <w:szCs w:val="22"/>
          <w:color w:val="auto"/>
        </w:rPr>
        <w:t>Participant’s right to receive each installment of Shares or other installment distribution pursuant to the terms of this Agreement shall, for purposes of Section 409A, be treated as a right to receive a series of separate payments.</w:t>
      </w:r>
    </w:p>
    <w:p>
      <w:pPr>
        <w:spacing w:after="0" w:line="180" w:lineRule="exact"/>
        <w:rPr>
          <w:rFonts w:ascii="Arial" w:cs="Arial" w:eastAsia="Arial" w:hAnsi="Arial"/>
          <w:sz w:val="22"/>
          <w:szCs w:val="22"/>
          <w:color w:val="auto"/>
        </w:rPr>
      </w:pPr>
    </w:p>
    <w:p>
      <w:pPr>
        <w:jc w:val="both"/>
        <w:ind w:firstLine="1304"/>
        <w:spacing w:after="0" w:line="239" w:lineRule="auto"/>
        <w:tabs>
          <w:tab w:leader="none" w:pos="1944" w:val="left"/>
        </w:tabs>
        <w:numPr>
          <w:ilvl w:val="0"/>
          <w:numId w:val="216"/>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Laws and Regulations</w:t>
      </w:r>
      <w:r>
        <w:rPr>
          <w:rFonts w:ascii="Arial" w:cs="Arial" w:eastAsia="Arial" w:hAnsi="Arial"/>
          <w:sz w:val="22"/>
          <w:szCs w:val="22"/>
          <w:color w:val="auto"/>
        </w:rPr>
        <w:t>. The issuance of shares of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80" w:lineRule="exact"/>
        <w:rPr>
          <w:rFonts w:ascii="Arial" w:cs="Arial" w:eastAsia="Arial" w:hAnsi="Arial"/>
          <w:sz w:val="22"/>
          <w:szCs w:val="22"/>
          <w:color w:val="auto"/>
        </w:rPr>
      </w:pPr>
    </w:p>
    <w:p>
      <w:pPr>
        <w:jc w:val="both"/>
        <w:ind w:firstLine="1304"/>
        <w:spacing w:after="0" w:line="274" w:lineRule="auto"/>
        <w:tabs>
          <w:tab w:leader="none" w:pos="1944" w:val="left"/>
        </w:tabs>
        <w:numPr>
          <w:ilvl w:val="0"/>
          <w:numId w:val="216"/>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to the contrary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there is any conflict between the issuance or distribution provisions of this Agreement and the issuance or distribution provisions of the Change in Control Benefits Agreement, the issuance and distribution provisions of this Agreement shall be controlling.</w:t>
      </w:r>
    </w:p>
    <w:p>
      <w:pPr>
        <w:spacing w:after="0" w:line="151" w:lineRule="exact"/>
        <w:rPr>
          <w:rFonts w:ascii="Arial" w:cs="Arial" w:eastAsia="Arial" w:hAnsi="Arial"/>
          <w:sz w:val="19"/>
          <w:szCs w:val="19"/>
          <w:color w:val="auto"/>
        </w:rPr>
      </w:pPr>
    </w:p>
    <w:p>
      <w:pPr>
        <w:jc w:val="both"/>
        <w:ind w:firstLine="1304"/>
        <w:spacing w:after="0" w:line="283" w:lineRule="auto"/>
        <w:tabs>
          <w:tab w:leader="none" w:pos="1944" w:val="left"/>
        </w:tabs>
        <w:numPr>
          <w:ilvl w:val="0"/>
          <w:numId w:val="216"/>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required to be given or delivered to the Corporation under the terms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in writing and addressed to the Corporation at its principal corporate offices. Any notice required to be given or delivered to Participant shall be in writing and addressed to Participant at the address on file with the Corporation’s Human Resources Department. All notices shall be deemed effective upon personal delivery or upon deposit in the U.S. mail, postage prepaid and properly addressed to the party to be notified.</w:t>
      </w:r>
    </w:p>
    <w:p>
      <w:pPr>
        <w:spacing w:after="0" w:line="142" w:lineRule="exact"/>
        <w:rPr>
          <w:rFonts w:ascii="Arial" w:cs="Arial" w:eastAsia="Arial" w:hAnsi="Arial"/>
          <w:sz w:val="19"/>
          <w:szCs w:val="19"/>
          <w:color w:val="auto"/>
        </w:rPr>
      </w:pPr>
    </w:p>
    <w:p>
      <w:pPr>
        <w:jc w:val="both"/>
        <w:ind w:firstLine="1304"/>
        <w:spacing w:after="0" w:line="289" w:lineRule="auto"/>
        <w:tabs>
          <w:tab w:leader="none" w:pos="1944" w:val="left"/>
        </w:tabs>
        <w:numPr>
          <w:ilvl w:val="0"/>
          <w:numId w:val="216"/>
        </w:numPr>
        <w:rPr>
          <w:rFonts w:ascii="Arial" w:cs="Arial" w:eastAsia="Arial" w:hAnsi="Arial"/>
          <w:sz w:val="19"/>
          <w:szCs w:val="19"/>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color w:val="auto"/>
        </w:rPr>
        <w:t>. Except to the extent otherwise provided in this Agreement,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35" w:lineRule="exact"/>
        <w:rPr>
          <w:rFonts w:ascii="Arial" w:cs="Arial" w:eastAsia="Arial" w:hAnsi="Arial"/>
          <w:sz w:val="19"/>
          <w:szCs w:val="19"/>
          <w:color w:val="auto"/>
        </w:rPr>
      </w:pPr>
    </w:p>
    <w:p>
      <w:pPr>
        <w:ind w:left="1960" w:hanging="656"/>
        <w:spacing w:after="0"/>
        <w:tabs>
          <w:tab w:leader="none" w:pos="1960" w:val="left"/>
        </w:tabs>
        <w:numPr>
          <w:ilvl w:val="0"/>
          <w:numId w:val="216"/>
        </w:numPr>
        <w:rPr>
          <w:rFonts w:ascii="Arial" w:cs="Arial" w:eastAsia="Arial" w:hAnsi="Arial"/>
          <w:sz w:val="22"/>
          <w:szCs w:val="22"/>
          <w:color w:val="auto"/>
        </w:rPr>
      </w:pPr>
      <w:r>
        <w:rPr>
          <w:rFonts w:ascii="Arial" w:cs="Arial" w:eastAsia="Arial" w:hAnsi="Arial"/>
          <w:sz w:val="22"/>
          <w:szCs w:val="22"/>
          <w:b w:val="1"/>
          <w:bCs w:val="1"/>
          <w:u w:val="single" w:color="auto"/>
          <w:color w:val="auto"/>
        </w:rPr>
        <w:t>Construction</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right="20" w:firstLine="1952"/>
        <w:spacing w:after="0" w:line="250" w:lineRule="auto"/>
        <w:tabs>
          <w:tab w:leader="none" w:pos="2592" w:val="left"/>
        </w:tabs>
        <w:numPr>
          <w:ilvl w:val="1"/>
          <w:numId w:val="216"/>
        </w:numPr>
        <w:rPr>
          <w:rFonts w:ascii="Arial" w:cs="Arial" w:eastAsia="Arial" w:hAnsi="Arial"/>
          <w:sz w:val="22"/>
          <w:szCs w:val="22"/>
          <w:color w:val="auto"/>
        </w:rPr>
      </w:pPr>
      <w:r>
        <w:rPr>
          <w:rFonts w:ascii="Arial" w:cs="Arial" w:eastAsia="Arial" w:hAnsi="Arial"/>
          <w:sz w:val="22"/>
          <w:szCs w:val="22"/>
          <w:color w:val="auto"/>
        </w:rPr>
        <w:t>This Agreement and the Award evidenced hereby are made and granted pursuant to the Plan and are in all respects limited by and subject to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89" w:name="page190"/>
    <w:bookmarkEnd w:id="189"/>
    <w:p>
      <w:pPr>
        <w:jc w:val="both"/>
        <w:spacing w:after="0"/>
        <w:rPr>
          <w:sz w:val="20"/>
          <w:szCs w:val="20"/>
          <w:color w:val="auto"/>
        </w:rPr>
      </w:pPr>
      <w:r>
        <w:rPr>
          <w:rFonts w:ascii="Arial" w:cs="Arial" w:eastAsia="Arial" w:hAnsi="Arial"/>
          <w:sz w:val="22"/>
          <w:szCs w:val="22"/>
          <w:color w:val="auto"/>
        </w:rPr>
        <w:t>and any applicable Change in Control Benefits Agreement. All decisions of the Plan Administrator with respect to any question or issue arising under the Plan or this Agreement shall be conclusive and binding on all persons having an interest in the Award.</w:t>
      </w:r>
    </w:p>
    <w:p>
      <w:pPr>
        <w:spacing w:after="0" w:line="186" w:lineRule="exact"/>
        <w:rPr>
          <w:sz w:val="20"/>
          <w:szCs w:val="20"/>
          <w:color w:val="auto"/>
        </w:rPr>
      </w:pPr>
    </w:p>
    <w:p>
      <w:pPr>
        <w:jc w:val="both"/>
        <w:ind w:firstLine="1952"/>
        <w:spacing w:after="0" w:line="287" w:lineRule="auto"/>
        <w:tabs>
          <w:tab w:leader="none" w:pos="2592" w:val="left"/>
        </w:tabs>
        <w:numPr>
          <w:ilvl w:val="1"/>
          <w:numId w:val="217"/>
        </w:numPr>
        <w:rPr>
          <w:rFonts w:ascii="Arial" w:cs="Arial" w:eastAsia="Arial" w:hAnsi="Arial"/>
          <w:sz w:val="19"/>
          <w:szCs w:val="19"/>
          <w:color w:val="auto"/>
        </w:rPr>
      </w:pPr>
      <w:r>
        <w:rPr>
          <w:rFonts w:ascii="Arial" w:cs="Arial" w:eastAsia="Arial" w:hAnsi="Arial"/>
          <w:sz w:val="19"/>
          <w:szCs w:val="19"/>
          <w:color w:val="auto"/>
        </w:rPr>
        <w:t>To the extent there is any ambiguity as to whether any provision of this Agreement would otherwise contravene one or more applicable requirements or limitations of Section 409A and the Treasury Regulations thereunder, such provision shall be interpreted and applied in a manner that complies with the applicable requirements of Section 409A and the Treasury Regulations thereunder.</w:t>
      </w:r>
    </w:p>
    <w:p>
      <w:pPr>
        <w:spacing w:after="0" w:line="142" w:lineRule="exact"/>
        <w:rPr>
          <w:rFonts w:ascii="Arial" w:cs="Arial" w:eastAsia="Arial" w:hAnsi="Arial"/>
          <w:sz w:val="19"/>
          <w:szCs w:val="19"/>
          <w:color w:val="auto"/>
        </w:rPr>
      </w:pPr>
    </w:p>
    <w:p>
      <w:pPr>
        <w:jc w:val="both"/>
        <w:ind w:firstLine="1952"/>
        <w:spacing w:after="0"/>
        <w:tabs>
          <w:tab w:leader="none" w:pos="2592" w:val="left"/>
        </w:tabs>
        <w:numPr>
          <w:ilvl w:val="1"/>
          <w:numId w:val="217"/>
        </w:numPr>
        <w:rPr>
          <w:rFonts w:ascii="Arial" w:cs="Arial" w:eastAsia="Arial" w:hAnsi="Arial"/>
          <w:sz w:val="22"/>
          <w:szCs w:val="22"/>
          <w:color w:val="auto"/>
        </w:rPr>
      </w:pPr>
      <w:r>
        <w:rPr>
          <w:rFonts w:ascii="Arial" w:cs="Arial" w:eastAsia="Arial" w:hAnsi="Arial"/>
          <w:sz w:val="22"/>
          <w:szCs w:val="22"/>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80" w:lineRule="exact"/>
        <w:rPr>
          <w:rFonts w:ascii="Arial" w:cs="Arial" w:eastAsia="Arial" w:hAnsi="Arial"/>
          <w:sz w:val="22"/>
          <w:szCs w:val="22"/>
          <w:color w:val="auto"/>
        </w:rPr>
      </w:pPr>
    </w:p>
    <w:p>
      <w:pPr>
        <w:ind w:firstLine="1304"/>
        <w:spacing w:after="0" w:line="280" w:lineRule="auto"/>
        <w:tabs>
          <w:tab w:leader="none" w:pos="1944" w:val="left"/>
        </w:tabs>
        <w:numPr>
          <w:ilvl w:val="0"/>
          <w:numId w:val="218"/>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The interpretation, performance and enforcement of this Agreement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 governed by the laws of the State of Hawaii without regard to that State’s conflict-of-laws rules.</w:t>
      </w:r>
    </w:p>
    <w:p>
      <w:pPr>
        <w:spacing w:after="0" w:line="138" w:lineRule="exact"/>
        <w:rPr>
          <w:rFonts w:ascii="Arial" w:cs="Arial" w:eastAsia="Arial" w:hAnsi="Arial"/>
          <w:sz w:val="21"/>
          <w:szCs w:val="21"/>
          <w:color w:val="auto"/>
        </w:rPr>
      </w:pPr>
    </w:p>
    <w:p>
      <w:pPr>
        <w:ind w:left="1960" w:hanging="656"/>
        <w:spacing w:after="0"/>
        <w:tabs>
          <w:tab w:leader="none" w:pos="1960" w:val="left"/>
        </w:tabs>
        <w:numPr>
          <w:ilvl w:val="0"/>
          <w:numId w:val="218"/>
        </w:numPr>
        <w:rPr>
          <w:rFonts w:ascii="Arial" w:cs="Arial" w:eastAsia="Arial" w:hAnsi="Arial"/>
          <w:sz w:val="22"/>
          <w:szCs w:val="22"/>
          <w:color w:val="auto"/>
        </w:rPr>
      </w:pPr>
      <w:r>
        <w:rPr>
          <w:rFonts w:ascii="Arial" w:cs="Arial" w:eastAsia="Arial" w:hAnsi="Arial"/>
          <w:sz w:val="22"/>
          <w:szCs w:val="22"/>
          <w:b w:val="1"/>
          <w:bCs w:val="1"/>
          <w:u w:val="single" w:color="auto"/>
          <w:color w:val="auto"/>
        </w:rPr>
        <w:t>Arbitration.</w:t>
      </w:r>
    </w:p>
    <w:p>
      <w:pPr>
        <w:spacing w:after="0" w:line="212" w:lineRule="exact"/>
        <w:rPr>
          <w:rFonts w:ascii="Arial" w:cs="Arial" w:eastAsia="Arial" w:hAnsi="Arial"/>
          <w:sz w:val="22"/>
          <w:szCs w:val="22"/>
          <w:color w:val="auto"/>
        </w:rPr>
      </w:pPr>
    </w:p>
    <w:p>
      <w:pPr>
        <w:jc w:val="both"/>
        <w:ind w:firstLine="1952"/>
        <w:spacing w:after="0" w:line="269" w:lineRule="auto"/>
        <w:tabs>
          <w:tab w:leader="none" w:pos="2592" w:val="left"/>
        </w:tabs>
        <w:numPr>
          <w:ilvl w:val="1"/>
          <w:numId w:val="218"/>
        </w:numPr>
        <w:rPr>
          <w:rFonts w:ascii="Arial" w:cs="Arial" w:eastAsia="Arial" w:hAnsi="Arial"/>
          <w:sz w:val="19"/>
          <w:szCs w:val="19"/>
          <w:color w:val="auto"/>
        </w:rPr>
      </w:pPr>
      <w:r>
        <w:rPr>
          <w:rFonts w:ascii="Arial" w:cs="Arial" w:eastAsia="Arial" w:hAnsi="Arial"/>
          <w:sz w:val="19"/>
          <w:szCs w:val="19"/>
          <w:color w:val="auto"/>
        </w:rPr>
        <w:t>Any dispute or controversy arising under or in connection with this Agreement shall be settled exclusively by arbitration, conducted before a single arbitrator who is an attorney or retired judge with expertise and experience in the field of employment law. The arbitration shall be held under the auspices of JAMS in accordance with JAMS then-current Employment Arbitration Rules and Procedures (available at http://www.jamsadr.com/rules-employment-arbitration/) and subject to JAMS Policy on Employment Arbitration Minimum Standards of Procedural Fairness. The arbitration shall take place in or near the city in which Participant is employed by the Corporation or was last employed by the Corporation. The arbitrator shall make a written award and shall prepare a written opinion containing the findings and conclusions on which the award was based. The decision of the arbitrator will be final and binding upon the parties hereto. Judgment may be entered on the arbitrator’s award in any court having jurisdiction. The parties acknowledge and agree that in connection with any such arbitration and regardless of outcome, (a) each party shall pay all of its own costs and expenses, including, without limitation, its own legal fees and expenses, and (b) the arbitration costs shall be borne entirely by the Corporation. The arbitration shall be confidential and no details concerning such arbitration shall be disclosed or released to any third party without the specific written consent of the non-disclosing party, unless required by law or court order, as necessary to prosecute or defend the arbitration, or in connection with enforcement of any decision in such arbitration. This agreement to arbitrate is mutually entered into between the parties. Each party fully understands and agrees that they are giving up certain rights otherwise afforded to them by civil court actions, including but not limited to the right to a jury trial. Nothing in this Agreement shall prevent Participant from filing charges or claims with the Equal Employment Opportunity Commission, the U.S. Department of Labor, or any other federal, state or local government agency. However, Participant may seek individual monetary relief only through arbitration under this Agreement. The Corporation and Participant further agree that any claim submitted to arbitration must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90" w:name="page191"/>
    <w:bookmarkEnd w:id="190"/>
    <w:p>
      <w:pPr>
        <w:ind w:right="20"/>
        <w:spacing w:after="0" w:line="250" w:lineRule="auto"/>
        <w:rPr>
          <w:sz w:val="20"/>
          <w:szCs w:val="20"/>
          <w:color w:val="auto"/>
        </w:rPr>
      </w:pPr>
      <w:r>
        <w:rPr>
          <w:rFonts w:ascii="Arial" w:cs="Arial" w:eastAsia="Arial" w:hAnsi="Arial"/>
          <w:sz w:val="22"/>
          <w:szCs w:val="22"/>
          <w:color w:val="auto"/>
        </w:rPr>
        <w:t>brought in the party’s individual capacity, and not as a plaintiff or class member in any purported class, representative or consolidated proceeding.</w:t>
      </w:r>
    </w:p>
    <w:p>
      <w:pPr>
        <w:spacing w:after="0" w:line="175" w:lineRule="exact"/>
        <w:rPr>
          <w:sz w:val="20"/>
          <w:szCs w:val="20"/>
          <w:color w:val="auto"/>
        </w:rPr>
      </w:pPr>
    </w:p>
    <w:p>
      <w:pPr>
        <w:ind w:right="20" w:firstLine="1952"/>
        <w:spacing w:after="0" w:line="274" w:lineRule="auto"/>
        <w:tabs>
          <w:tab w:leader="none" w:pos="2592" w:val="left"/>
        </w:tabs>
        <w:numPr>
          <w:ilvl w:val="1"/>
          <w:numId w:val="219"/>
        </w:numPr>
        <w:rPr>
          <w:rFonts w:ascii="Arial" w:cs="Arial" w:eastAsia="Arial" w:hAnsi="Arial"/>
          <w:sz w:val="21"/>
          <w:szCs w:val="21"/>
          <w:color w:val="auto"/>
        </w:rPr>
      </w:pPr>
      <w:r>
        <w:rPr>
          <w:rFonts w:ascii="Arial" w:cs="Arial" w:eastAsia="Arial" w:hAnsi="Arial"/>
          <w:sz w:val="21"/>
          <w:szCs w:val="21"/>
          <w:color w:val="auto"/>
        </w:rPr>
        <w:t>Each party fully understands and agrees that they are giving up certain rights otherwise afforded to them by civil court actions, including but not limited to the right to a jury trial.</w:t>
      </w:r>
    </w:p>
    <w:p>
      <w:pPr>
        <w:spacing w:after="0" w:line="144" w:lineRule="exact"/>
        <w:rPr>
          <w:rFonts w:ascii="Arial" w:cs="Arial" w:eastAsia="Arial" w:hAnsi="Arial"/>
          <w:sz w:val="21"/>
          <w:szCs w:val="21"/>
          <w:color w:val="auto"/>
        </w:rPr>
      </w:pPr>
    </w:p>
    <w:p>
      <w:pPr>
        <w:jc w:val="both"/>
        <w:ind w:firstLine="1304"/>
        <w:spacing w:after="0" w:line="249" w:lineRule="auto"/>
        <w:tabs>
          <w:tab w:leader="none" w:pos="1944" w:val="left"/>
        </w:tabs>
        <w:numPr>
          <w:ilvl w:val="0"/>
          <w:numId w:val="220"/>
        </w:numPr>
        <w:rPr>
          <w:rFonts w:ascii="Arial" w:cs="Arial" w:eastAsia="Arial" w:hAnsi="Arial"/>
          <w:sz w:val="21"/>
          <w:szCs w:val="21"/>
          <w:color w:val="auto"/>
        </w:rPr>
      </w:pPr>
      <w:r>
        <w:rPr>
          <w:rFonts w:ascii="Arial" w:cs="Arial" w:eastAsia="Arial" w:hAnsi="Arial"/>
          <w:sz w:val="21"/>
          <w:szCs w:val="21"/>
          <w:b w:val="1"/>
          <w:bCs w:val="1"/>
          <w:u w:val="single" w:color="auto"/>
          <w:color w:val="auto"/>
        </w:rPr>
        <w:t>Coverage under Recoupment Policy</w:t>
      </w:r>
      <w:r>
        <w:rPr>
          <w:rFonts w:ascii="Arial" w:cs="Arial" w:eastAsia="Arial" w:hAnsi="Arial"/>
          <w:sz w:val="21"/>
          <w:szCs w:val="21"/>
          <w:color w:val="auto"/>
        </w:rPr>
        <w:t>. If Participant is on the Award Date, or at any time</w:t>
      </w:r>
      <w:r>
        <w:rPr>
          <w:rFonts w:ascii="Arial" w:cs="Arial" w:eastAsia="Arial" w:hAnsi="Arial"/>
          <w:sz w:val="21"/>
          <w:szCs w:val="21"/>
          <w:b w:val="1"/>
          <w:bCs w:val="1"/>
          <w:color w:val="auto"/>
        </w:rPr>
        <w:t xml:space="preserve"> </w:t>
      </w:r>
      <w:r>
        <w:rPr>
          <w:rFonts w:ascii="Arial" w:cs="Arial" w:eastAsia="Arial" w:hAnsi="Arial"/>
          <w:sz w:val="21"/>
          <w:szCs w:val="21"/>
          <w:color w:val="auto"/>
        </w:rPr>
        <w:t>thereafter becomes an executive officer of the Corporation subject to Section 16 of the 1934 Act, then Participant shall be subject to the Matson, Inc. Policy Regarding Recoupment of Certain Compensation, as amended from time to time (the “Recoupment Policy”), the terms of which are hereby incorporated herein by reference and receipt of a copy of which Participant hereby acknowledges. A copy of the Recoupment Policy is available upon request made to the Corporate Secretary.</w:t>
      </w:r>
    </w:p>
    <w:p>
      <w:pPr>
        <w:spacing w:after="0" w:line="170" w:lineRule="exact"/>
        <w:rPr>
          <w:rFonts w:ascii="Arial" w:cs="Arial" w:eastAsia="Arial" w:hAnsi="Arial"/>
          <w:sz w:val="21"/>
          <w:szCs w:val="21"/>
          <w:color w:val="auto"/>
        </w:rPr>
      </w:pPr>
    </w:p>
    <w:p>
      <w:pPr>
        <w:ind w:left="1960" w:hanging="656"/>
        <w:spacing w:after="0"/>
        <w:tabs>
          <w:tab w:leader="none" w:pos="1960" w:val="left"/>
        </w:tabs>
        <w:numPr>
          <w:ilvl w:val="0"/>
          <w:numId w:val="220"/>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line="238" w:lineRule="auto"/>
        <w:tabs>
          <w:tab w:leader="none" w:pos="2592" w:val="left"/>
        </w:tabs>
        <w:numPr>
          <w:ilvl w:val="1"/>
          <w:numId w:val="220"/>
        </w:numPr>
        <w:rPr>
          <w:rFonts w:ascii="Arial" w:cs="Arial" w:eastAsia="Arial" w:hAnsi="Arial"/>
          <w:sz w:val="22"/>
          <w:szCs w:val="22"/>
          <w:color w:val="auto"/>
        </w:rPr>
      </w:pPr>
      <w:r>
        <w:rPr>
          <w:rFonts w:ascii="Arial" w:cs="Arial" w:eastAsia="Arial" w:hAnsi="Arial"/>
          <w:sz w:val="22"/>
          <w:szCs w:val="22"/>
          <w:color w:val="auto"/>
        </w:rPr>
        <w:t>Participant hereby explicitly and unambiguously consents to the collection, use and transfer, in electronic or other form, of Participant’s personal data as described in this Agreement by the Corporation for the exclusive purpose of implementing, administering and managing Participant’s participation in the Plan.</w:t>
      </w:r>
    </w:p>
    <w:p>
      <w:pPr>
        <w:spacing w:after="0" w:line="184" w:lineRule="exact"/>
        <w:rPr>
          <w:rFonts w:ascii="Arial" w:cs="Arial" w:eastAsia="Arial" w:hAnsi="Arial"/>
          <w:sz w:val="22"/>
          <w:szCs w:val="22"/>
          <w:color w:val="auto"/>
        </w:rPr>
      </w:pPr>
    </w:p>
    <w:p>
      <w:pPr>
        <w:jc w:val="both"/>
        <w:ind w:firstLine="1952"/>
        <w:spacing w:after="0" w:line="271" w:lineRule="auto"/>
        <w:tabs>
          <w:tab w:leader="none" w:pos="2592" w:val="left"/>
        </w:tabs>
        <w:numPr>
          <w:ilvl w:val="1"/>
          <w:numId w:val="220"/>
        </w:numPr>
        <w:rPr>
          <w:rFonts w:ascii="Arial" w:cs="Arial" w:eastAsia="Arial" w:hAnsi="Arial"/>
          <w:sz w:val="19"/>
          <w:szCs w:val="19"/>
          <w:color w:val="auto"/>
        </w:rPr>
      </w:pPr>
      <w:r>
        <w:rPr>
          <w:rFonts w:ascii="Arial" w:cs="Arial" w:eastAsia="Arial" w:hAnsi="Arial"/>
          <w:sz w:val="19"/>
          <w:szCs w:val="19"/>
          <w:color w:val="auto"/>
        </w:rPr>
        <w:t>Participant understands that the Corporation holds certain personal 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 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 in electronic or other form, for the purposes of implementing, administering and managing 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spacing w:after="0" w:line="158" w:lineRule="exact"/>
        <w:rPr>
          <w:rFonts w:ascii="Arial" w:cs="Arial" w:eastAsia="Arial" w:hAnsi="Arial"/>
          <w:sz w:val="19"/>
          <w:szCs w:val="19"/>
          <w:color w:val="auto"/>
        </w:rPr>
      </w:pPr>
    </w:p>
    <w:p>
      <w:pPr>
        <w:jc w:val="both"/>
        <w:ind w:right="20" w:firstLine="1304"/>
        <w:spacing w:after="0" w:line="239" w:lineRule="auto"/>
        <w:tabs>
          <w:tab w:leader="none" w:pos="1944" w:val="left"/>
        </w:tabs>
        <w:numPr>
          <w:ilvl w:val="0"/>
          <w:numId w:val="220"/>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This Agreement may not be altered, modified, or amended except by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instrument signed by the parties hereto; provided that the Corporation may alter, modify or amend this Agreement unilaterally if such change is not materially adverse to Participant or to cause this Agreement to comply with applicable law.</w:t>
      </w:r>
    </w:p>
    <w:p>
      <w:pPr>
        <w:spacing w:after="0" w:line="180" w:lineRule="exact"/>
        <w:rPr>
          <w:rFonts w:ascii="Arial" w:cs="Arial" w:eastAsia="Arial" w:hAnsi="Arial"/>
          <w:sz w:val="22"/>
          <w:szCs w:val="22"/>
          <w:color w:val="auto"/>
        </w:rPr>
      </w:pPr>
    </w:p>
    <w:p>
      <w:pPr>
        <w:ind w:firstLine="1304"/>
        <w:spacing w:after="0" w:line="256" w:lineRule="auto"/>
        <w:tabs>
          <w:tab w:leader="none" w:pos="1944" w:val="left"/>
        </w:tabs>
        <w:numPr>
          <w:ilvl w:val="0"/>
          <w:numId w:val="220"/>
        </w:numPr>
        <w:rPr>
          <w:rFonts w:ascii="Arial" w:cs="Arial" w:eastAsia="Arial" w:hAnsi="Arial"/>
          <w:sz w:val="22"/>
          <w:szCs w:val="22"/>
          <w:color w:val="auto"/>
        </w:rPr>
      </w:pPr>
      <w:r>
        <w:rPr>
          <w:rFonts w:ascii="Arial" w:cs="Arial" w:eastAsia="Arial" w:hAnsi="Arial"/>
          <w:sz w:val="22"/>
          <w:szCs w:val="22"/>
          <w:b w:val="1"/>
          <w:bCs w:val="1"/>
          <w:u w:val="single" w:color="auto"/>
          <w:color w:val="auto"/>
        </w:rPr>
        <w:t>Other Agreements Superseded</w:t>
      </w:r>
      <w:r>
        <w:rPr>
          <w:rFonts w:ascii="Arial" w:cs="Arial" w:eastAsia="Arial" w:hAnsi="Arial"/>
          <w:sz w:val="22"/>
          <w:szCs w:val="22"/>
          <w:color w:val="auto"/>
        </w:rPr>
        <w:t>. The Award Notice, this Agreement,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the entire understanding between Participant and the Corporation regarding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91" w:name="page192"/>
    <w:bookmarkEnd w:id="191"/>
    <w:p>
      <w:pPr>
        <w:spacing w:after="0"/>
        <w:rPr>
          <w:sz w:val="20"/>
          <w:szCs w:val="20"/>
          <w:color w:val="auto"/>
        </w:rPr>
      </w:pPr>
      <w:r>
        <w:rPr>
          <w:rFonts w:ascii="Arial" w:cs="Arial" w:eastAsia="Arial" w:hAnsi="Arial"/>
          <w:sz w:val="22"/>
          <w:szCs w:val="22"/>
          <w:color w:val="auto"/>
        </w:rPr>
        <w:t>Award. Any prior agreements, commitments or negotiations concerning the Award are superseded.</w:t>
      </w:r>
    </w:p>
    <w:p>
      <w:pPr>
        <w:spacing w:after="0" w:line="200" w:lineRule="exact"/>
        <w:rPr>
          <w:sz w:val="20"/>
          <w:szCs w:val="20"/>
          <w:color w:val="auto"/>
        </w:rPr>
      </w:pPr>
    </w:p>
    <w:p>
      <w:pPr>
        <w:jc w:val="both"/>
        <w:ind w:firstLine="1304"/>
        <w:spacing w:after="0" w:line="300" w:lineRule="auto"/>
        <w:tabs>
          <w:tab w:leader="none" w:pos="1944" w:val="left"/>
        </w:tabs>
        <w:numPr>
          <w:ilvl w:val="0"/>
          <w:numId w:val="221"/>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Plan Document</w:t>
      </w:r>
      <w:r>
        <w:rPr>
          <w:rFonts w:ascii="Arial" w:cs="Arial" w:eastAsia="Arial" w:hAnsi="Arial"/>
          <w:sz w:val="19"/>
          <w:szCs w:val="19"/>
          <w:color w:val="auto"/>
        </w:rPr>
        <w:t>. The Award is subject to all the provisions of the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which are hereby made a part of the Award, and is further subject to all interpretations, amendments, rules and regulations, which may from time to time be promulgated and adopted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92" w:name="page193"/>
    <w:bookmarkEnd w:id="192"/>
    <w:p>
      <w:pPr>
        <w:jc w:val="center"/>
        <w:spacing w:after="0"/>
        <w:rPr>
          <w:sz w:val="20"/>
          <w:szCs w:val="20"/>
          <w:color w:val="auto"/>
        </w:rPr>
      </w:pPr>
      <w:r>
        <w:rPr>
          <w:rFonts w:ascii="Arial" w:cs="Arial" w:eastAsia="Arial" w:hAnsi="Arial"/>
          <w:sz w:val="22"/>
          <w:szCs w:val="22"/>
          <w:b w:val="1"/>
          <w:bCs w:val="1"/>
          <w:color w:val="auto"/>
        </w:rPr>
        <w:t>APPENDIX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00" w:lineRule="exact"/>
        <w:rPr>
          <w:sz w:val="20"/>
          <w:szCs w:val="20"/>
          <w:color w:val="auto"/>
        </w:rPr>
      </w:pPr>
    </w:p>
    <w:p>
      <w:pPr>
        <w:spacing w:after="0" w:line="2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following definitions shall be in effect under the Agreement:</w:t>
      </w:r>
    </w:p>
    <w:p>
      <w:pPr>
        <w:spacing w:after="0" w:line="200" w:lineRule="exact"/>
        <w:rPr>
          <w:sz w:val="20"/>
          <w:szCs w:val="20"/>
          <w:color w:val="auto"/>
        </w:rPr>
      </w:pPr>
    </w:p>
    <w:p>
      <w:pPr>
        <w:ind w:left="1960" w:hanging="656"/>
        <w:spacing w:after="0"/>
        <w:tabs>
          <w:tab w:leader="none" w:pos="1960" w:val="left"/>
        </w:tabs>
        <w:numPr>
          <w:ilvl w:val="1"/>
          <w:numId w:val="222"/>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this Restricted Stock Unit Award Agreement.</w:t>
      </w:r>
    </w:p>
    <w:p>
      <w:pPr>
        <w:spacing w:after="0" w:line="206" w:lineRule="exact"/>
        <w:rPr>
          <w:rFonts w:ascii="Arial" w:cs="Arial" w:eastAsia="Arial" w:hAnsi="Arial"/>
          <w:sz w:val="22"/>
          <w:szCs w:val="22"/>
          <w:color w:val="auto"/>
        </w:rPr>
      </w:pPr>
    </w:p>
    <w:p>
      <w:pPr>
        <w:ind w:firstLine="1304"/>
        <w:spacing w:after="0" w:line="256" w:lineRule="auto"/>
        <w:tabs>
          <w:tab w:leader="none" w:pos="1944" w:val="left"/>
        </w:tabs>
        <w:numPr>
          <w:ilvl w:val="1"/>
          <w:numId w:val="222"/>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award of restricted stock units made to Participant pursuant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of this Agreement.</w:t>
      </w:r>
    </w:p>
    <w:p>
      <w:pPr>
        <w:spacing w:after="0" w:line="162" w:lineRule="exact"/>
        <w:rPr>
          <w:rFonts w:ascii="Arial" w:cs="Arial" w:eastAsia="Arial" w:hAnsi="Arial"/>
          <w:sz w:val="22"/>
          <w:szCs w:val="22"/>
          <w:color w:val="auto"/>
        </w:rPr>
      </w:pPr>
    </w:p>
    <w:p>
      <w:pPr>
        <w:ind w:right="20" w:firstLine="1304"/>
        <w:spacing w:after="0" w:line="256" w:lineRule="auto"/>
        <w:tabs>
          <w:tab w:leader="none" w:pos="1944" w:val="left"/>
        </w:tabs>
        <w:numPr>
          <w:ilvl w:val="1"/>
          <w:numId w:val="222"/>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 Date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date the restricted stock units are awarded to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Agreement and shall be the date specified in the Award Notice.</w:t>
      </w:r>
    </w:p>
    <w:p>
      <w:pPr>
        <w:spacing w:after="0" w:line="162" w:lineRule="exact"/>
        <w:rPr>
          <w:rFonts w:ascii="Arial" w:cs="Arial" w:eastAsia="Arial" w:hAnsi="Arial"/>
          <w:sz w:val="22"/>
          <w:szCs w:val="22"/>
          <w:color w:val="auto"/>
        </w:rPr>
      </w:pPr>
    </w:p>
    <w:p>
      <w:pPr>
        <w:jc w:val="both"/>
        <w:ind w:firstLine="1304"/>
        <w:spacing w:after="0" w:line="260" w:lineRule="auto"/>
        <w:tabs>
          <w:tab w:leader="none" w:pos="1944" w:val="left"/>
        </w:tabs>
        <w:numPr>
          <w:ilvl w:val="1"/>
          <w:numId w:val="222"/>
        </w:numPr>
        <w:rPr>
          <w:rFonts w:ascii="Arial" w:cs="Arial" w:eastAsia="Arial" w:hAnsi="Arial"/>
          <w:sz w:val="21"/>
          <w:szCs w:val="21"/>
          <w:color w:val="auto"/>
        </w:rPr>
      </w:pPr>
      <w:r>
        <w:rPr>
          <w:rFonts w:ascii="Arial" w:cs="Arial" w:eastAsia="Arial" w:hAnsi="Arial"/>
          <w:sz w:val="21"/>
          <w:szCs w:val="21"/>
          <w:b w:val="1"/>
          <w:bCs w:val="1"/>
          <w:u w:val="single" w:color="auto"/>
          <w:color w:val="auto"/>
        </w:rPr>
        <w:t>Award Notice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Notice of Award of Time-Based Restricted Stock Units</w:t>
      </w:r>
      <w:r>
        <w:rPr>
          <w:rFonts w:ascii="Arial" w:cs="Arial" w:eastAsia="Arial" w:hAnsi="Arial"/>
          <w:sz w:val="21"/>
          <w:szCs w:val="21"/>
          <w:b w:val="1"/>
          <w:bCs w:val="1"/>
          <w:color w:val="auto"/>
        </w:rPr>
        <w:t xml:space="preserve"> </w:t>
      </w:r>
      <w:r>
        <w:rPr>
          <w:rFonts w:ascii="Arial" w:cs="Arial" w:eastAsia="Arial" w:hAnsi="Arial"/>
          <w:sz w:val="21"/>
          <w:szCs w:val="21"/>
          <w:color w:val="auto"/>
        </w:rPr>
        <w:t>delivered to Participant in which there is set forth the basic terms of the restricted stock units subject to this Agreement, including (without limitation) the applicable vesting schedule for those RSUs.</w:t>
      </w:r>
    </w:p>
    <w:p>
      <w:pPr>
        <w:spacing w:after="0" w:line="160" w:lineRule="exact"/>
        <w:rPr>
          <w:rFonts w:ascii="Arial" w:cs="Arial" w:eastAsia="Arial" w:hAnsi="Arial"/>
          <w:sz w:val="21"/>
          <w:szCs w:val="21"/>
          <w:color w:val="auto"/>
        </w:rPr>
      </w:pPr>
    </w:p>
    <w:p>
      <w:pPr>
        <w:jc w:val="both"/>
        <w:ind w:firstLine="1304"/>
        <w:spacing w:after="0" w:line="276" w:lineRule="auto"/>
        <w:tabs>
          <w:tab w:leader="none" w:pos="1944" w:val="left"/>
        </w:tabs>
        <w:numPr>
          <w:ilvl w:val="1"/>
          <w:numId w:val="222"/>
        </w:numPr>
        <w:rPr>
          <w:rFonts w:ascii="Arial" w:cs="Arial" w:eastAsia="Arial" w:hAnsi="Arial"/>
          <w:sz w:val="19"/>
          <w:szCs w:val="19"/>
          <w:color w:val="auto"/>
        </w:rPr>
      </w:pPr>
      <w:r>
        <w:rPr>
          <w:rFonts w:ascii="Arial" w:cs="Arial" w:eastAsia="Arial" w:hAnsi="Arial"/>
          <w:sz w:val="19"/>
          <w:szCs w:val="19"/>
          <w:b w:val="1"/>
          <w:bCs w:val="1"/>
          <w:u w:val="single" w:color="auto"/>
          <w:color w:val="auto"/>
        </w:rPr>
        <w:t>Cause</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set forth in the Plan document; provided, however, that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event Participant is, at the time the Corporation (or any Parent or Subsidiary) purports to terminate Participant’s Employee status for Cause, a party to a Change in Control Benefits Agreement applicable to the Award, the term Cause shall have the meaning ascribed to that term in such Change in Control Benefits Agreement. The foregoing definition shall not in any way preclude or restrict the right of the Corporation (or any Parent or Subsidiary) to discharge or dismiss Participant or any other person in the Service of the Corporation (or any Parent or Subsidiary) for any other acts or omissions, but such other acts or omissions shall not be deemed, for purposes of the Plan and this Agreement, to constitute grounds for termination for Cause.</w:t>
      </w:r>
    </w:p>
    <w:p>
      <w:pPr>
        <w:spacing w:after="0" w:line="149" w:lineRule="exact"/>
        <w:rPr>
          <w:rFonts w:ascii="Arial" w:cs="Arial" w:eastAsia="Arial" w:hAnsi="Arial"/>
          <w:sz w:val="19"/>
          <w:szCs w:val="19"/>
          <w:color w:val="auto"/>
        </w:rPr>
      </w:pPr>
    </w:p>
    <w:p>
      <w:pPr>
        <w:jc w:val="both"/>
        <w:ind w:firstLine="1304"/>
        <w:spacing w:after="0" w:line="300" w:lineRule="auto"/>
        <w:tabs>
          <w:tab w:leader="none" w:pos="1944" w:val="left"/>
        </w:tabs>
        <w:numPr>
          <w:ilvl w:val="1"/>
          <w:numId w:val="222"/>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set forth in the Plan;</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in</w:t>
      </w:r>
      <w:r>
        <w:rPr>
          <w:rFonts w:ascii="Arial" w:cs="Arial" w:eastAsia="Arial" w:hAnsi="Arial"/>
          <w:sz w:val="19"/>
          <w:szCs w:val="19"/>
          <w:b w:val="1"/>
          <w:bCs w:val="1"/>
          <w:color w:val="auto"/>
        </w:rPr>
        <w:t xml:space="preserve"> </w:t>
      </w:r>
      <w:r>
        <w:rPr>
          <w:rFonts w:ascii="Arial" w:cs="Arial" w:eastAsia="Arial" w:hAnsi="Arial"/>
          <w:sz w:val="19"/>
          <w:szCs w:val="19"/>
          <w:color w:val="auto"/>
        </w:rPr>
        <w:t>the event Participant is a party to a Change in Control Benefits Agreement applicable to the Award, the term Change in Control shall have the meaning ascribed to that term in such Change in Control Benefits Agreement.</w:t>
      </w:r>
    </w:p>
    <w:p>
      <w:pPr>
        <w:spacing w:after="0" w:line="125" w:lineRule="exact"/>
        <w:rPr>
          <w:rFonts w:ascii="Arial" w:cs="Arial" w:eastAsia="Arial" w:hAnsi="Arial"/>
          <w:sz w:val="19"/>
          <w:szCs w:val="19"/>
          <w:color w:val="auto"/>
        </w:rPr>
      </w:pPr>
    </w:p>
    <w:p>
      <w:pPr>
        <w:jc w:val="both"/>
        <w:ind w:firstLine="1304"/>
        <w:spacing w:after="0" w:line="283" w:lineRule="auto"/>
        <w:tabs>
          <w:tab w:leader="none" w:pos="1944" w:val="left"/>
        </w:tabs>
        <w:numPr>
          <w:ilvl w:val="1"/>
          <w:numId w:val="222"/>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any separate agreement between</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and the 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spacing w:after="0" w:line="142" w:lineRule="exact"/>
        <w:rPr>
          <w:rFonts w:ascii="Arial" w:cs="Arial" w:eastAsia="Arial" w:hAnsi="Arial"/>
          <w:sz w:val="19"/>
          <w:szCs w:val="19"/>
          <w:color w:val="auto"/>
        </w:rPr>
      </w:pPr>
    </w:p>
    <w:p>
      <w:pPr>
        <w:jc w:val="both"/>
        <w:ind w:firstLine="1304"/>
        <w:spacing w:after="0" w:line="280" w:lineRule="auto"/>
        <w:tabs>
          <w:tab w:leader="none" w:pos="1944" w:val="left"/>
        </w:tabs>
        <w:numPr>
          <w:ilvl w:val="1"/>
          <w:numId w:val="222"/>
        </w:numPr>
        <w:rPr>
          <w:rFonts w:ascii="Arial" w:cs="Arial" w:eastAsia="Arial" w:hAnsi="Arial"/>
          <w:sz w:val="19"/>
          <w:szCs w:val="19"/>
          <w:color w:val="auto"/>
        </w:rPr>
      </w:pPr>
      <w:r>
        <w:rPr>
          <w:rFonts w:ascii="Arial" w:cs="Arial" w:eastAsia="Arial" w:hAnsi="Arial"/>
          <w:sz w:val="19"/>
          <w:szCs w:val="19"/>
          <w:b w:val="1"/>
          <w:bCs w:val="1"/>
          <w:u w:val="single" w:color="auto"/>
          <w:color w:val="auto"/>
        </w:rPr>
        <w:t>Early Retirement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Participant’s retirement from Service, with the prior approval</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Corporation (or the Parent or Subsidiary employing Participant), on or after the attainment of age fifty-five</w:t>
      </w:r>
    </w:p>
    <w:p>
      <w:pPr>
        <w:ind w:left="420" w:hanging="412"/>
        <w:spacing w:after="0"/>
        <w:tabs>
          <w:tab w:leader="none" w:pos="42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and the completion of at least five (5) years of Service.</w:t>
      </w:r>
    </w:p>
    <w:p>
      <w:pPr>
        <w:spacing w:after="0" w:line="182" w:lineRule="exact"/>
        <w:rPr>
          <w:rFonts w:ascii="Arial" w:cs="Arial" w:eastAsia="Arial" w:hAnsi="Arial"/>
          <w:sz w:val="22"/>
          <w:szCs w:val="22"/>
          <w:color w:val="auto"/>
        </w:rPr>
      </w:pPr>
    </w:p>
    <w:p>
      <w:pPr>
        <w:ind w:firstLine="1304"/>
        <w:spacing w:after="0" w:line="256" w:lineRule="auto"/>
        <w:tabs>
          <w:tab w:leader="none" w:pos="1944" w:val="left"/>
        </w:tabs>
        <w:numPr>
          <w:ilvl w:val="1"/>
          <w:numId w:val="223"/>
        </w:numPr>
        <w:rPr>
          <w:rFonts w:ascii="Arial" w:cs="Arial" w:eastAsia="Arial" w:hAnsi="Arial"/>
          <w:sz w:val="22"/>
          <w:szCs w:val="22"/>
          <w:color w:val="auto"/>
        </w:rPr>
      </w:pPr>
      <w:r>
        <w:rPr>
          <w:rFonts w:ascii="Arial" w:cs="Arial" w:eastAsia="Arial" w:hAnsi="Arial"/>
          <w:sz w:val="22"/>
          <w:szCs w:val="22"/>
          <w:b w:val="1"/>
          <w:bCs w:val="1"/>
          <w:u w:val="single" w:color="auto"/>
          <w:color w:val="auto"/>
        </w:rPr>
        <w:t>Good Reason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the Plan;</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provided however</w:t>
      </w:r>
      <w:r>
        <w:rPr>
          <w:rFonts w:ascii="Arial" w:cs="Arial" w:eastAsia="Arial" w:hAnsi="Arial"/>
          <w:sz w:val="22"/>
          <w:szCs w:val="22"/>
          <w:color w:val="auto"/>
        </w:rPr>
        <w:t>, in the event</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is at the time of his or her cessation of Employee status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93" w:name="page194"/>
    <w:bookmarkEnd w:id="193"/>
    <w:p>
      <w:pPr>
        <w:ind w:right="20"/>
        <w:spacing w:after="0" w:line="328" w:lineRule="auto"/>
        <w:rPr>
          <w:sz w:val="20"/>
          <w:szCs w:val="20"/>
          <w:color w:val="auto"/>
        </w:rPr>
      </w:pPr>
      <w:r>
        <w:rPr>
          <w:rFonts w:ascii="Arial" w:cs="Arial" w:eastAsia="Arial" w:hAnsi="Arial"/>
          <w:sz w:val="19"/>
          <w:szCs w:val="19"/>
          <w:color w:val="auto"/>
        </w:rPr>
        <w:t>to a Change in Control Benefits Agreement applicable to the Award evidenced by this Agreement, the term Good Reason shall have the meaning ascribed to that term in such Change in Control Benefits Agreement.</w:t>
      </w:r>
    </w:p>
    <w:p>
      <w:pPr>
        <w:spacing w:after="0" w:line="99" w:lineRule="exact"/>
        <w:rPr>
          <w:sz w:val="20"/>
          <w:szCs w:val="20"/>
          <w:color w:val="auto"/>
        </w:rPr>
      </w:pPr>
    </w:p>
    <w:p>
      <w:pPr>
        <w:ind w:firstLine="1304"/>
        <w:spacing w:after="0" w:line="256" w:lineRule="auto"/>
        <w:tabs>
          <w:tab w:leader="none" w:pos="1944" w:val="left"/>
        </w:tabs>
        <w:numPr>
          <w:ilvl w:val="0"/>
          <w:numId w:val="224"/>
        </w:numPr>
        <w:rPr>
          <w:rFonts w:ascii="Arial" w:cs="Arial" w:eastAsia="Arial" w:hAnsi="Arial"/>
          <w:sz w:val="22"/>
          <w:szCs w:val="22"/>
          <w:color w:val="auto"/>
        </w:rPr>
      </w:pPr>
      <w:r>
        <w:rPr>
          <w:rFonts w:ascii="Arial" w:cs="Arial" w:eastAsia="Arial" w:hAnsi="Arial"/>
          <w:sz w:val="22"/>
          <w:szCs w:val="22"/>
          <w:b w:val="1"/>
          <w:bCs w:val="1"/>
          <w:u w:val="single" w:color="auto"/>
          <w:color w:val="auto"/>
        </w:rPr>
        <w:t>Normal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shall mean the cessation of Service by reason of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at or after the attainment of age sixty-five (65).</w:t>
      </w:r>
    </w:p>
    <w:p>
      <w:pPr>
        <w:spacing w:after="0" w:line="162" w:lineRule="exact"/>
        <w:rPr>
          <w:rFonts w:ascii="Arial" w:cs="Arial" w:eastAsia="Arial" w:hAnsi="Arial"/>
          <w:sz w:val="22"/>
          <w:szCs w:val="22"/>
          <w:color w:val="auto"/>
        </w:rPr>
      </w:pPr>
    </w:p>
    <w:p>
      <w:pPr>
        <w:ind w:left="1960" w:hanging="656"/>
        <w:spacing w:after="0"/>
        <w:tabs>
          <w:tab w:leader="none" w:pos="1960" w:val="left"/>
        </w:tabs>
        <w:numPr>
          <w:ilvl w:val="0"/>
          <w:numId w:val="224"/>
        </w:numPr>
        <w:rPr>
          <w:rFonts w:ascii="Arial" w:cs="Arial" w:eastAsia="Arial" w:hAnsi="Arial"/>
          <w:sz w:val="19"/>
          <w:szCs w:val="19"/>
          <w:color w:val="auto"/>
        </w:rPr>
      </w:pPr>
      <w:r>
        <w:rPr>
          <w:rFonts w:ascii="Arial" w:cs="Arial" w:eastAsia="Arial" w:hAnsi="Arial"/>
          <w:sz w:val="19"/>
          <w:szCs w:val="19"/>
          <w:b w:val="1"/>
          <w:bCs w:val="1"/>
          <w:u w:val="single" w:color="auto"/>
          <w:color w:val="auto"/>
        </w:rPr>
        <w:t>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person to whom the Award is made pursuant to the Agreement.</w:t>
      </w:r>
    </w:p>
    <w:p>
      <w:pPr>
        <w:spacing w:after="0" w:line="240" w:lineRule="exact"/>
        <w:rPr>
          <w:rFonts w:ascii="Arial" w:cs="Arial" w:eastAsia="Arial" w:hAnsi="Arial"/>
          <w:sz w:val="19"/>
          <w:szCs w:val="19"/>
          <w:color w:val="auto"/>
        </w:rPr>
      </w:pPr>
    </w:p>
    <w:p>
      <w:pPr>
        <w:ind w:left="1960" w:hanging="656"/>
        <w:spacing w:after="0"/>
        <w:tabs>
          <w:tab w:leader="none" w:pos="1960" w:val="left"/>
        </w:tabs>
        <w:numPr>
          <w:ilvl w:val="0"/>
          <w:numId w:val="224"/>
        </w:numPr>
        <w:rPr>
          <w:rFonts w:ascii="Arial" w:cs="Arial" w:eastAsia="Arial" w:hAnsi="Arial"/>
          <w:sz w:val="19"/>
          <w:szCs w:val="19"/>
          <w:color w:val="auto"/>
        </w:rPr>
      </w:pPr>
      <w:r>
        <w:rPr>
          <w:rFonts w:ascii="Arial" w:cs="Arial" w:eastAsia="Arial" w:hAnsi="Arial"/>
          <w:sz w:val="19"/>
          <w:szCs w:val="19"/>
          <w:b w:val="1"/>
          <w:bCs w:val="1"/>
          <w:u w:val="single" w:color="auto"/>
          <w:color w:val="auto"/>
        </w:rPr>
        <w:t>Plan</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Corporation’s 2016 Incentive Compensation Plan, as amended from</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time to time.</w:t>
      </w:r>
    </w:p>
    <w:p>
      <w:pPr>
        <w:spacing w:after="0" w:line="182" w:lineRule="exact"/>
        <w:rPr>
          <w:rFonts w:ascii="Arial" w:cs="Arial" w:eastAsia="Arial" w:hAnsi="Arial"/>
          <w:sz w:val="19"/>
          <w:szCs w:val="19"/>
          <w:color w:val="auto"/>
        </w:rPr>
      </w:pPr>
    </w:p>
    <w:p>
      <w:pPr>
        <w:jc w:val="both"/>
        <w:ind w:firstLine="1304"/>
        <w:spacing w:after="0" w:line="249" w:lineRule="auto"/>
        <w:tabs>
          <w:tab w:leader="none" w:pos="1944" w:val="left"/>
        </w:tabs>
        <w:numPr>
          <w:ilvl w:val="0"/>
          <w:numId w:val="224"/>
        </w:numPr>
        <w:rPr>
          <w:rFonts w:ascii="Arial" w:cs="Arial" w:eastAsia="Arial" w:hAnsi="Arial"/>
          <w:sz w:val="21"/>
          <w:szCs w:val="21"/>
          <w:color w:val="auto"/>
        </w:rPr>
      </w:pPr>
      <w:r>
        <w:rPr>
          <w:rFonts w:ascii="Arial" w:cs="Arial" w:eastAsia="Arial" w:hAnsi="Arial"/>
          <w:sz w:val="21"/>
          <w:szCs w:val="21"/>
          <w:b w:val="1"/>
          <w:bCs w:val="1"/>
          <w:u w:val="single" w:color="auto"/>
          <w:color w:val="auto"/>
        </w:rPr>
        <w:t>Qualifying Change in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date on which there occurs a Change in</w:t>
      </w:r>
      <w:r>
        <w:rPr>
          <w:rFonts w:ascii="Arial" w:cs="Arial" w:eastAsia="Arial" w:hAnsi="Arial"/>
          <w:sz w:val="21"/>
          <w:szCs w:val="21"/>
          <w:b w:val="1"/>
          <w:bCs w:val="1"/>
          <w:color w:val="auto"/>
        </w:rPr>
        <w:t xml:space="preserve"> </w:t>
      </w:r>
      <w:r>
        <w:rPr>
          <w:rFonts w:ascii="Arial" w:cs="Arial" w:eastAsia="Arial" w:hAnsi="Arial"/>
          <w:sz w:val="21"/>
          <w:szCs w:val="21"/>
          <w:color w:val="auto"/>
        </w:rPr>
        <w:t>Control that also qualifies as: (i) a change in the ownership of the Corporation, as determined in accordance with Section 1.409A-3(i)((5)(v) of the Treasury Regulations, (ii) a change in the effective control of the Corporation, as determined in accordance with Section 1.409A-3(i)((5)(vi) of the Treasury Regulations, or (iii) a change in the ownership of a substantial portion of the assets of the Corporation, as determined in accordance with Section 1.409A-3(i)((5)(vii) of the Treasury Regulations.</w:t>
      </w:r>
    </w:p>
    <w:p>
      <w:pPr>
        <w:spacing w:after="0" w:line="170" w:lineRule="exact"/>
        <w:rPr>
          <w:rFonts w:ascii="Arial" w:cs="Arial" w:eastAsia="Arial" w:hAnsi="Arial"/>
          <w:sz w:val="21"/>
          <w:szCs w:val="21"/>
          <w:color w:val="auto"/>
        </w:rPr>
      </w:pPr>
    </w:p>
    <w:p>
      <w:pPr>
        <w:jc w:val="both"/>
        <w:ind w:firstLine="1304"/>
        <w:spacing w:after="0" w:line="270" w:lineRule="auto"/>
        <w:tabs>
          <w:tab w:leader="none" w:pos="1944" w:val="left"/>
        </w:tabs>
        <w:numPr>
          <w:ilvl w:val="0"/>
          <w:numId w:val="224"/>
        </w:numPr>
        <w:rPr>
          <w:rFonts w:ascii="Arial" w:cs="Arial" w:eastAsia="Arial" w:hAnsi="Arial"/>
          <w:sz w:val="19"/>
          <w:szCs w:val="19"/>
          <w:color w:val="auto"/>
        </w:rPr>
      </w:pPr>
      <w:r>
        <w:rPr>
          <w:rFonts w:ascii="Arial" w:cs="Arial" w:eastAsia="Arial" w:hAnsi="Arial"/>
          <w:sz w:val="19"/>
          <w:szCs w:val="19"/>
          <w:b w:val="1"/>
          <w:bCs w:val="1"/>
          <w:u w:val="single" w:color="auto"/>
          <w:color w:val="auto"/>
        </w:rPr>
        <w:t>Separation from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Participant’s cessation of Employee status by</w:t>
      </w:r>
      <w:r>
        <w:rPr>
          <w:rFonts w:ascii="Arial" w:cs="Arial" w:eastAsia="Arial" w:hAnsi="Arial"/>
          <w:sz w:val="19"/>
          <w:szCs w:val="19"/>
          <w:b w:val="1"/>
          <w:bCs w:val="1"/>
          <w:color w:val="auto"/>
        </w:rPr>
        <w:t xml:space="preserve"> </w:t>
      </w:r>
      <w:r>
        <w:rPr>
          <w:rFonts w:ascii="Arial" w:cs="Arial" w:eastAsia="Arial" w:hAnsi="Arial"/>
          <w:sz w:val="19"/>
          <w:szCs w:val="19"/>
          <w:color w:val="auto"/>
        </w:rPr>
        <w:t>reason of his or her death, retirement or termination of employment. The Participant shall be deemed to have terminated employment for such purpose at such time as the level of his or her bona fide services to be performed as an Employee (or as a consultant or independent contractor) permanently decreases to a level that is less than fifty percent (50%) of the average level of services 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firstLine="1304"/>
        <w:spacing w:after="0" w:line="256" w:lineRule="auto"/>
        <w:tabs>
          <w:tab w:leader="none" w:pos="1944" w:val="left"/>
        </w:tabs>
        <w:numPr>
          <w:ilvl w:val="0"/>
          <w:numId w:val="224"/>
        </w:numPr>
        <w:rPr>
          <w:rFonts w:ascii="Arial" w:cs="Arial" w:eastAsia="Arial" w:hAnsi="Arial"/>
          <w:sz w:val="22"/>
          <w:szCs w:val="22"/>
          <w:color w:val="auto"/>
        </w:rPr>
      </w:pPr>
      <w:r>
        <w:rPr>
          <w:rFonts w:ascii="Arial" w:cs="Arial" w:eastAsia="Arial" w:hAnsi="Arial"/>
          <w:sz w:val="22"/>
          <w:szCs w:val="22"/>
          <w:b w:val="1"/>
          <w:bCs w:val="1"/>
          <w:u w:val="single" w:color="auto"/>
          <w:color w:val="auto"/>
        </w:rPr>
        <w:t>Service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Participant’s performance of services for the Corporation (or any Parent</w:t>
      </w:r>
      <w:r>
        <w:rPr>
          <w:rFonts w:ascii="Arial" w:cs="Arial" w:eastAsia="Arial" w:hAnsi="Arial"/>
          <w:sz w:val="22"/>
          <w:szCs w:val="22"/>
          <w:b w:val="1"/>
          <w:bCs w:val="1"/>
          <w:color w:val="auto"/>
        </w:rPr>
        <w:t xml:space="preserve"> </w:t>
      </w:r>
      <w:r>
        <w:rPr>
          <w:rFonts w:ascii="Arial" w:cs="Arial" w:eastAsia="Arial" w:hAnsi="Arial"/>
          <w:sz w:val="22"/>
          <w:szCs w:val="22"/>
          <w:color w:val="auto"/>
        </w:rPr>
        <w:t>or Subsidiary) in the capacity of an Employee, a non-employee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94" w:name="page195"/>
    <w:bookmarkEnd w:id="194"/>
    <w:p>
      <w:pPr>
        <w:ind w:right="20"/>
        <w:spacing w:after="0" w:line="250" w:lineRule="auto"/>
        <w:rPr>
          <w:sz w:val="20"/>
          <w:szCs w:val="20"/>
          <w:color w:val="auto"/>
        </w:rPr>
      </w:pPr>
      <w:r>
        <w:rPr>
          <w:rFonts w:ascii="Arial" w:cs="Arial" w:eastAsia="Arial" w:hAnsi="Arial"/>
          <w:sz w:val="22"/>
          <w:szCs w:val="22"/>
          <w:color w:val="auto"/>
        </w:rPr>
        <w:t>of the board of directors or a consultant or independent advisor. In addition, the following provisions shall govern the determination of Participant’s period of Service:</w:t>
      </w:r>
    </w:p>
    <w:p>
      <w:pPr>
        <w:spacing w:after="0" w:line="175" w:lineRule="exact"/>
        <w:rPr>
          <w:sz w:val="20"/>
          <w:szCs w:val="20"/>
          <w:color w:val="auto"/>
        </w:rPr>
      </w:pPr>
    </w:p>
    <w:p>
      <w:pPr>
        <w:jc w:val="both"/>
        <w:ind w:left="660" w:firstLine="1292"/>
        <w:spacing w:after="0" w:line="257" w:lineRule="auto"/>
        <w:tabs>
          <w:tab w:leader="none" w:pos="2658" w:val="left"/>
        </w:tabs>
        <w:numPr>
          <w:ilvl w:val="0"/>
          <w:numId w:val="225"/>
        </w:numPr>
        <w:rPr>
          <w:rFonts w:ascii="Arial" w:cs="Arial" w:eastAsia="Arial" w:hAnsi="Arial"/>
          <w:sz w:val="21"/>
          <w:szCs w:val="21"/>
          <w:color w:val="auto"/>
        </w:rPr>
      </w:pPr>
      <w:r>
        <w:rPr>
          <w:rFonts w:ascii="Arial" w:cs="Arial" w:eastAsia="Arial" w:hAnsi="Arial"/>
          <w:sz w:val="21"/>
          <w:szCs w:val="21"/>
          <w:color w:val="auto"/>
        </w:rPr>
        <w:t>Participant shall be deemed to continue in Service for so long as Participant performs services for the Corporation (or any Parent or Subsidiary) in the capacity of an Employee, a non-employee member of the board of directors or a consultant or independent advisor.</w:t>
      </w:r>
    </w:p>
    <w:p>
      <w:pPr>
        <w:spacing w:after="0" w:line="196" w:lineRule="exact"/>
        <w:rPr>
          <w:rFonts w:ascii="Arial" w:cs="Arial" w:eastAsia="Arial" w:hAnsi="Arial"/>
          <w:sz w:val="21"/>
          <w:szCs w:val="21"/>
          <w:color w:val="auto"/>
        </w:rPr>
      </w:pPr>
    </w:p>
    <w:p>
      <w:pPr>
        <w:jc w:val="both"/>
        <w:ind w:left="660" w:firstLine="1292"/>
        <w:spacing w:after="0" w:line="249" w:lineRule="auto"/>
        <w:tabs>
          <w:tab w:leader="none" w:pos="2604" w:val="left"/>
        </w:tabs>
        <w:numPr>
          <w:ilvl w:val="0"/>
          <w:numId w:val="225"/>
        </w:numPr>
        <w:rPr>
          <w:rFonts w:ascii="Arial" w:cs="Arial" w:eastAsia="Arial" w:hAnsi="Arial"/>
          <w:sz w:val="21"/>
          <w:szCs w:val="21"/>
          <w:color w:val="auto"/>
        </w:rPr>
      </w:pPr>
      <w:r>
        <w:rPr>
          <w:rFonts w:ascii="Arial" w:cs="Arial" w:eastAsia="Arial" w:hAnsi="Arial"/>
          <w:sz w:val="21"/>
          <w:szCs w:val="21"/>
          <w:color w:val="auto"/>
        </w:rPr>
        <w:t>Participant shall be deemed to cease Service immediately upon the occurrence of the either of the following events: (a) Participant no longer performs services in any of the foregoing capacities for the Corporation (or any Parent or Subsidiary) or (b) the entity for which Participant performs such services ceases to remain a Parent or Subsidiary of the Corporation, even though Participant may subsequently continue to perform services for that entity.</w:t>
      </w:r>
    </w:p>
    <w:p>
      <w:pPr>
        <w:spacing w:after="0" w:line="205" w:lineRule="exact"/>
        <w:rPr>
          <w:rFonts w:ascii="Arial" w:cs="Arial" w:eastAsia="Arial" w:hAnsi="Arial"/>
          <w:sz w:val="21"/>
          <w:szCs w:val="21"/>
          <w:color w:val="auto"/>
        </w:rPr>
      </w:pPr>
    </w:p>
    <w:p>
      <w:pPr>
        <w:jc w:val="both"/>
        <w:ind w:left="660" w:firstLine="1292"/>
        <w:spacing w:after="0" w:line="238" w:lineRule="auto"/>
        <w:tabs>
          <w:tab w:leader="none" w:pos="2604" w:val="left"/>
        </w:tabs>
        <w:numPr>
          <w:ilvl w:val="0"/>
          <w:numId w:val="225"/>
        </w:numPr>
        <w:rPr>
          <w:rFonts w:ascii="Arial" w:cs="Arial" w:eastAsia="Arial" w:hAnsi="Arial"/>
          <w:sz w:val="22"/>
          <w:szCs w:val="22"/>
          <w:color w:val="auto"/>
        </w:rPr>
      </w:pPr>
      <w:r>
        <w:rPr>
          <w:rFonts w:ascii="Arial" w:cs="Arial" w:eastAsia="Arial" w:hAnsi="Arial"/>
          <w:sz w:val="22"/>
          <w:szCs w:val="22"/>
          <w:color w:val="auto"/>
        </w:rPr>
        <w:t>Service as an Employee shall not be deemed to cease during a period of military leave, sick leave or other personal leave approved by the Plan Administrator (or any Parent or Subsidiary) employing Participant; provided, however, that the following special provisions shall be in effect for any such leave:</w:t>
      </w:r>
    </w:p>
    <w:p>
      <w:pPr>
        <w:spacing w:after="0" w:line="211" w:lineRule="exact"/>
        <w:rPr>
          <w:rFonts w:ascii="Arial" w:cs="Arial" w:eastAsia="Arial" w:hAnsi="Arial"/>
          <w:sz w:val="22"/>
          <w:szCs w:val="22"/>
          <w:color w:val="auto"/>
        </w:rPr>
      </w:pPr>
    </w:p>
    <w:p>
      <w:pPr>
        <w:jc w:val="both"/>
        <w:ind w:left="660" w:firstLine="1940"/>
        <w:spacing w:after="0" w:line="287" w:lineRule="auto"/>
        <w:tabs>
          <w:tab w:leader="none" w:pos="3252" w:val="left"/>
        </w:tabs>
        <w:numPr>
          <w:ilvl w:val="1"/>
          <w:numId w:val="225"/>
        </w:numPr>
        <w:rPr>
          <w:rFonts w:ascii="Arial" w:cs="Arial" w:eastAsia="Arial" w:hAnsi="Arial"/>
          <w:sz w:val="19"/>
          <w:szCs w:val="19"/>
          <w:color w:val="auto"/>
        </w:rPr>
      </w:pPr>
      <w:r>
        <w:rPr>
          <w:rFonts w:ascii="Arial" w:cs="Arial" w:eastAsia="Arial" w:hAnsi="Arial"/>
          <w:sz w:val="19"/>
          <w:szCs w:val="19"/>
          <w:color w:val="auto"/>
        </w:rPr>
        <w:t>Should the period of such leave (other than a disability leave) exceed six (6) months, then Participant shall be deemed to cease Service and to incur a Separation from Service upon the expiration of the initial six (6)-month period of that leave, unless Participant retains a right to re-employment under applicable law or by contract with the Corporation (or any Parent or Subsidiary).</w:t>
      </w:r>
    </w:p>
    <w:p>
      <w:pPr>
        <w:spacing w:after="0" w:line="169" w:lineRule="exact"/>
        <w:rPr>
          <w:rFonts w:ascii="Arial" w:cs="Arial" w:eastAsia="Arial" w:hAnsi="Arial"/>
          <w:sz w:val="19"/>
          <w:szCs w:val="19"/>
          <w:color w:val="auto"/>
        </w:rPr>
      </w:pPr>
    </w:p>
    <w:p>
      <w:pPr>
        <w:jc w:val="both"/>
        <w:ind w:left="660" w:firstLine="1940"/>
        <w:spacing w:after="0" w:line="275" w:lineRule="auto"/>
        <w:tabs>
          <w:tab w:leader="none" w:pos="3252" w:val="left"/>
        </w:tabs>
        <w:numPr>
          <w:ilvl w:val="1"/>
          <w:numId w:val="225"/>
        </w:numPr>
        <w:rPr>
          <w:rFonts w:ascii="Arial" w:cs="Arial" w:eastAsia="Arial" w:hAnsi="Arial"/>
          <w:sz w:val="19"/>
          <w:szCs w:val="19"/>
          <w:color w:val="auto"/>
        </w:rPr>
      </w:pPr>
      <w:r>
        <w:rPr>
          <w:rFonts w:ascii="Arial" w:cs="Arial" w:eastAsia="Arial" w:hAnsi="Arial"/>
          <w:sz w:val="19"/>
          <w:szCs w:val="19"/>
          <w:color w:val="auto"/>
        </w:rPr>
        <w:t>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spacing w:after="0" w:line="184" w:lineRule="exact"/>
        <w:rPr>
          <w:rFonts w:ascii="Arial" w:cs="Arial" w:eastAsia="Arial" w:hAnsi="Arial"/>
          <w:sz w:val="19"/>
          <w:szCs w:val="19"/>
          <w:color w:val="auto"/>
        </w:rPr>
      </w:pPr>
    </w:p>
    <w:p>
      <w:pPr>
        <w:jc w:val="both"/>
        <w:ind w:left="660" w:firstLine="1940"/>
        <w:spacing w:after="0" w:line="257" w:lineRule="auto"/>
        <w:tabs>
          <w:tab w:leader="none" w:pos="3265" w:val="left"/>
        </w:tabs>
        <w:numPr>
          <w:ilvl w:val="1"/>
          <w:numId w:val="225"/>
        </w:numPr>
        <w:rPr>
          <w:rFonts w:ascii="Arial" w:cs="Arial" w:eastAsia="Arial" w:hAnsi="Arial"/>
          <w:sz w:val="21"/>
          <w:szCs w:val="21"/>
          <w:color w:val="auto"/>
        </w:rPr>
      </w:pPr>
      <w:r>
        <w:rPr>
          <w:rFonts w:ascii="Arial" w:cs="Arial" w:eastAsia="Arial" w:hAnsi="Arial"/>
          <w:sz w:val="21"/>
          <w:szCs w:val="21"/>
          <w:color w:val="auto"/>
        </w:rPr>
        <w:t>Except to the extent otherwise required by law or expressly authorized by the Plan Administrator or by the Corporation’s written policy on leaves of absence no Service credit shall be given for vesting purposes for any period Participant is on a leave of absence.</w:t>
      </w:r>
    </w:p>
    <w:p>
      <w:pPr>
        <w:spacing w:after="0" w:line="196" w:lineRule="exact"/>
        <w:rPr>
          <w:rFonts w:ascii="Arial" w:cs="Arial" w:eastAsia="Arial" w:hAnsi="Arial"/>
          <w:sz w:val="21"/>
          <w:szCs w:val="21"/>
          <w:color w:val="auto"/>
        </w:rPr>
      </w:pPr>
    </w:p>
    <w:p>
      <w:pPr>
        <w:ind w:left="660" w:right="20" w:firstLine="1292"/>
        <w:spacing w:after="0" w:line="250" w:lineRule="auto"/>
        <w:tabs>
          <w:tab w:leader="none" w:pos="2604" w:val="left"/>
        </w:tabs>
        <w:numPr>
          <w:ilvl w:val="0"/>
          <w:numId w:val="225"/>
        </w:numPr>
        <w:rPr>
          <w:rFonts w:ascii="Arial" w:cs="Arial" w:eastAsia="Arial" w:hAnsi="Arial"/>
          <w:sz w:val="22"/>
          <w:szCs w:val="22"/>
          <w:color w:val="auto"/>
        </w:rPr>
      </w:pPr>
      <w:r>
        <w:rPr>
          <w:rFonts w:ascii="Arial" w:cs="Arial" w:eastAsia="Arial" w:hAnsi="Arial"/>
          <w:sz w:val="22"/>
          <w:szCs w:val="22"/>
          <w:color w:val="auto"/>
        </w:rPr>
        <w:t>Notwithstanding anything to the contrary in the foregoing provisions of this Service definition, the Participant shall in all events be deemed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95" w:name="page196"/>
    <w:bookmarkEnd w:id="195"/>
    <w:p>
      <w:pPr>
        <w:ind w:left="200"/>
        <w:spacing w:after="0" w:line="250" w:lineRule="auto"/>
        <w:rPr>
          <w:sz w:val="20"/>
          <w:szCs w:val="20"/>
          <w:color w:val="auto"/>
        </w:rPr>
      </w:pPr>
      <w:r>
        <w:rPr>
          <w:rFonts w:ascii="Arial" w:cs="Arial" w:eastAsia="Arial" w:hAnsi="Arial"/>
          <w:sz w:val="22"/>
          <w:szCs w:val="22"/>
          <w:color w:val="auto"/>
        </w:rPr>
        <w:t>to cease Service for all purposes of this Award immediately upon Participant’s incurrence of a Separation from Service.</w:t>
      </w:r>
    </w:p>
    <w:p>
      <w:pPr>
        <w:spacing w:after="0" w:line="391"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APPENDIX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874" w:right="1019" w:bottom="1440" w:gutter="0" w:footer="0" w:header="0"/>
        </w:sectPr>
      </w:pPr>
    </w:p>
    <w:bookmarkStart w:id="196" w:name="page197"/>
    <w:bookmarkEnd w:id="196"/>
    <w:p>
      <w:pPr>
        <w:jc w:val="right"/>
        <w:spacing w:after="0"/>
        <w:rPr>
          <w:sz w:val="20"/>
          <w:szCs w:val="20"/>
          <w:color w:val="auto"/>
        </w:rPr>
      </w:pPr>
      <w:r>
        <w:rPr>
          <w:rFonts w:ascii="Arial" w:cs="Arial" w:eastAsia="Arial" w:hAnsi="Arial"/>
          <w:sz w:val="22"/>
          <w:szCs w:val="22"/>
          <w:b w:val="1"/>
          <w:bCs w:val="1"/>
          <w:color w:val="auto"/>
        </w:rPr>
        <w:t>Exhibit 10.52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MATSON,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RESTRICTED STOCK UNIT AWARD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NON-EMPLOYEE BOARD MEMBER—NO DEFERRAL</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RECITALS</w:t>
      </w:r>
    </w:p>
    <w:p>
      <w:pPr>
        <w:spacing w:after="0" w:line="239" w:lineRule="exact"/>
        <w:rPr>
          <w:sz w:val="20"/>
          <w:szCs w:val="20"/>
          <w:color w:val="auto"/>
        </w:rPr>
      </w:pPr>
    </w:p>
    <w:p>
      <w:pPr>
        <w:ind w:right="40" w:firstLine="1304"/>
        <w:spacing w:after="0" w:line="248" w:lineRule="auto"/>
        <w:tabs>
          <w:tab w:leader="none" w:pos="1944" w:val="left"/>
        </w:tabs>
        <w:numPr>
          <w:ilvl w:val="0"/>
          <w:numId w:val="226"/>
        </w:numPr>
        <w:rPr>
          <w:rFonts w:ascii="Arial" w:cs="Arial" w:eastAsia="Arial" w:hAnsi="Arial"/>
          <w:sz w:val="21"/>
          <w:szCs w:val="21"/>
          <w:color w:val="auto"/>
        </w:rPr>
      </w:pPr>
      <w:r>
        <w:rPr>
          <w:rFonts w:ascii="Arial" w:cs="Arial" w:eastAsia="Arial" w:hAnsi="Arial"/>
          <w:sz w:val="21"/>
          <w:szCs w:val="21"/>
          <w:color w:val="auto"/>
        </w:rPr>
        <w:t>Matson, Inc., a Hawaii corporation (along with any subsequent corporate successor to all or substantially all of the assets or voting stock of Matson, Inc., which has by appropriate action assumed the Plan, the “Corporation”), has implemented an automatic award program under the Plan pursuant to which eligible non-employee members of the Board will automatically receive special awards of restricted stock units at periodic intervals over their period of Board service in order to provide such individuals with a meaningful incentive to continue to serve as members of the Board.</w:t>
      </w:r>
    </w:p>
    <w:p>
      <w:pPr>
        <w:spacing w:after="0" w:line="176" w:lineRule="exact"/>
        <w:rPr>
          <w:rFonts w:ascii="Arial" w:cs="Arial" w:eastAsia="Arial" w:hAnsi="Arial"/>
          <w:sz w:val="21"/>
          <w:szCs w:val="21"/>
          <w:color w:val="auto"/>
        </w:rPr>
      </w:pPr>
    </w:p>
    <w:p>
      <w:pPr>
        <w:ind w:right="440" w:firstLine="1304"/>
        <w:spacing w:after="0"/>
        <w:tabs>
          <w:tab w:leader="none" w:pos="1944" w:val="left"/>
        </w:tabs>
        <w:numPr>
          <w:ilvl w:val="0"/>
          <w:numId w:val="226"/>
        </w:numPr>
        <w:rPr>
          <w:rFonts w:ascii="Arial" w:cs="Arial" w:eastAsia="Arial" w:hAnsi="Arial"/>
          <w:sz w:val="22"/>
          <w:szCs w:val="22"/>
          <w:color w:val="auto"/>
        </w:rPr>
      </w:pPr>
      <w:r>
        <w:rPr>
          <w:rFonts w:ascii="Arial" w:cs="Arial" w:eastAsia="Arial" w:hAnsi="Arial"/>
          <w:sz w:val="22"/>
          <w:szCs w:val="22"/>
          <w:color w:val="auto"/>
        </w:rPr>
        <w:t>Participant is an eligible non-employee Board member, and this Agreement is executed pursuant to, and is intended to carry out the purposes of, the Plan in connection with the automatic award of restricted stock units under the Plan.</w:t>
      </w:r>
    </w:p>
    <w:p>
      <w:pPr>
        <w:spacing w:after="0" w:line="186" w:lineRule="exact"/>
        <w:rPr>
          <w:rFonts w:ascii="Arial" w:cs="Arial" w:eastAsia="Arial" w:hAnsi="Arial"/>
          <w:sz w:val="22"/>
          <w:szCs w:val="22"/>
          <w:color w:val="auto"/>
        </w:rPr>
      </w:pPr>
    </w:p>
    <w:p>
      <w:pPr>
        <w:ind w:right="480" w:firstLine="1304"/>
        <w:spacing w:after="0" w:line="250" w:lineRule="auto"/>
        <w:tabs>
          <w:tab w:leader="none" w:pos="1944" w:val="left"/>
        </w:tabs>
        <w:numPr>
          <w:ilvl w:val="0"/>
          <w:numId w:val="226"/>
        </w:numPr>
        <w:rPr>
          <w:rFonts w:ascii="Arial" w:cs="Arial" w:eastAsia="Arial" w:hAnsi="Arial"/>
          <w:sz w:val="22"/>
          <w:szCs w:val="22"/>
          <w:color w:val="auto"/>
        </w:rPr>
      </w:pPr>
      <w:r>
        <w:rPr>
          <w:rFonts w:ascii="Arial" w:cs="Arial" w:eastAsia="Arial" w:hAnsi="Arial"/>
          <w:sz w:val="22"/>
          <w:szCs w:val="22"/>
          <w:color w:val="auto"/>
        </w:rPr>
        <w:t xml:space="preserve">All capitalized terms in this Agreement shall have the meaning assigned to them in the attached </w:t>
      </w:r>
      <w:r>
        <w:rPr>
          <w:rFonts w:ascii="Arial" w:cs="Arial" w:eastAsia="Arial" w:hAnsi="Arial"/>
          <w:sz w:val="22"/>
          <w:szCs w:val="22"/>
          <w:u w:val="single" w:color="auto"/>
          <w:color w:val="auto"/>
        </w:rPr>
        <w:t>Appendix A</w:t>
      </w:r>
      <w:r>
        <w:rPr>
          <w:rFonts w:ascii="Arial" w:cs="Arial" w:eastAsia="Arial" w:hAnsi="Arial"/>
          <w:sz w:val="22"/>
          <w:szCs w:val="22"/>
          <w:color w:val="auto"/>
        </w:rPr>
        <w:t>, or if not defined in that appendix, as defined in the Plan.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it is hereby agreed as follows:</w:t>
      </w:r>
    </w:p>
    <w:p>
      <w:pPr>
        <w:spacing w:after="0" w:line="206" w:lineRule="exact"/>
        <w:rPr>
          <w:sz w:val="20"/>
          <w:szCs w:val="20"/>
          <w:color w:val="auto"/>
        </w:rPr>
      </w:pPr>
    </w:p>
    <w:p>
      <w:pPr>
        <w:jc w:val="both"/>
        <w:ind w:firstLine="1304"/>
        <w:spacing w:after="0" w:line="235" w:lineRule="auto"/>
        <w:tabs>
          <w:tab w:leader="none" w:pos="1944" w:val="left"/>
        </w:tabs>
        <w:numPr>
          <w:ilvl w:val="0"/>
          <w:numId w:val="227"/>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Restricted Stock Units</w:t>
      </w:r>
      <w:r>
        <w:rPr>
          <w:rFonts w:ascii="Arial" w:cs="Arial" w:eastAsia="Arial" w:hAnsi="Arial"/>
          <w:sz w:val="22"/>
          <w:szCs w:val="22"/>
          <w:color w:val="auto"/>
        </w:rPr>
        <w:t>. The Corporation hereby awards to Participant,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Award Date, an award (the “Award”) of restricted stock units under the Plan. Each restricted stock unit represents the right to receive one share of Common Stock on the applicable issuance date following the vesting of that unit. The number of shares of Common Stock subject to the awarded restricted stock units (the “RSUs”), the applicable vesting schedule for the RSUs and the underlying shares of Common Stock, the dates on which those vested shares shall be issued to Participant and the remaining terms and conditions governing the Award shall be as set forth in this Agreement.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60" w:type="dxa"/>
            <w:vAlign w:val="bottom"/>
          </w:tcPr>
          <w:p>
            <w:pPr>
              <w:ind w:left="1200"/>
              <w:spacing w:after="0"/>
              <w:rPr>
                <w:sz w:val="20"/>
                <w:szCs w:val="20"/>
                <w:color w:val="auto"/>
              </w:rPr>
            </w:pPr>
            <w:r>
              <w:rPr>
                <w:rFonts w:ascii="Arial" w:cs="Arial" w:eastAsia="Arial" w:hAnsi="Arial"/>
                <w:sz w:val="22"/>
                <w:szCs w:val="22"/>
                <w:b w:val="1"/>
                <w:bCs w:val="1"/>
                <w:color w:val="auto"/>
              </w:rPr>
              <w:t>AWARD SUMMARY</w:t>
            </w:r>
          </w:p>
        </w:tc>
        <w:tc>
          <w:tcPr>
            <w:tcW w:w="0" w:type="dxa"/>
            <w:vAlign w:val="bottom"/>
          </w:tcPr>
          <w:p>
            <w:pPr>
              <w:spacing w:after="0"/>
              <w:rPr>
                <w:sz w:val="1"/>
                <w:szCs w:val="1"/>
                <w:color w:val="auto"/>
              </w:rPr>
            </w:pPr>
          </w:p>
        </w:tc>
      </w:tr>
      <w:tr>
        <w:trPr>
          <w:trHeight w:val="435"/>
        </w:trPr>
        <w:tc>
          <w:tcPr>
            <w:tcW w:w="2760" w:type="dxa"/>
            <w:vAlign w:val="bottom"/>
            <w:gridSpan w:val="6"/>
          </w:tcPr>
          <w:p>
            <w:pPr>
              <w:spacing w:after="0"/>
              <w:rPr>
                <w:sz w:val="20"/>
                <w:szCs w:val="20"/>
                <w:color w:val="auto"/>
              </w:rPr>
            </w:pPr>
            <w:r>
              <w:rPr>
                <w:rFonts w:ascii="Arial" w:cs="Arial" w:eastAsia="Arial" w:hAnsi="Arial"/>
                <w:sz w:val="22"/>
                <w:szCs w:val="22"/>
                <w:color w:val="auto"/>
              </w:rPr>
              <w:t>Participant</w:t>
            </w:r>
          </w:p>
        </w:tc>
        <w:tc>
          <w:tcPr>
            <w:tcW w:w="7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9"/>
              </w:rPr>
              <w:t>Award Date:</w:t>
            </w:r>
          </w:p>
        </w:tc>
        <w:tc>
          <w:tcPr>
            <w:tcW w:w="1660" w:type="dxa"/>
            <w:vAlign w:val="bottom"/>
            <w:gridSpan w:val="4"/>
          </w:tcPr>
          <w:p>
            <w:pPr>
              <w:spacing w:after="0"/>
              <w:rPr>
                <w:sz w:val="24"/>
                <w:szCs w:val="24"/>
                <w:color w:val="auto"/>
              </w:rPr>
            </w:pPr>
          </w:p>
        </w:tc>
        <w:tc>
          <w:tcPr>
            <w:tcW w:w="7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760" w:type="dxa"/>
            <w:vAlign w:val="bottom"/>
            <w:gridSpan w:val="6"/>
          </w:tcPr>
          <w:p>
            <w:pPr>
              <w:spacing w:after="0"/>
              <w:rPr>
                <w:sz w:val="20"/>
                <w:szCs w:val="20"/>
                <w:color w:val="auto"/>
              </w:rPr>
            </w:pPr>
            <w:r>
              <w:rPr>
                <w:rFonts w:ascii="Arial" w:cs="Arial" w:eastAsia="Arial" w:hAnsi="Arial"/>
                <w:sz w:val="22"/>
                <w:szCs w:val="22"/>
                <w:color w:val="auto"/>
                <w:w w:val="96"/>
              </w:rPr>
              <w:t>Number of Shares Subject to</w:t>
            </w:r>
          </w:p>
        </w:tc>
        <w:tc>
          <w:tcPr>
            <w:tcW w:w="7160" w:type="dxa"/>
            <w:vAlign w:val="bottom"/>
            <w:vMerge w:val="restart"/>
          </w:tcPr>
          <w:p>
            <w:pPr>
              <w:ind w:left="260"/>
              <w:spacing w:after="0"/>
              <w:rPr>
                <w:sz w:val="20"/>
                <w:szCs w:val="20"/>
                <w:color w:val="auto"/>
              </w:rPr>
            </w:pPr>
            <w:r>
              <w:rPr>
                <w:rFonts w:ascii="Arial" w:cs="Arial" w:eastAsia="Arial" w:hAnsi="Arial"/>
                <w:sz w:val="22"/>
                <w:szCs w:val="22"/>
                <w:color w:val="auto"/>
              </w:rPr>
              <w:t>x,xxx shares of Common Stock (the “Shares”)</w:t>
            </w:r>
          </w:p>
        </w:tc>
        <w:tc>
          <w:tcPr>
            <w:tcW w:w="0" w:type="dxa"/>
            <w:vAlign w:val="bottom"/>
          </w:tcPr>
          <w:p>
            <w:pPr>
              <w:spacing w:after="0"/>
              <w:rPr>
                <w:sz w:val="1"/>
                <w:szCs w:val="1"/>
                <w:color w:val="auto"/>
              </w:rPr>
            </w:pPr>
          </w:p>
        </w:tc>
      </w:tr>
      <w:tr>
        <w:trPr>
          <w:trHeight w:val="20"/>
        </w:trPr>
        <w:tc>
          <w:tcPr>
            <w:tcW w:w="1560" w:type="dxa"/>
            <w:vAlign w:val="bottom"/>
            <w:gridSpan w:val="3"/>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60" w:type="dxa"/>
            <w:vAlign w:val="bottom"/>
            <w:gridSpan w:val="6"/>
          </w:tcPr>
          <w:p>
            <w:pPr>
              <w:spacing w:after="0" w:line="223" w:lineRule="exact"/>
              <w:rPr>
                <w:sz w:val="20"/>
                <w:szCs w:val="20"/>
                <w:color w:val="auto"/>
              </w:rPr>
            </w:pPr>
            <w:r>
              <w:rPr>
                <w:rFonts w:ascii="Arial" w:cs="Arial" w:eastAsia="Arial" w:hAnsi="Arial"/>
                <w:sz w:val="22"/>
                <w:szCs w:val="22"/>
                <w:color w:val="auto"/>
                <w:w w:val="97"/>
              </w:rPr>
              <w:t>Restricted Stock Unit Award:</w:t>
            </w:r>
          </w:p>
        </w:tc>
        <w:tc>
          <w:tcPr>
            <w:tcW w:w="7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2540" w:type="dxa"/>
            <w:vAlign w:val="bottom"/>
            <w:tcBorders>
              <w:top w:val="single" w:sz="8" w:color="auto"/>
            </w:tcBorders>
            <w:gridSpan w:val="5"/>
          </w:tcPr>
          <w:p>
            <w:pPr>
              <w:spacing w:after="0"/>
              <w:rPr>
                <w:sz w:val="20"/>
                <w:szCs w:val="20"/>
                <w:color w:val="auto"/>
              </w:rPr>
            </w:pPr>
            <w:r>
              <w:rPr>
                <w:rFonts w:ascii="Arial" w:cs="Arial" w:eastAsia="Arial" w:hAnsi="Arial"/>
                <w:sz w:val="22"/>
                <w:szCs w:val="22"/>
                <w:color w:val="auto"/>
              </w:rPr>
              <w:t>Vesting Schedule:</w:t>
            </w:r>
          </w:p>
        </w:tc>
        <w:tc>
          <w:tcPr>
            <w:tcW w:w="220" w:type="dxa"/>
            <w:vAlign w:val="bottom"/>
          </w:tcPr>
          <w:p>
            <w:pPr>
              <w:spacing w:after="0"/>
              <w:rPr>
                <w:sz w:val="24"/>
                <w:szCs w:val="24"/>
                <w:color w:val="auto"/>
              </w:rPr>
            </w:pPr>
          </w:p>
        </w:tc>
        <w:tc>
          <w:tcPr>
            <w:tcW w:w="7160" w:type="dxa"/>
            <w:vAlign w:val="bottom"/>
          </w:tcPr>
          <w:p>
            <w:pPr>
              <w:ind w:left="200"/>
              <w:spacing w:after="0"/>
              <w:rPr>
                <w:sz w:val="20"/>
                <w:szCs w:val="20"/>
                <w:color w:val="auto"/>
              </w:rPr>
            </w:pPr>
            <w:r>
              <w:rPr>
                <w:rFonts w:ascii="Arial" w:cs="Arial" w:eastAsia="Arial" w:hAnsi="Arial"/>
                <w:sz w:val="22"/>
                <w:szCs w:val="22"/>
                <w:color w:val="auto"/>
              </w:rPr>
              <w:t>The RSUs shall vest in full on the earlier of (a) the first anniversary of</w:t>
            </w:r>
          </w:p>
        </w:tc>
        <w:tc>
          <w:tcPr>
            <w:tcW w:w="0" w:type="dxa"/>
            <w:vAlign w:val="bottom"/>
          </w:tcPr>
          <w:p>
            <w:pPr>
              <w:spacing w:after="0"/>
              <w:rPr>
                <w:sz w:val="1"/>
                <w:szCs w:val="1"/>
                <w:color w:val="auto"/>
              </w:rPr>
            </w:pPr>
          </w:p>
        </w:tc>
      </w:tr>
      <w:tr>
        <w:trPr>
          <w:trHeight w:val="274"/>
        </w:trPr>
        <w:tc>
          <w:tcPr>
            <w:tcW w:w="94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160" w:type="dxa"/>
            <w:vAlign w:val="bottom"/>
          </w:tcPr>
          <w:p>
            <w:pPr>
              <w:ind w:left="200"/>
              <w:spacing w:after="0"/>
              <w:rPr>
                <w:sz w:val="20"/>
                <w:szCs w:val="20"/>
                <w:color w:val="auto"/>
              </w:rPr>
            </w:pPr>
            <w:r>
              <w:rPr>
                <w:rFonts w:ascii="Arial" w:cs="Arial" w:eastAsia="Arial" w:hAnsi="Arial"/>
                <w:sz w:val="22"/>
                <w:szCs w:val="22"/>
                <w:color w:val="auto"/>
                <w:w w:val="99"/>
              </w:rPr>
              <w:t>Participant’s completion of continuous Board service measured from the</w:t>
            </w:r>
          </w:p>
        </w:tc>
        <w:tc>
          <w:tcPr>
            <w:tcW w:w="0" w:type="dxa"/>
            <w:vAlign w:val="bottom"/>
          </w:tcPr>
          <w:p>
            <w:pPr>
              <w:spacing w:after="0"/>
              <w:rPr>
                <w:sz w:val="1"/>
                <w:szCs w:val="1"/>
                <w:color w:val="auto"/>
              </w:rPr>
            </w:pPr>
          </w:p>
        </w:tc>
      </w:tr>
      <w:tr>
        <w:trPr>
          <w:trHeight w:val="1225"/>
        </w:trPr>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328" w:right="999" w:bottom="1440" w:gutter="0" w:footer="0" w:header="0"/>
        </w:sectPr>
      </w:pPr>
    </w:p>
    <w:bookmarkStart w:id="197" w:name="page198"/>
    <w:bookmarkEnd w:id="1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20" w:type="dxa"/>
            <w:vAlign w:val="bottom"/>
          </w:tcPr>
          <w:p>
            <w:pPr>
              <w:ind w:left="680"/>
              <w:spacing w:after="0"/>
              <w:rPr>
                <w:sz w:val="20"/>
                <w:szCs w:val="20"/>
                <w:color w:val="auto"/>
              </w:rPr>
            </w:pPr>
            <w:r>
              <w:rPr>
                <w:rFonts w:ascii="Arial" w:cs="Arial" w:eastAsia="Arial" w:hAnsi="Arial"/>
                <w:sz w:val="22"/>
                <w:szCs w:val="22"/>
                <w:color w:val="auto"/>
                <w:w w:val="97"/>
              </w:rPr>
              <w:t>Award Date or (b) the first annual general meeting of the Corporation’s</w:t>
            </w:r>
          </w:p>
        </w:tc>
      </w:tr>
      <w:tr>
        <w:trPr>
          <w:trHeight w:val="243"/>
        </w:trPr>
        <w:tc>
          <w:tcPr>
            <w:tcW w:w="1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20" w:type="dxa"/>
            <w:vAlign w:val="bottom"/>
          </w:tcPr>
          <w:p>
            <w:pPr>
              <w:ind w:left="680"/>
              <w:spacing w:after="0" w:line="243" w:lineRule="exact"/>
              <w:rPr>
                <w:sz w:val="20"/>
                <w:szCs w:val="20"/>
                <w:color w:val="auto"/>
              </w:rPr>
            </w:pPr>
            <w:r>
              <w:rPr>
                <w:rFonts w:ascii="Arial" w:cs="Arial" w:eastAsia="Arial" w:hAnsi="Arial"/>
                <w:sz w:val="22"/>
                <w:szCs w:val="22"/>
                <w:color w:val="auto"/>
                <w:w w:val="92"/>
              </w:rPr>
              <w:t>stockholders held after the Award Date. The RSUs may vest in whole or in</w:t>
            </w:r>
          </w:p>
        </w:tc>
      </w:tr>
      <w:tr>
        <w:trPr>
          <w:trHeight w:val="243"/>
        </w:trPr>
        <w:tc>
          <w:tcPr>
            <w:tcW w:w="1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20" w:type="dxa"/>
            <w:vAlign w:val="bottom"/>
          </w:tcPr>
          <w:p>
            <w:pPr>
              <w:ind w:left="680"/>
              <w:spacing w:after="0" w:line="243" w:lineRule="exact"/>
              <w:rPr>
                <w:sz w:val="20"/>
                <w:szCs w:val="20"/>
                <w:color w:val="auto"/>
              </w:rPr>
            </w:pPr>
            <w:r>
              <w:rPr>
                <w:rFonts w:ascii="Arial" w:cs="Arial" w:eastAsia="Arial" w:hAnsi="Arial"/>
                <w:sz w:val="22"/>
                <w:szCs w:val="22"/>
                <w:color w:val="auto"/>
                <w:w w:val="89"/>
              </w:rPr>
              <w:t>part on an accelerated basis in accordance with the provisions of Paragraphs</w:t>
            </w:r>
          </w:p>
        </w:tc>
      </w:tr>
      <w:tr>
        <w:trPr>
          <w:trHeight w:val="243"/>
        </w:trPr>
        <w:tc>
          <w:tcPr>
            <w:tcW w:w="1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20" w:type="dxa"/>
            <w:vAlign w:val="bottom"/>
          </w:tcPr>
          <w:p>
            <w:pPr>
              <w:ind w:left="680"/>
              <w:spacing w:after="0" w:line="243" w:lineRule="exact"/>
              <w:rPr>
                <w:sz w:val="20"/>
                <w:szCs w:val="20"/>
                <w:color w:val="auto"/>
              </w:rPr>
            </w:pPr>
            <w:r>
              <w:rPr>
                <w:rFonts w:ascii="Arial" w:cs="Arial" w:eastAsia="Arial" w:hAnsi="Arial"/>
                <w:sz w:val="22"/>
                <w:szCs w:val="22"/>
                <w:color w:val="auto"/>
                <w:w w:val="92"/>
              </w:rPr>
              <w:t>3 and 5 of this Agreement. In no event shall any RSU vest after the date of</w:t>
            </w:r>
          </w:p>
        </w:tc>
      </w:tr>
      <w:tr>
        <w:trPr>
          <w:trHeight w:val="274"/>
        </w:trPr>
        <w:tc>
          <w:tcPr>
            <w:tcW w:w="16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20" w:type="dxa"/>
            <w:vAlign w:val="bottom"/>
          </w:tcPr>
          <w:p>
            <w:pPr>
              <w:ind w:left="680"/>
              <w:spacing w:after="0"/>
              <w:rPr>
                <w:sz w:val="20"/>
                <w:szCs w:val="20"/>
                <w:color w:val="auto"/>
              </w:rPr>
            </w:pPr>
            <w:r>
              <w:rPr>
                <w:rFonts w:ascii="Arial" w:cs="Arial" w:eastAsia="Arial" w:hAnsi="Arial"/>
                <w:sz w:val="22"/>
                <w:szCs w:val="22"/>
                <w:color w:val="auto"/>
              </w:rPr>
              <w:t>Participant’s termination of Board service.</w:t>
            </w:r>
          </w:p>
        </w:tc>
      </w:tr>
      <w:tr>
        <w:trPr>
          <w:trHeight w:val="435"/>
        </w:trPr>
        <w:tc>
          <w:tcPr>
            <w:tcW w:w="2280" w:type="dxa"/>
            <w:vAlign w:val="bottom"/>
            <w:gridSpan w:val="2"/>
          </w:tcPr>
          <w:p>
            <w:pPr>
              <w:spacing w:after="0"/>
              <w:rPr>
                <w:sz w:val="20"/>
                <w:szCs w:val="20"/>
                <w:color w:val="auto"/>
              </w:rPr>
            </w:pPr>
            <w:r>
              <w:rPr>
                <w:rFonts w:ascii="Arial" w:cs="Arial" w:eastAsia="Arial" w:hAnsi="Arial"/>
                <w:sz w:val="22"/>
                <w:szCs w:val="22"/>
                <w:color w:val="auto"/>
              </w:rPr>
              <w:t>Issuance Schedule</w:t>
            </w:r>
          </w:p>
        </w:tc>
        <w:tc>
          <w:tcPr>
            <w:tcW w:w="7420" w:type="dxa"/>
            <w:vAlign w:val="bottom"/>
          </w:tcPr>
          <w:p>
            <w:pPr>
              <w:ind w:left="680"/>
              <w:spacing w:after="0"/>
              <w:rPr>
                <w:sz w:val="20"/>
                <w:szCs w:val="20"/>
                <w:color w:val="auto"/>
              </w:rPr>
            </w:pPr>
            <w:r>
              <w:rPr>
                <w:rFonts w:ascii="Arial" w:cs="Arial" w:eastAsia="Arial" w:hAnsi="Arial"/>
                <w:sz w:val="22"/>
                <w:szCs w:val="22"/>
                <w:color w:val="auto"/>
              </w:rPr>
              <w:t>Subject to the provisions of Paragraph 7(a), each RSU in which the</w:t>
            </w:r>
          </w:p>
        </w:tc>
      </w:tr>
      <w:tr>
        <w:trPr>
          <w:trHeight w:val="242"/>
        </w:trPr>
        <w:tc>
          <w:tcPr>
            <w:tcW w:w="1600" w:type="dxa"/>
            <w:vAlign w:val="bottom"/>
            <w:tcBorders>
              <w:top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7420" w:type="dxa"/>
            <w:vAlign w:val="bottom"/>
          </w:tcPr>
          <w:p>
            <w:pPr>
              <w:ind w:left="680"/>
              <w:spacing w:after="0" w:line="242" w:lineRule="exact"/>
              <w:rPr>
                <w:sz w:val="20"/>
                <w:szCs w:val="20"/>
                <w:color w:val="auto"/>
              </w:rPr>
            </w:pPr>
            <w:r>
              <w:rPr>
                <w:rFonts w:ascii="Arial" w:cs="Arial" w:eastAsia="Arial" w:hAnsi="Arial"/>
                <w:sz w:val="22"/>
                <w:szCs w:val="22"/>
                <w:color w:val="auto"/>
                <w:w w:val="97"/>
              </w:rPr>
              <w:t>Participant vests in accordance with the foregoing Vesting Schedule or</w:t>
            </w:r>
          </w:p>
        </w:tc>
      </w:tr>
      <w:tr>
        <w:trPr>
          <w:trHeight w:val="243"/>
        </w:trPr>
        <w:tc>
          <w:tcPr>
            <w:tcW w:w="1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20" w:type="dxa"/>
            <w:vAlign w:val="bottom"/>
          </w:tcPr>
          <w:p>
            <w:pPr>
              <w:ind w:left="680"/>
              <w:spacing w:after="0" w:line="243" w:lineRule="exact"/>
              <w:rPr>
                <w:sz w:val="20"/>
                <w:szCs w:val="20"/>
                <w:color w:val="auto"/>
              </w:rPr>
            </w:pPr>
            <w:r>
              <w:rPr>
                <w:rFonts w:ascii="Arial" w:cs="Arial" w:eastAsia="Arial" w:hAnsi="Arial"/>
                <w:sz w:val="22"/>
                <w:szCs w:val="22"/>
                <w:color w:val="auto"/>
                <w:w w:val="94"/>
              </w:rPr>
              <w:t>pursuant to the vesting acceleration provisions of Paragraph 3 or 5 of this</w:t>
            </w:r>
          </w:p>
        </w:tc>
      </w:tr>
      <w:tr>
        <w:trPr>
          <w:trHeight w:val="243"/>
        </w:trPr>
        <w:tc>
          <w:tcPr>
            <w:tcW w:w="1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20" w:type="dxa"/>
            <w:vAlign w:val="bottom"/>
          </w:tcPr>
          <w:p>
            <w:pPr>
              <w:ind w:left="680"/>
              <w:spacing w:after="0" w:line="243" w:lineRule="exact"/>
              <w:rPr>
                <w:sz w:val="20"/>
                <w:szCs w:val="20"/>
                <w:color w:val="auto"/>
              </w:rPr>
            </w:pPr>
            <w:r>
              <w:rPr>
                <w:rFonts w:ascii="Arial" w:cs="Arial" w:eastAsia="Arial" w:hAnsi="Arial"/>
                <w:sz w:val="22"/>
                <w:szCs w:val="22"/>
                <w:color w:val="auto"/>
                <w:w w:val="86"/>
              </w:rPr>
              <w:t>Agreement shall be settled in Shares on the date that the RSU vests or as soon</w:t>
            </w:r>
          </w:p>
        </w:tc>
      </w:tr>
      <w:tr>
        <w:trPr>
          <w:trHeight w:val="243"/>
        </w:trPr>
        <w:tc>
          <w:tcPr>
            <w:tcW w:w="1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20" w:type="dxa"/>
            <w:vAlign w:val="bottom"/>
          </w:tcPr>
          <w:p>
            <w:pPr>
              <w:ind w:left="680"/>
              <w:spacing w:after="0" w:line="243" w:lineRule="exact"/>
              <w:rPr>
                <w:sz w:val="20"/>
                <w:szCs w:val="20"/>
                <w:color w:val="auto"/>
              </w:rPr>
            </w:pPr>
            <w:r>
              <w:rPr>
                <w:rFonts w:ascii="Arial" w:cs="Arial" w:eastAsia="Arial" w:hAnsi="Arial"/>
                <w:sz w:val="22"/>
                <w:szCs w:val="22"/>
                <w:color w:val="auto"/>
                <w:w w:val="91"/>
              </w:rPr>
              <w:t xml:space="preserve">thereafter as administratively practicable, but in no event later than the </w:t>
            </w:r>
            <w:r>
              <w:rPr>
                <w:rFonts w:ascii="Arial" w:cs="Arial" w:eastAsia="Arial" w:hAnsi="Arial"/>
                <w:sz w:val="22"/>
                <w:szCs w:val="22"/>
                <w:b w:val="1"/>
                <w:bCs w:val="1"/>
                <w:i w:val="1"/>
                <w:iCs w:val="1"/>
                <w:color w:val="auto"/>
                <w:w w:val="91"/>
              </w:rPr>
              <w:t>later</w:t>
            </w:r>
          </w:p>
        </w:tc>
      </w:tr>
      <w:tr>
        <w:trPr>
          <w:trHeight w:val="243"/>
        </w:trPr>
        <w:tc>
          <w:tcPr>
            <w:tcW w:w="1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20" w:type="dxa"/>
            <w:vAlign w:val="bottom"/>
          </w:tcPr>
          <w:p>
            <w:pPr>
              <w:ind w:left="680"/>
              <w:spacing w:after="0" w:line="243" w:lineRule="exact"/>
              <w:rPr>
                <w:sz w:val="20"/>
                <w:szCs w:val="20"/>
                <w:color w:val="auto"/>
              </w:rPr>
            </w:pPr>
            <w:r>
              <w:rPr>
                <w:rFonts w:ascii="Arial" w:cs="Arial" w:eastAsia="Arial" w:hAnsi="Arial"/>
                <w:sz w:val="22"/>
                <w:szCs w:val="22"/>
                <w:color w:val="auto"/>
              </w:rPr>
              <w:t>of (i) the close of the calendar year in which that RSU vests or (ii) the</w:t>
            </w:r>
          </w:p>
        </w:tc>
      </w:tr>
      <w:tr>
        <w:trPr>
          <w:trHeight w:val="243"/>
        </w:trPr>
        <w:tc>
          <w:tcPr>
            <w:tcW w:w="1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20" w:type="dxa"/>
            <w:vAlign w:val="bottom"/>
          </w:tcPr>
          <w:p>
            <w:pPr>
              <w:ind w:left="680"/>
              <w:spacing w:after="0" w:line="243" w:lineRule="exact"/>
              <w:rPr>
                <w:sz w:val="20"/>
                <w:szCs w:val="20"/>
                <w:color w:val="auto"/>
              </w:rPr>
            </w:pPr>
            <w:r>
              <w:rPr>
                <w:rFonts w:ascii="Arial" w:cs="Arial" w:eastAsia="Arial" w:hAnsi="Arial"/>
                <w:sz w:val="22"/>
                <w:szCs w:val="22"/>
                <w:color w:val="auto"/>
                <w:w w:val="95"/>
              </w:rPr>
              <w:t>fifteenth day of the third calendar month following such vesting date (the</w:t>
            </w:r>
          </w:p>
        </w:tc>
      </w:tr>
      <w:tr>
        <w:trPr>
          <w:trHeight w:val="274"/>
        </w:trPr>
        <w:tc>
          <w:tcPr>
            <w:tcW w:w="16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20" w:type="dxa"/>
            <w:vAlign w:val="bottom"/>
          </w:tcPr>
          <w:p>
            <w:pPr>
              <w:ind w:left="680"/>
              <w:spacing w:after="0"/>
              <w:rPr>
                <w:sz w:val="20"/>
                <w:szCs w:val="20"/>
                <w:color w:val="auto"/>
              </w:rPr>
            </w:pPr>
            <w:r>
              <w:rPr>
                <w:rFonts w:ascii="Arial" w:cs="Arial" w:eastAsia="Arial" w:hAnsi="Arial"/>
                <w:sz w:val="22"/>
                <w:szCs w:val="22"/>
                <w:color w:val="auto"/>
              </w:rPr>
              <w:t>“Issuance Date”).</w:t>
            </w:r>
          </w:p>
        </w:tc>
      </w:tr>
    </w:tbl>
    <w:p>
      <w:pPr>
        <w:spacing w:after="0" w:line="260" w:lineRule="exact"/>
        <w:rPr>
          <w:sz w:val="20"/>
          <w:szCs w:val="20"/>
          <w:color w:val="auto"/>
        </w:rPr>
      </w:pPr>
    </w:p>
    <w:p>
      <w:pPr>
        <w:jc w:val="both"/>
        <w:ind w:firstLine="1304"/>
        <w:spacing w:after="0" w:line="274" w:lineRule="auto"/>
        <w:tabs>
          <w:tab w:leader="none" w:pos="1944" w:val="left"/>
        </w:tabs>
        <w:numPr>
          <w:ilvl w:val="0"/>
          <w:numId w:val="228"/>
        </w:numPr>
        <w:rPr>
          <w:rFonts w:ascii="Arial" w:cs="Arial" w:eastAsia="Arial" w:hAnsi="Arial"/>
          <w:sz w:val="19"/>
          <w:szCs w:val="19"/>
          <w:color w:val="auto"/>
        </w:rPr>
      </w:pPr>
      <w:r>
        <w:rPr>
          <w:rFonts w:ascii="Arial" w:cs="Arial" w:eastAsia="Arial" w:hAnsi="Arial"/>
          <w:sz w:val="19"/>
          <w:szCs w:val="19"/>
          <w:b w:val="1"/>
          <w:bCs w:val="1"/>
          <w:u w:val="single" w:color="auto"/>
          <w:color w:val="auto"/>
        </w:rPr>
        <w:t>Limited Transferability</w:t>
      </w:r>
      <w:r>
        <w:rPr>
          <w:rFonts w:ascii="Arial" w:cs="Arial" w:eastAsia="Arial" w:hAnsi="Arial"/>
          <w:sz w:val="19"/>
          <w:szCs w:val="19"/>
          <w:color w:val="auto"/>
        </w:rPr>
        <w:t>. Prior to the actual issuance of the Shares hereunder,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may not transfer any interest in the RSUs or the underlying Shares or pledge or otherwise hedge the sale of those RSUs or Shares, including (without limitation) any short sale or any acquisition or disposition of any put or call option or other instrument tied to the value of those RSUs or Shares. However, any Shares underlying RSUs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issue the stock certificates for any Shares which in fact become issuable hereunder to one or more designated Family Members or a trust established for Participant and/or his or her Family Members. Participant may make such a beneficiary designation or certificate directive at any time by filing the appropriate form with the Plan Administrator or its designee.</w:t>
      </w:r>
    </w:p>
    <w:p>
      <w:pPr>
        <w:spacing w:after="0" w:line="151" w:lineRule="exact"/>
        <w:rPr>
          <w:rFonts w:ascii="Arial" w:cs="Arial" w:eastAsia="Arial" w:hAnsi="Arial"/>
          <w:sz w:val="19"/>
          <w:szCs w:val="19"/>
          <w:color w:val="auto"/>
        </w:rPr>
      </w:pPr>
    </w:p>
    <w:p>
      <w:pPr>
        <w:jc w:val="both"/>
        <w:ind w:firstLine="1304"/>
        <w:spacing w:after="0" w:line="275" w:lineRule="auto"/>
        <w:tabs>
          <w:tab w:leader="none" w:pos="1944" w:val="left"/>
        </w:tabs>
        <w:numPr>
          <w:ilvl w:val="0"/>
          <w:numId w:val="228"/>
        </w:numPr>
        <w:rPr>
          <w:rFonts w:ascii="Arial" w:cs="Arial" w:eastAsia="Arial" w:hAnsi="Arial"/>
          <w:sz w:val="19"/>
          <w:szCs w:val="19"/>
          <w:color w:val="auto"/>
        </w:rPr>
      </w:pPr>
      <w:r>
        <w:rPr>
          <w:rFonts w:ascii="Arial" w:cs="Arial" w:eastAsia="Arial" w:hAnsi="Arial"/>
          <w:sz w:val="19"/>
          <w:szCs w:val="19"/>
          <w:b w:val="1"/>
          <w:bCs w:val="1"/>
          <w:u w:val="single" w:color="auto"/>
          <w:color w:val="auto"/>
        </w:rPr>
        <w:t>Cessation of Service</w:t>
      </w:r>
      <w:r>
        <w:rPr>
          <w:rFonts w:ascii="Arial" w:cs="Arial" w:eastAsia="Arial" w:hAnsi="Arial"/>
          <w:sz w:val="19"/>
          <w:szCs w:val="19"/>
          <w:color w:val="auto"/>
        </w:rPr>
        <w:t>. The RSUs shall, to the extent not previously vested, immediately</w:t>
      </w:r>
      <w:r>
        <w:rPr>
          <w:rFonts w:ascii="Arial" w:cs="Arial" w:eastAsia="Arial" w:hAnsi="Arial"/>
          <w:sz w:val="19"/>
          <w:szCs w:val="19"/>
          <w:b w:val="1"/>
          <w:bCs w:val="1"/>
          <w:color w:val="auto"/>
        </w:rPr>
        <w:t xml:space="preserve"> </w:t>
      </w:r>
      <w:r>
        <w:rPr>
          <w:rFonts w:ascii="Arial" w:cs="Arial" w:eastAsia="Arial" w:hAnsi="Arial"/>
          <w:sz w:val="19"/>
          <w:szCs w:val="19"/>
          <w:color w:val="auto"/>
        </w:rPr>
        <w:t>vest in full upon Participant’s cessation of Board service by reason of death, Permanent Disability or Retirement. Upon the resignation from Board service for any other reason by Participant, except in connection with the removal or threatened removal of Participant from the Board in accordance with the Corporation’s Bylaws or the Hawaii Business Corporation Act, the RSUs shall vest on a prorated basis measured by the number of complete months of service as a member of the Board following the Award Date divided by 12 upon Board approval. Should Participant cease Board service for any other reason prior to vesting in one or more RSUs, then any unvested RSUs will be immediately cancelled. Participant shall thereupon cease to have any right or entitlement to receive any Shares under those cancelled RSUs.</w:t>
      </w:r>
    </w:p>
    <w:p>
      <w:pPr>
        <w:spacing w:after="0" w:line="149" w:lineRule="exact"/>
        <w:rPr>
          <w:rFonts w:ascii="Arial" w:cs="Arial" w:eastAsia="Arial" w:hAnsi="Arial"/>
          <w:sz w:val="19"/>
          <w:szCs w:val="19"/>
          <w:color w:val="auto"/>
        </w:rPr>
      </w:pPr>
    </w:p>
    <w:p>
      <w:pPr>
        <w:ind w:left="1960" w:hanging="656"/>
        <w:spacing w:after="0"/>
        <w:tabs>
          <w:tab w:leader="none" w:pos="1960" w:val="left"/>
        </w:tabs>
        <w:numPr>
          <w:ilvl w:val="0"/>
          <w:numId w:val="228"/>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Stockholder Rights and Dividend Equivalents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tabs>
          <w:tab w:leader="none" w:pos="2592" w:val="left"/>
        </w:tabs>
        <w:numPr>
          <w:ilvl w:val="1"/>
          <w:numId w:val="228"/>
        </w:numPr>
        <w:rPr>
          <w:rFonts w:ascii="Arial" w:cs="Arial" w:eastAsia="Arial" w:hAnsi="Arial"/>
          <w:sz w:val="22"/>
          <w:szCs w:val="22"/>
          <w:color w:val="010000"/>
        </w:rPr>
      </w:pPr>
      <w:r>
        <w:rPr>
          <w:rFonts w:ascii="Arial" w:cs="Arial" w:eastAsia="Arial" w:hAnsi="Arial"/>
          <w:sz w:val="22"/>
          <w:szCs w:val="22"/>
          <w:color w:val="auto"/>
        </w:rPr>
        <w:t>Participant shall not have any stockholder rights, including voting, dividend or liquidation rights, with respect to the Shares subject to the Award until Participant becomes the record holder of those Shares following their actual issuance.</w:t>
      </w:r>
    </w:p>
    <w:p>
      <w:pPr>
        <w:spacing w:after="0" w:line="186" w:lineRule="exact"/>
        <w:rPr>
          <w:rFonts w:ascii="Arial" w:cs="Arial" w:eastAsia="Arial" w:hAnsi="Arial"/>
          <w:sz w:val="22"/>
          <w:szCs w:val="22"/>
          <w:color w:val="010000"/>
        </w:rPr>
      </w:pPr>
    </w:p>
    <w:p>
      <w:pPr>
        <w:jc w:val="both"/>
        <w:ind w:firstLine="1952"/>
        <w:spacing w:after="0" w:line="235" w:lineRule="auto"/>
        <w:tabs>
          <w:tab w:leader="none" w:pos="2592" w:val="left"/>
        </w:tabs>
        <w:numPr>
          <w:ilvl w:val="1"/>
          <w:numId w:val="228"/>
        </w:numPr>
        <w:rPr>
          <w:rFonts w:ascii="Arial" w:cs="Arial" w:eastAsia="Arial" w:hAnsi="Arial"/>
          <w:sz w:val="22"/>
          <w:szCs w:val="22"/>
          <w:color w:val="010000"/>
        </w:rPr>
      </w:pPr>
      <w:r>
        <w:rPr>
          <w:rFonts w:ascii="Arial" w:cs="Arial" w:eastAsia="Arial" w:hAnsi="Arial"/>
          <w:sz w:val="22"/>
          <w:szCs w:val="22"/>
          <w:color w:val="auto"/>
        </w:rPr>
        <w:t>Notwithstanding the foregoing, should any dividend or other distribution payable other than in shares of Common Stock be declared and paid on the outstanding Common Stock while one or more Shares remain subject to this Award (i.e., those Shares are not otherwise issued and outstanding for purposes of entitlement to the dividend or distribution), then a special book account shall be established for Participant and credited with a phantom dividend equivalent to the actual dividend or distribution which would have been paid on those Shares had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98" w:name="page199"/>
    <w:bookmarkEnd w:id="198"/>
    <w:p>
      <w:pPr>
        <w:jc w:val="both"/>
        <w:spacing w:after="0" w:line="282" w:lineRule="auto"/>
        <w:rPr>
          <w:sz w:val="20"/>
          <w:szCs w:val="20"/>
          <w:color w:val="auto"/>
        </w:rPr>
      </w:pPr>
      <w:r>
        <w:rPr>
          <w:rFonts w:ascii="Arial" w:cs="Arial" w:eastAsia="Arial" w:hAnsi="Arial"/>
          <w:sz w:val="19"/>
          <w:szCs w:val="19"/>
          <w:color w:val="auto"/>
        </w:rPr>
        <w:t>they been issued and outstanding and entitled to that dividend or distribution. As the RSUs vest hereunder, the phantom dividend equivalents that are credited to the Shares underlying such RSUs in the book account shall concurrently vest, and those vested dividend equivalents shall subsequently be distributed to Participant (in cash or such other form as the Plan Administrator may deem appropriate in its sole discretion) at the same time the Shares to which those phantom dividend equivalents relate are issued.</w:t>
      </w:r>
    </w:p>
    <w:p>
      <w:pPr>
        <w:spacing w:after="0" w:line="141" w:lineRule="exact"/>
        <w:rPr>
          <w:sz w:val="20"/>
          <w:szCs w:val="20"/>
          <w:color w:val="auto"/>
        </w:rPr>
      </w:pPr>
    </w:p>
    <w:p>
      <w:pPr>
        <w:jc w:val="both"/>
        <w:ind w:firstLine="1304"/>
        <w:spacing w:after="0" w:line="274" w:lineRule="auto"/>
        <w:tabs>
          <w:tab w:leader="none" w:pos="1944" w:val="left"/>
        </w:tabs>
        <w:numPr>
          <w:ilvl w:val="0"/>
          <w:numId w:val="229"/>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color w:val="auto"/>
        </w:rPr>
        <w:t>. The RSUs shall immediately vest in full upon Participant’s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continuation in Board service until the effective date of any Change in Control transaction. The vested RSUs will be settled in Shares immediately upon such effective date or as soon as administratively practicable thereafter, but in no event more than fifteen (15) business days after such effective date. Alternatively, the Participant’s right to the Shares may, pursuant to the terms of the Change in Control transaction, be converted into the right to receive the same consideration per share of Common Stock payable to the other shareholders of the Corporation in consummation of the Change in Control and distributed at the same time as such shareholder payments, but such distribution to Participant shall in all events be completed no later than the </w:t>
      </w:r>
      <w:r>
        <w:rPr>
          <w:rFonts w:ascii="Arial" w:cs="Arial" w:eastAsia="Arial" w:hAnsi="Arial"/>
          <w:sz w:val="19"/>
          <w:szCs w:val="19"/>
          <w:b w:val="1"/>
          <w:bCs w:val="1"/>
          <w:i w:val="1"/>
          <w:iCs w:val="1"/>
          <w:color w:val="auto"/>
        </w:rPr>
        <w:t>later</w:t>
      </w:r>
      <w:r>
        <w:rPr>
          <w:rFonts w:ascii="Arial" w:cs="Arial" w:eastAsia="Arial" w:hAnsi="Arial"/>
          <w:sz w:val="19"/>
          <w:szCs w:val="19"/>
          <w:color w:val="auto"/>
        </w:rPr>
        <w:t xml:space="preserve"> of (a) the close of the calendar year in which such Change in Control is effected or (b) the fifteenth (15th) of the third (3rd) calendar month following the effective date of that Change in Control.</w:t>
      </w:r>
    </w:p>
    <w:p>
      <w:pPr>
        <w:spacing w:after="0" w:line="151" w:lineRule="exact"/>
        <w:rPr>
          <w:rFonts w:ascii="Arial" w:cs="Arial" w:eastAsia="Arial" w:hAnsi="Arial"/>
          <w:sz w:val="19"/>
          <w:szCs w:val="19"/>
          <w:color w:val="auto"/>
        </w:rPr>
      </w:pPr>
    </w:p>
    <w:p>
      <w:pPr>
        <w:jc w:val="both"/>
        <w:ind w:firstLine="1304"/>
        <w:spacing w:after="0" w:line="245" w:lineRule="auto"/>
        <w:tabs>
          <w:tab w:leader="none" w:pos="1944" w:val="left"/>
        </w:tabs>
        <w:numPr>
          <w:ilvl w:val="0"/>
          <w:numId w:val="229"/>
        </w:numPr>
        <w:rPr>
          <w:rFonts w:ascii="Arial" w:cs="Arial" w:eastAsia="Arial" w:hAnsi="Arial"/>
          <w:sz w:val="21"/>
          <w:szCs w:val="21"/>
          <w:color w:val="auto"/>
        </w:rPr>
      </w:pPr>
      <w:r>
        <w:rPr>
          <w:rFonts w:ascii="Arial" w:cs="Arial" w:eastAsia="Arial" w:hAnsi="Arial"/>
          <w:sz w:val="21"/>
          <w:szCs w:val="21"/>
          <w:b w:val="1"/>
          <w:bCs w:val="1"/>
          <w:u w:val="single" w:color="auto"/>
          <w:color w:val="auto"/>
        </w:rPr>
        <w:t>Adjustment in Shares</w:t>
      </w:r>
      <w:r>
        <w:rPr>
          <w:rFonts w:ascii="Arial" w:cs="Arial" w:eastAsia="Arial" w:hAnsi="Arial"/>
          <w:sz w:val="21"/>
          <w:szCs w:val="21"/>
          <w:color w:val="auto"/>
        </w:rPr>
        <w:t>. Should any change be made to the Common Stock by reason of</w:t>
      </w:r>
      <w:r>
        <w:rPr>
          <w:rFonts w:ascii="Arial" w:cs="Arial" w:eastAsia="Arial" w:hAnsi="Arial"/>
          <w:sz w:val="21"/>
          <w:szCs w:val="21"/>
          <w:b w:val="1"/>
          <w:bCs w:val="1"/>
          <w:color w:val="auto"/>
        </w:rPr>
        <w:t xml:space="preserve"> </w:t>
      </w:r>
      <w:r>
        <w:rPr>
          <w:rFonts w:ascii="Arial" w:cs="Arial" w:eastAsia="Arial" w:hAnsi="Arial"/>
          <w:sz w:val="21"/>
          <w:szCs w:val="21"/>
          <w:color w:val="auto"/>
        </w:rPr>
        <w:t>any stock split, stock dividend, recapitalization, combination of shares, exchange of shares, spin-off transaction or other change affecting the outstanding Common Stock as a class without the Corporation’s receipt of consideration, or should the value of the outstanding shares of Common Stock be substantially reduced as a result of a spin-off transaction or an extraordinary dividend or distribution, or should there occur any merger, consolidation or other reorganization, then equitable adjustments shall be made by the Plan Administrator to the total number and/or class of securities issuable pursuant to this Award in order to reflect such change and thereby prevent a dilution or enlargement of benefits hereunder. In making such equitable adjustments, the Plan Administrator shall take into account any amounts to be credited to Participant’s book account under Paragraph 4(b) in connection with the transaction, and the determination of the Plan Administrator shall be final, binding and conclusive.</w:t>
      </w:r>
    </w:p>
    <w:p>
      <w:pPr>
        <w:spacing w:after="0" w:line="177" w:lineRule="exact"/>
        <w:rPr>
          <w:rFonts w:ascii="Arial" w:cs="Arial" w:eastAsia="Arial" w:hAnsi="Arial"/>
          <w:sz w:val="21"/>
          <w:szCs w:val="21"/>
          <w:color w:val="auto"/>
        </w:rPr>
      </w:pPr>
    </w:p>
    <w:p>
      <w:pPr>
        <w:ind w:left="1960" w:hanging="656"/>
        <w:spacing w:after="0"/>
        <w:tabs>
          <w:tab w:leader="none" w:pos="1960" w:val="left"/>
        </w:tabs>
        <w:numPr>
          <w:ilvl w:val="0"/>
          <w:numId w:val="229"/>
        </w:numPr>
        <w:rPr>
          <w:rFonts w:ascii="Arial" w:cs="Arial" w:eastAsia="Arial" w:hAnsi="Arial"/>
          <w:sz w:val="22"/>
          <w:szCs w:val="22"/>
          <w:color w:val="auto"/>
        </w:rPr>
      </w:pPr>
      <w:r>
        <w:rPr>
          <w:rFonts w:ascii="Arial" w:cs="Arial" w:eastAsia="Arial" w:hAnsi="Arial"/>
          <w:sz w:val="22"/>
          <w:szCs w:val="22"/>
          <w:b w:val="1"/>
          <w:bCs w:val="1"/>
          <w:u w:val="single" w:color="auto"/>
          <w:color w:val="auto"/>
        </w:rPr>
        <w:t>Issuance of Shares of Common Stock</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line="273" w:lineRule="auto"/>
        <w:tabs>
          <w:tab w:leader="none" w:pos="2592" w:val="left"/>
        </w:tabs>
        <w:numPr>
          <w:ilvl w:val="1"/>
          <w:numId w:val="229"/>
        </w:numPr>
        <w:rPr>
          <w:rFonts w:ascii="Arial" w:cs="Arial" w:eastAsia="Arial" w:hAnsi="Arial"/>
          <w:sz w:val="19"/>
          <w:szCs w:val="19"/>
          <w:color w:val="010000"/>
        </w:rPr>
      </w:pPr>
      <w:r>
        <w:rPr>
          <w:rFonts w:ascii="Arial" w:cs="Arial" w:eastAsia="Arial" w:hAnsi="Arial"/>
          <w:sz w:val="19"/>
          <w:szCs w:val="19"/>
          <w:color w:val="auto"/>
        </w:rPr>
        <w:t xml:space="preserve">Except as otherwise provided in Paragraph 5, on each applicable Issuance Date for the Shares underlying the RSUs which vest in accordance with the terms of this Agreement, the Corporation shall issue to or on behalf of Participant a certificate (which may be in electronic form) for the vested shares of Common Stock to be issued on such date and shall concurrently distribute to Participant any phantom dividend equivalents with respect to those vested Shares. Notwithstanding the foregoing, should Participant attain Retirement age prior to completion of the normal Vesting Schedule set forth in Paragraph 1, then any Shares in which Participant may, pursuant to Section 409A of the Code (“Section 409A”), be deemed to vest at that time shall be issued upon the </w:t>
      </w:r>
      <w:r>
        <w:rPr>
          <w:rFonts w:ascii="Arial" w:cs="Arial" w:eastAsia="Arial" w:hAnsi="Arial"/>
          <w:sz w:val="19"/>
          <w:szCs w:val="19"/>
          <w:b w:val="1"/>
          <w:bCs w:val="1"/>
          <w:i w:val="1"/>
          <w:iCs w:val="1"/>
          <w:color w:val="auto"/>
        </w:rPr>
        <w:t>earliest</w:t>
      </w:r>
      <w:r>
        <w:rPr>
          <w:rFonts w:ascii="Arial" w:cs="Arial" w:eastAsia="Arial" w:hAnsi="Arial"/>
          <w:sz w:val="19"/>
          <w:szCs w:val="19"/>
          <w:color w:val="auto"/>
        </w:rPr>
        <w:t xml:space="preserve"> to occur of (i) the Issuance Date which would otherwise apply to those Shares under this Agreement had Participant not reached Retirement age, (ii) the date of Participant’s cessation of Board service or (iii) the effective date of a Change in Control (with the issuance in such latter event to be governed by the terms of Paragraph 5 above).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99" w:name="page200"/>
    <w:bookmarkEnd w:id="199"/>
    <w:p>
      <w:pPr>
        <w:jc w:val="both"/>
        <w:ind w:firstLine="1952"/>
        <w:spacing w:after="0" w:line="236" w:lineRule="auto"/>
        <w:tabs>
          <w:tab w:leader="none" w:pos="2592" w:val="left"/>
        </w:tabs>
        <w:numPr>
          <w:ilvl w:val="1"/>
          <w:numId w:val="230"/>
        </w:numPr>
        <w:rPr>
          <w:rFonts w:ascii="Arial" w:cs="Arial" w:eastAsia="Arial" w:hAnsi="Arial"/>
          <w:sz w:val="22"/>
          <w:szCs w:val="22"/>
          <w:color w:val="010000"/>
        </w:rPr>
      </w:pPr>
      <w:r>
        <w:rPr>
          <w:rFonts w:ascii="Arial" w:cs="Arial" w:eastAsia="Arial" w:hAnsi="Arial"/>
          <w:sz w:val="22"/>
          <w:szCs w:val="22"/>
          <w:color w:val="auto"/>
        </w:rPr>
        <w:t>Except as otherwise provided in Paragraph 5, the settlement of all RSUs which vest under this Award shall be made solely in shares of Common Stock. In no event, however, shall any fractional shares be issued. Accordingly, the total number of shares of Common Stock to be issued at the time the Award vests shall, to the extent necessary, be rounded up to the next whole share in order to avoid the issuance of a fractional share.</w:t>
      </w:r>
    </w:p>
    <w:p>
      <w:pPr>
        <w:spacing w:after="0" w:line="181" w:lineRule="exact"/>
        <w:rPr>
          <w:rFonts w:ascii="Arial" w:cs="Arial" w:eastAsia="Arial" w:hAnsi="Arial"/>
          <w:sz w:val="22"/>
          <w:szCs w:val="22"/>
          <w:color w:val="010000"/>
        </w:rPr>
      </w:pPr>
    </w:p>
    <w:p>
      <w:pPr>
        <w:ind w:left="1960" w:hanging="656"/>
        <w:spacing w:after="0"/>
        <w:tabs>
          <w:tab w:leader="none" w:pos="1960" w:val="left"/>
        </w:tabs>
        <w:numPr>
          <w:ilvl w:val="0"/>
          <w:numId w:val="231"/>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Laws and Regulations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line="238" w:lineRule="auto"/>
        <w:tabs>
          <w:tab w:leader="none" w:pos="2592" w:val="left"/>
        </w:tabs>
        <w:numPr>
          <w:ilvl w:val="1"/>
          <w:numId w:val="231"/>
        </w:numPr>
        <w:rPr>
          <w:rFonts w:ascii="Arial" w:cs="Arial" w:eastAsia="Arial" w:hAnsi="Arial"/>
          <w:sz w:val="22"/>
          <w:szCs w:val="22"/>
          <w:color w:val="010000"/>
        </w:rPr>
      </w:pPr>
      <w:r>
        <w:rPr>
          <w:rFonts w:ascii="Arial" w:cs="Arial" w:eastAsia="Arial" w:hAnsi="Arial"/>
          <w:sz w:val="22"/>
          <w:szCs w:val="22"/>
          <w:color w:val="auto"/>
        </w:rPr>
        <w:t>The issuance of shares of Common Stock 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76" w:lineRule="exact"/>
        <w:rPr>
          <w:rFonts w:ascii="Arial" w:cs="Arial" w:eastAsia="Arial" w:hAnsi="Arial"/>
          <w:sz w:val="22"/>
          <w:szCs w:val="22"/>
          <w:color w:val="010000"/>
        </w:rPr>
      </w:pPr>
    </w:p>
    <w:p>
      <w:pPr>
        <w:jc w:val="both"/>
        <w:ind w:firstLine="1952"/>
        <w:spacing w:after="0" w:line="236" w:lineRule="auto"/>
        <w:tabs>
          <w:tab w:leader="none" w:pos="2592" w:val="left"/>
        </w:tabs>
        <w:numPr>
          <w:ilvl w:val="1"/>
          <w:numId w:val="231"/>
        </w:numPr>
        <w:rPr>
          <w:rFonts w:ascii="Arial" w:cs="Arial" w:eastAsia="Arial" w:hAnsi="Arial"/>
          <w:sz w:val="22"/>
          <w:szCs w:val="22"/>
          <w:color w:val="010000"/>
        </w:rPr>
      </w:pPr>
      <w:r>
        <w:rPr>
          <w:rFonts w:ascii="Arial" w:cs="Arial" w:eastAsia="Arial" w:hAnsi="Arial"/>
          <w:sz w:val="22"/>
          <w:szCs w:val="22"/>
          <w:color w:val="auto"/>
        </w:rPr>
        <w:t>The inability of the Corporation to obtain approval from any regulatory body having authority deemed by the Corporation to be necessary to the lawful issuance of any Common Stock hereby shall relieve the Corporation of any liability with respect to the non-issuance of the Common Stock as to which such approval shall not have been obtained. The Corporation, however, shall use its best efforts to obtain all such approvals.</w:t>
      </w:r>
    </w:p>
    <w:p>
      <w:pPr>
        <w:spacing w:after="0" w:line="73" w:lineRule="exact"/>
        <w:rPr>
          <w:rFonts w:ascii="Arial" w:cs="Arial" w:eastAsia="Arial" w:hAnsi="Arial"/>
          <w:sz w:val="22"/>
          <w:szCs w:val="22"/>
          <w:color w:val="010000"/>
        </w:rPr>
      </w:pPr>
    </w:p>
    <w:p>
      <w:pPr>
        <w:jc w:val="both"/>
        <w:ind w:firstLine="1304"/>
        <w:spacing w:after="0" w:line="289" w:lineRule="auto"/>
        <w:tabs>
          <w:tab w:leader="none" w:pos="1944" w:val="left"/>
        </w:tabs>
        <w:numPr>
          <w:ilvl w:val="0"/>
          <w:numId w:val="231"/>
        </w:numPr>
        <w:rPr>
          <w:rFonts w:ascii="Arial" w:cs="Arial" w:eastAsia="Arial" w:hAnsi="Arial"/>
          <w:sz w:val="19"/>
          <w:szCs w:val="19"/>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color w:val="auto"/>
        </w:rPr>
        <w:t>. Except to the extent otherwise provided in this Agreement,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35" w:lineRule="exact"/>
        <w:rPr>
          <w:rFonts w:ascii="Arial" w:cs="Arial" w:eastAsia="Arial" w:hAnsi="Arial"/>
          <w:sz w:val="19"/>
          <w:szCs w:val="19"/>
          <w:color w:val="auto"/>
        </w:rPr>
      </w:pPr>
    </w:p>
    <w:p>
      <w:pPr>
        <w:jc w:val="both"/>
        <w:ind w:firstLine="1304"/>
        <w:spacing w:after="0" w:line="283" w:lineRule="auto"/>
        <w:tabs>
          <w:tab w:leader="none" w:pos="1944" w:val="left"/>
        </w:tabs>
        <w:numPr>
          <w:ilvl w:val="0"/>
          <w:numId w:val="231"/>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required to be given or delivered to the Corporation under the terms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in writing and addressed to the Corporation at its principal corporate offices. Any notice required to be given or delivered to Participant shall be in writing and addressed to Participant at the address on file with the Corporation. All notices shall be deemed effective upon personal delivery or upon deposit in the U.S. mail, postage prepaid and properly addressed to the party to be notified.</w:t>
      </w:r>
    </w:p>
    <w:p>
      <w:pPr>
        <w:spacing w:after="0" w:line="142" w:lineRule="exact"/>
        <w:rPr>
          <w:rFonts w:ascii="Arial" w:cs="Arial" w:eastAsia="Arial" w:hAnsi="Arial"/>
          <w:sz w:val="19"/>
          <w:szCs w:val="19"/>
          <w:color w:val="auto"/>
        </w:rPr>
      </w:pPr>
    </w:p>
    <w:p>
      <w:pPr>
        <w:ind w:left="1960" w:hanging="656"/>
        <w:spacing w:after="0"/>
        <w:tabs>
          <w:tab w:leader="none" w:pos="1960" w:val="left"/>
        </w:tabs>
        <w:numPr>
          <w:ilvl w:val="0"/>
          <w:numId w:val="231"/>
        </w:numPr>
        <w:rPr>
          <w:rFonts w:ascii="Arial" w:cs="Arial" w:eastAsia="Arial" w:hAnsi="Arial"/>
          <w:sz w:val="22"/>
          <w:szCs w:val="22"/>
          <w:color w:val="auto"/>
        </w:rPr>
      </w:pPr>
      <w:r>
        <w:rPr>
          <w:rFonts w:ascii="Arial" w:cs="Arial" w:eastAsia="Arial" w:hAnsi="Arial"/>
          <w:sz w:val="22"/>
          <w:szCs w:val="22"/>
          <w:b w:val="1"/>
          <w:bCs w:val="1"/>
          <w:u w:val="single" w:color="auto"/>
          <w:color w:val="auto"/>
        </w:rPr>
        <w:t>Construction</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line="238" w:lineRule="auto"/>
        <w:tabs>
          <w:tab w:leader="none" w:pos="2592" w:val="left"/>
        </w:tabs>
        <w:numPr>
          <w:ilvl w:val="1"/>
          <w:numId w:val="231"/>
        </w:numPr>
        <w:rPr>
          <w:rFonts w:ascii="Arial" w:cs="Arial" w:eastAsia="Arial" w:hAnsi="Arial"/>
          <w:sz w:val="22"/>
          <w:szCs w:val="22"/>
          <w:color w:val="010000"/>
        </w:rPr>
      </w:pPr>
      <w:r>
        <w:rPr>
          <w:rFonts w:ascii="Arial" w:cs="Arial" w:eastAsia="Arial" w:hAnsi="Arial"/>
          <w:sz w:val="22"/>
          <w:szCs w:val="22"/>
          <w:color w:val="auto"/>
        </w:rPr>
        <w:t>This Agreement and the Award evidenced hereby are made and granted pursuant to the Plan and are in all respects limited by and subject to the terms of the Plan. All decisions of the Plan Administrator with respect to any question or issue arising under the Plan or this Agreement shall be conclusive and binding on all persons having an interest in the Award.</w:t>
      </w:r>
    </w:p>
    <w:p>
      <w:pPr>
        <w:spacing w:after="0" w:line="184" w:lineRule="exact"/>
        <w:rPr>
          <w:rFonts w:ascii="Arial" w:cs="Arial" w:eastAsia="Arial" w:hAnsi="Arial"/>
          <w:sz w:val="22"/>
          <w:szCs w:val="22"/>
          <w:color w:val="010000"/>
        </w:rPr>
      </w:pPr>
    </w:p>
    <w:p>
      <w:pPr>
        <w:jc w:val="both"/>
        <w:ind w:firstLine="1952"/>
        <w:spacing w:after="0" w:line="252" w:lineRule="auto"/>
        <w:tabs>
          <w:tab w:leader="none" w:pos="2592" w:val="left"/>
        </w:tabs>
        <w:numPr>
          <w:ilvl w:val="1"/>
          <w:numId w:val="231"/>
        </w:numPr>
        <w:rPr>
          <w:rFonts w:ascii="Arial" w:cs="Arial" w:eastAsia="Arial" w:hAnsi="Arial"/>
          <w:sz w:val="21"/>
          <w:szCs w:val="21"/>
          <w:color w:val="010000"/>
        </w:rPr>
      </w:pPr>
      <w:r>
        <w:rPr>
          <w:rFonts w:ascii="Arial" w:cs="Arial" w:eastAsia="Arial" w:hAnsi="Arial"/>
          <w:sz w:val="21"/>
          <w:szCs w:val="21"/>
          <w:color w:val="auto"/>
        </w:rPr>
        <w:t>To the extent there is any ambiguity as to whether any provision of this Agreement would otherwise contravene one or more applicable requirements or limitations of Section 409A and the Treasury Regulations thereunder, that provision shall be interpreted and applied in a manner that complies with the applicable requirements of Section 409A and the Treasury Regulations thereunder.</w:t>
      </w:r>
    </w:p>
    <w:p>
      <w:pPr>
        <w:spacing w:after="0" w:line="173" w:lineRule="exact"/>
        <w:rPr>
          <w:rFonts w:ascii="Arial" w:cs="Arial" w:eastAsia="Arial" w:hAnsi="Arial"/>
          <w:sz w:val="21"/>
          <w:szCs w:val="21"/>
          <w:color w:val="010000"/>
        </w:rPr>
      </w:pPr>
    </w:p>
    <w:p>
      <w:pPr>
        <w:ind w:firstLine="1952"/>
        <w:spacing w:after="0" w:line="250" w:lineRule="auto"/>
        <w:tabs>
          <w:tab w:leader="none" w:pos="2592" w:val="left"/>
        </w:tabs>
        <w:numPr>
          <w:ilvl w:val="1"/>
          <w:numId w:val="231"/>
        </w:numPr>
        <w:rPr>
          <w:rFonts w:ascii="Arial" w:cs="Arial" w:eastAsia="Arial" w:hAnsi="Arial"/>
          <w:sz w:val="22"/>
          <w:szCs w:val="22"/>
          <w:color w:val="010000"/>
        </w:rPr>
      </w:pPr>
      <w:r>
        <w:rPr>
          <w:rFonts w:ascii="Arial" w:cs="Arial" w:eastAsia="Arial" w:hAnsi="Arial"/>
          <w:sz w:val="22"/>
          <w:szCs w:val="22"/>
          <w:color w:val="auto"/>
        </w:rPr>
        <w:t>This Agreement shall not in any way affect the right of the Corporation to adjust, reclassify, reorganize or otherwise make changes in its capital or business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00" w:name="page201"/>
    <w:bookmarkEnd w:id="200"/>
    <w:p>
      <w:pPr>
        <w:jc w:val="both"/>
        <w:spacing w:after="0" w:line="238" w:lineRule="auto"/>
        <w:rPr>
          <w:sz w:val="20"/>
          <w:szCs w:val="20"/>
          <w:color w:val="auto"/>
        </w:rPr>
      </w:pPr>
      <w:r>
        <w:rPr>
          <w:rFonts w:ascii="Arial" w:cs="Arial" w:eastAsia="Arial" w:hAnsi="Arial"/>
          <w:sz w:val="22"/>
          <w:szCs w:val="22"/>
          <w:color w:val="auto"/>
        </w:rPr>
        <w:t>structure or to merge, consolidate, dissolve, liquidate or sell or transfer all or any part of its business or assets. In addition, this Agreement shall not in any way be construed or interpreted so as to affect adversely or otherwise impair the right of the Corporation or its shareholders to remove Participant from the Board at any time in accordance with the provisions of applicable law.</w:t>
      </w:r>
    </w:p>
    <w:p>
      <w:pPr>
        <w:spacing w:after="0" w:line="179" w:lineRule="exact"/>
        <w:rPr>
          <w:sz w:val="20"/>
          <w:szCs w:val="20"/>
          <w:color w:val="auto"/>
        </w:rPr>
      </w:pPr>
    </w:p>
    <w:p>
      <w:pPr>
        <w:ind w:firstLine="1304"/>
        <w:spacing w:after="0" w:line="280" w:lineRule="auto"/>
        <w:tabs>
          <w:tab w:leader="none" w:pos="1944" w:val="left"/>
        </w:tabs>
        <w:numPr>
          <w:ilvl w:val="0"/>
          <w:numId w:val="232"/>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The interpretation, performance and enforcement of this Agreement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 governed by the laws of the State of Hawaii without resort to that State’s conflict-of-laws rules.</w:t>
      </w:r>
    </w:p>
    <w:p>
      <w:pPr>
        <w:spacing w:after="0" w:line="138" w:lineRule="exact"/>
        <w:rPr>
          <w:rFonts w:ascii="Arial" w:cs="Arial" w:eastAsia="Arial" w:hAnsi="Arial"/>
          <w:sz w:val="21"/>
          <w:szCs w:val="21"/>
          <w:color w:val="auto"/>
        </w:rPr>
      </w:pPr>
    </w:p>
    <w:p>
      <w:pPr>
        <w:jc w:val="both"/>
        <w:ind w:firstLine="1304"/>
        <w:spacing w:after="0" w:line="289" w:lineRule="auto"/>
        <w:tabs>
          <w:tab w:leader="none" w:pos="1944" w:val="left"/>
        </w:tabs>
        <w:numPr>
          <w:ilvl w:val="0"/>
          <w:numId w:val="232"/>
        </w:numPr>
        <w:rPr>
          <w:rFonts w:ascii="Arial" w:cs="Arial" w:eastAsia="Arial" w:hAnsi="Arial"/>
          <w:sz w:val="19"/>
          <w:szCs w:val="19"/>
          <w:color w:val="auto"/>
        </w:rPr>
      </w:pPr>
      <w:r>
        <w:rPr>
          <w:rFonts w:ascii="Arial" w:cs="Arial" w:eastAsia="Arial" w:hAnsi="Arial"/>
          <w:sz w:val="19"/>
          <w:szCs w:val="19"/>
          <w:b w:val="1"/>
          <w:bCs w:val="1"/>
          <w:u w:val="single" w:color="auto"/>
          <w:color w:val="auto"/>
        </w:rPr>
        <w:t>Section 409A</w:t>
      </w:r>
      <w:r>
        <w:rPr>
          <w:rFonts w:ascii="Arial" w:cs="Arial" w:eastAsia="Arial" w:hAnsi="Arial"/>
          <w:sz w:val="19"/>
          <w:szCs w:val="19"/>
          <w:color w:val="auto"/>
        </w:rPr>
        <w:t>. Notwithstanding any provision to the contrary in this Agreement,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extent this Award may be deemed to create a deferred compensation arrangement under Section 409A, then Participant’s right to receive each installment of Shares or other installment distribution pursuant to the terms of this Agreement shall, for purposes of Section 409A, be treated as a right to receive a series of separate payments.</w:t>
      </w:r>
    </w:p>
    <w:p>
      <w:pPr>
        <w:spacing w:after="0" w:line="163" w:lineRule="exact"/>
        <w:rPr>
          <w:sz w:val="20"/>
          <w:szCs w:val="20"/>
          <w:color w:val="auto"/>
        </w:rPr>
      </w:pPr>
    </w:p>
    <w:p>
      <w:pPr>
        <w:ind w:right="220" w:firstLine="1296"/>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as of the Award Date first</w:t>
      </w:r>
      <w:r>
        <w:rPr>
          <w:rFonts w:ascii="Arial" w:cs="Arial" w:eastAsia="Arial" w:hAnsi="Arial"/>
          <w:sz w:val="22"/>
          <w:szCs w:val="22"/>
          <w:b w:val="1"/>
          <w:bCs w:val="1"/>
          <w:color w:val="auto"/>
        </w:rPr>
        <w:t xml:space="preserve"> </w:t>
      </w:r>
      <w:r>
        <w:rPr>
          <w:rFonts w:ascii="Arial" w:cs="Arial" w:eastAsia="Arial" w:hAnsi="Arial"/>
          <w:sz w:val="22"/>
          <w:szCs w:val="22"/>
          <w:color w:val="auto"/>
        </w:rPr>
        <w:t>indicated above.</w:t>
      </w:r>
    </w:p>
    <w:p>
      <w:pPr>
        <w:spacing w:after="0" w:line="189"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MATSON, INC.</w:t>
      </w:r>
    </w:p>
    <w:p>
      <w:pPr>
        <w:sectPr>
          <w:pgSz w:w="11900" w:h="16838" w:orient="portrait"/>
          <w:cols w:equalWidth="0" w:num="1">
            <w:col w:w="9920"/>
          </w:cols>
          <w:pgMar w:left="980" w:top="874" w:right="99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color w:val="auto"/>
        </w:rPr>
        <w:t>Vice President,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25203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0">
                      <a:extLst>
                        <a:ext uri="{28A0092B-C50C-407E-A947-70E740481C1C}"/>
                      </a:extLst>
                    </a:blip>
                    <a:srcRect/>
                    <a:stretch>
                      <a:fillRect/>
                    </a:stretch>
                  </pic:blipFill>
                  <pic:spPr bwMode="auto">
                    <a:xfrm>
                      <a:off x="0" y="0"/>
                      <a:ext cx="25203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-133350</wp:posOffset>
            </wp:positionV>
            <wp:extent cx="252031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1">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5420" w:space="520"/>
            <w:col w:w="3980"/>
          </w:cols>
          <w:pgMar w:left="980" w:top="874" w:right="999" w:bottom="1440" w:gutter="0" w:footer="0" w:header="0"/>
          <w:type w:val="continuous"/>
        </w:sectPr>
      </w:pPr>
    </w:p>
    <w:p>
      <w:pPr>
        <w:spacing w:after="0" w:line="34" w:lineRule="exact"/>
        <w:rPr>
          <w:sz w:val="20"/>
          <w:szCs w:val="20"/>
          <w:color w:val="auto"/>
        </w:rPr>
      </w:pPr>
    </w:p>
    <w:p>
      <w:pPr>
        <w:ind w:left="4960"/>
        <w:spacing w:after="0"/>
        <w:rPr>
          <w:sz w:val="20"/>
          <w:szCs w:val="20"/>
          <w:color w:val="auto"/>
        </w:rPr>
      </w:pPr>
      <w:r>
        <w:rPr>
          <w:rFonts w:ascii="Arial" w:cs="Arial" w:eastAsia="Arial" w:hAnsi="Arial"/>
          <w:sz w:val="21"/>
          <w:szCs w:val="21"/>
          <w:b w:val="1"/>
          <w:bCs w:val="1"/>
          <w:color w:val="auto"/>
        </w:rPr>
        <w:t>PARTICIPANT</w:t>
      </w:r>
    </w:p>
    <w:p>
      <w:pPr>
        <w:spacing w:after="0" w:line="25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6985</wp:posOffset>
            </wp:positionV>
            <wp:extent cx="25203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386715</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type w:val="continuous"/>
        </w:sectPr>
      </w:pPr>
    </w:p>
    <w:bookmarkStart w:id="201" w:name="page202"/>
    <w:bookmarkEnd w:id="201"/>
    <w:p>
      <w:pPr>
        <w:ind w:left="4300"/>
        <w:spacing w:after="0"/>
        <w:rPr>
          <w:sz w:val="20"/>
          <w:szCs w:val="20"/>
          <w:color w:val="auto"/>
        </w:rPr>
      </w:pPr>
      <w:r>
        <w:rPr>
          <w:rFonts w:ascii="Arial" w:cs="Arial" w:eastAsia="Arial" w:hAnsi="Arial"/>
          <w:sz w:val="22"/>
          <w:szCs w:val="22"/>
          <w:b w:val="1"/>
          <w:bCs w:val="1"/>
          <w:color w:val="auto"/>
        </w:rPr>
        <w:t>APPENDIX A</w:t>
      </w:r>
    </w:p>
    <w:p>
      <w:pPr>
        <w:spacing w:after="0" w:line="14" w:lineRule="exact"/>
        <w:rPr>
          <w:sz w:val="20"/>
          <w:szCs w:val="20"/>
          <w:color w:val="auto"/>
        </w:rPr>
      </w:pPr>
    </w:p>
    <w:p>
      <w:pPr>
        <w:ind w:left="424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09" w:lineRule="exact"/>
        <w:rPr>
          <w:sz w:val="20"/>
          <w:szCs w:val="20"/>
          <w:color w:val="auto"/>
        </w:rPr>
      </w:pPr>
    </w:p>
    <w:p>
      <w:pPr>
        <w:ind w:left="1960" w:hanging="656"/>
        <w:spacing w:after="0"/>
        <w:tabs>
          <w:tab w:leader="none" w:pos="1960" w:val="left"/>
        </w:tabs>
        <w:numPr>
          <w:ilvl w:val="0"/>
          <w:numId w:val="233"/>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this Restricted Stock Unit Award Agreement.</w:t>
      </w:r>
    </w:p>
    <w:p>
      <w:pPr>
        <w:spacing w:after="0" w:line="206" w:lineRule="exact"/>
        <w:rPr>
          <w:rFonts w:ascii="Arial" w:cs="Arial" w:eastAsia="Arial" w:hAnsi="Arial"/>
          <w:sz w:val="22"/>
          <w:szCs w:val="22"/>
          <w:color w:val="auto"/>
        </w:rPr>
      </w:pPr>
    </w:p>
    <w:p>
      <w:pPr>
        <w:ind w:right="300" w:firstLine="1304"/>
        <w:spacing w:after="0" w:line="256" w:lineRule="auto"/>
        <w:tabs>
          <w:tab w:leader="none" w:pos="1944" w:val="left"/>
        </w:tabs>
        <w:numPr>
          <w:ilvl w:val="0"/>
          <w:numId w:val="233"/>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award of restricted stock units made to Participant pursuant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of this Agreement.</w:t>
      </w:r>
    </w:p>
    <w:p>
      <w:pPr>
        <w:spacing w:after="0" w:line="162" w:lineRule="exact"/>
        <w:rPr>
          <w:rFonts w:ascii="Arial" w:cs="Arial" w:eastAsia="Arial" w:hAnsi="Arial"/>
          <w:sz w:val="22"/>
          <w:szCs w:val="22"/>
          <w:color w:val="auto"/>
        </w:rPr>
      </w:pPr>
    </w:p>
    <w:p>
      <w:pPr>
        <w:ind w:right="660" w:firstLine="1304"/>
        <w:spacing w:after="0" w:line="334" w:lineRule="auto"/>
        <w:tabs>
          <w:tab w:leader="none" w:pos="1944" w:val="left"/>
        </w:tabs>
        <w:numPr>
          <w:ilvl w:val="0"/>
          <w:numId w:val="233"/>
        </w:numPr>
        <w:rPr>
          <w:rFonts w:ascii="Arial" w:cs="Arial" w:eastAsia="Arial" w:hAnsi="Arial"/>
          <w:sz w:val="19"/>
          <w:szCs w:val="19"/>
          <w:color w:val="auto"/>
        </w:rPr>
      </w:pPr>
      <w:r>
        <w:rPr>
          <w:rFonts w:ascii="Arial" w:cs="Arial" w:eastAsia="Arial" w:hAnsi="Arial"/>
          <w:sz w:val="19"/>
          <w:szCs w:val="19"/>
          <w:b w:val="1"/>
          <w:bCs w:val="1"/>
          <w:u w:val="single" w:color="auto"/>
          <w:color w:val="auto"/>
        </w:rPr>
        <w:t>Award Date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date the restricted stock units are awarded to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the Agreement and shall be the date indicated in Paragraph 1 of the Agreement.</w:t>
      </w:r>
    </w:p>
    <w:p>
      <w:pPr>
        <w:spacing w:after="0" w:line="93" w:lineRule="exact"/>
        <w:rPr>
          <w:rFonts w:ascii="Arial" w:cs="Arial" w:eastAsia="Arial" w:hAnsi="Arial"/>
          <w:sz w:val="19"/>
          <w:szCs w:val="19"/>
          <w:color w:val="auto"/>
        </w:rPr>
      </w:pPr>
    </w:p>
    <w:p>
      <w:pPr>
        <w:ind w:right="440" w:firstLine="1304"/>
        <w:spacing w:after="0" w:line="256" w:lineRule="auto"/>
        <w:tabs>
          <w:tab w:leader="none" w:pos="1998" w:val="left"/>
        </w:tabs>
        <w:numPr>
          <w:ilvl w:val="0"/>
          <w:numId w:val="233"/>
        </w:numPr>
        <w:rPr>
          <w:rFonts w:ascii="Arial" w:cs="Arial" w:eastAsia="Arial" w:hAnsi="Arial"/>
          <w:sz w:val="22"/>
          <w:szCs w:val="22"/>
          <w:color w:val="auto"/>
        </w:rPr>
      </w:pPr>
      <w:r>
        <w:rPr>
          <w:rFonts w:ascii="Arial" w:cs="Arial" w:eastAsia="Arial" w:hAnsi="Arial"/>
          <w:sz w:val="22"/>
          <w:szCs w:val="22"/>
          <w:b w:val="1"/>
          <w:bCs w:val="1"/>
          <w:u w:val="single" w:color="auto"/>
          <w:color w:val="auto"/>
        </w:rPr>
        <w:t>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non-employee Board member to whom the Award is made</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Automatic Grant Program.</w:t>
      </w:r>
    </w:p>
    <w:p>
      <w:pPr>
        <w:spacing w:after="0" w:line="162" w:lineRule="exact"/>
        <w:rPr>
          <w:rFonts w:ascii="Arial" w:cs="Arial" w:eastAsia="Arial" w:hAnsi="Arial"/>
          <w:sz w:val="22"/>
          <w:szCs w:val="22"/>
          <w:color w:val="auto"/>
        </w:rPr>
      </w:pPr>
    </w:p>
    <w:p>
      <w:pPr>
        <w:jc w:val="both"/>
        <w:ind w:right="320" w:firstLine="1304"/>
        <w:spacing w:after="0" w:line="260" w:lineRule="auto"/>
        <w:tabs>
          <w:tab w:leader="none" w:pos="1944" w:val="left"/>
        </w:tabs>
        <w:numPr>
          <w:ilvl w:val="0"/>
          <w:numId w:val="233"/>
        </w:numPr>
        <w:rPr>
          <w:rFonts w:ascii="Arial" w:cs="Arial" w:eastAsia="Arial" w:hAnsi="Arial"/>
          <w:sz w:val="21"/>
          <w:szCs w:val="21"/>
          <w:color w:val="auto"/>
        </w:rPr>
      </w:pPr>
      <w:r>
        <w:rPr>
          <w:rFonts w:ascii="Arial" w:cs="Arial" w:eastAsia="Arial" w:hAnsi="Arial"/>
          <w:sz w:val="21"/>
          <w:szCs w:val="21"/>
          <w:b w:val="1"/>
          <w:bCs w:val="1"/>
          <w:u w:val="single" w:color="auto"/>
          <w:color w:val="auto"/>
        </w:rPr>
        <w:t>Permanent Disability</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inability of Participant to perform his or her usual</w:t>
      </w:r>
      <w:r>
        <w:rPr>
          <w:rFonts w:ascii="Arial" w:cs="Arial" w:eastAsia="Arial" w:hAnsi="Arial"/>
          <w:sz w:val="21"/>
          <w:szCs w:val="21"/>
          <w:b w:val="1"/>
          <w:bCs w:val="1"/>
          <w:color w:val="auto"/>
        </w:rPr>
        <w:t xml:space="preserve"> </w:t>
      </w:r>
      <w:r>
        <w:rPr>
          <w:rFonts w:ascii="Arial" w:cs="Arial" w:eastAsia="Arial" w:hAnsi="Arial"/>
          <w:sz w:val="21"/>
          <w:szCs w:val="21"/>
          <w:color w:val="auto"/>
        </w:rPr>
        <w:t>duties as a Board member by reason of any medically determinable physical or mental impairment expected to result in death or to be of continuous duration of twelve (12) months or more.</w:t>
      </w:r>
    </w:p>
    <w:p>
      <w:pPr>
        <w:spacing w:after="0" w:line="160" w:lineRule="exact"/>
        <w:rPr>
          <w:rFonts w:ascii="Arial" w:cs="Arial" w:eastAsia="Arial" w:hAnsi="Arial"/>
          <w:sz w:val="21"/>
          <w:szCs w:val="21"/>
          <w:color w:val="auto"/>
        </w:rPr>
      </w:pPr>
    </w:p>
    <w:p>
      <w:pPr>
        <w:ind w:left="1960" w:hanging="656"/>
        <w:spacing w:after="0"/>
        <w:tabs>
          <w:tab w:leader="none" w:pos="1960" w:val="left"/>
        </w:tabs>
        <w:numPr>
          <w:ilvl w:val="0"/>
          <w:numId w:val="233"/>
        </w:numPr>
        <w:rPr>
          <w:rFonts w:ascii="Arial" w:cs="Arial" w:eastAsia="Arial" w:hAnsi="Arial"/>
          <w:sz w:val="19"/>
          <w:szCs w:val="19"/>
          <w:color w:val="auto"/>
        </w:rPr>
      </w:pPr>
      <w:r>
        <w:rPr>
          <w:rFonts w:ascii="Arial" w:cs="Arial" w:eastAsia="Arial" w:hAnsi="Arial"/>
          <w:sz w:val="19"/>
          <w:szCs w:val="19"/>
          <w:b w:val="1"/>
          <w:bCs w:val="1"/>
          <w:u w:val="single" w:color="auto"/>
          <w:color w:val="auto"/>
        </w:rPr>
        <w:t>Plan</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Corporation’s 2016 Incentive Compensation Plan, as amended from</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time to time.</w:t>
      </w:r>
    </w:p>
    <w:p>
      <w:pPr>
        <w:spacing w:after="0" w:line="182" w:lineRule="exact"/>
        <w:rPr>
          <w:rFonts w:ascii="Arial" w:cs="Arial" w:eastAsia="Arial" w:hAnsi="Arial"/>
          <w:sz w:val="19"/>
          <w:szCs w:val="19"/>
          <w:color w:val="auto"/>
        </w:rPr>
      </w:pPr>
    </w:p>
    <w:p>
      <w:pPr>
        <w:ind w:firstLine="1304"/>
        <w:spacing w:after="0" w:line="256" w:lineRule="auto"/>
        <w:tabs>
          <w:tab w:leader="none" w:pos="1944" w:val="left"/>
        </w:tabs>
        <w:numPr>
          <w:ilvl w:val="0"/>
          <w:numId w:val="233"/>
        </w:numPr>
        <w:rPr>
          <w:rFonts w:ascii="Arial" w:cs="Arial" w:eastAsia="Arial" w:hAnsi="Arial"/>
          <w:sz w:val="22"/>
          <w:szCs w:val="22"/>
          <w:color w:val="auto"/>
        </w:rPr>
      </w:pPr>
      <w:r>
        <w:rPr>
          <w:rFonts w:ascii="Arial" w:cs="Arial" w:eastAsia="Arial" w:hAnsi="Arial"/>
          <w:sz w:val="22"/>
          <w:szCs w:val="22"/>
          <w:b w:val="1"/>
          <w:bCs w:val="1"/>
          <w:u w:val="single" w:color="auto"/>
          <w:color w:val="auto"/>
        </w:rPr>
        <w:t>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cessation of Board service by reason of retirement at or after the</w:t>
      </w:r>
      <w:r>
        <w:rPr>
          <w:rFonts w:ascii="Arial" w:cs="Arial" w:eastAsia="Arial" w:hAnsi="Arial"/>
          <w:sz w:val="22"/>
          <w:szCs w:val="22"/>
          <w:b w:val="1"/>
          <w:bCs w:val="1"/>
          <w:color w:val="auto"/>
        </w:rPr>
        <w:t xml:space="preserve"> </w:t>
      </w:r>
      <w:r>
        <w:rPr>
          <w:rFonts w:ascii="Arial" w:cs="Arial" w:eastAsia="Arial" w:hAnsi="Arial"/>
          <w:sz w:val="22"/>
          <w:szCs w:val="22"/>
          <w:color w:val="auto"/>
        </w:rPr>
        <w:t>attainment of age seventy-five (75).</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68" w:right="1019" w:bottom="1440" w:gutter="0" w:footer="0" w:header="0"/>
        </w:sectPr>
      </w:pPr>
    </w:p>
    <w:bookmarkStart w:id="202" w:name="page203"/>
    <w:bookmarkEnd w:id="202"/>
    <w:p>
      <w:pPr>
        <w:jc w:val="right"/>
        <w:spacing w:after="0"/>
        <w:rPr>
          <w:sz w:val="20"/>
          <w:szCs w:val="20"/>
          <w:color w:val="auto"/>
        </w:rPr>
      </w:pPr>
      <w:r>
        <w:rPr>
          <w:rFonts w:ascii="Arial" w:cs="Arial" w:eastAsia="Arial" w:hAnsi="Arial"/>
          <w:sz w:val="22"/>
          <w:szCs w:val="22"/>
          <w:b w:val="1"/>
          <w:bCs w:val="1"/>
          <w:color w:val="auto"/>
        </w:rPr>
        <w:t>Exhibit 10.53</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MATSON,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RESTRICTED STOCK UNIT AWARD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NON-EMPLOYEE BOARD MEMBER—DEFERRAL ELECTION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RECITALS</w:t>
      </w:r>
    </w:p>
    <w:p>
      <w:pPr>
        <w:spacing w:after="0" w:line="230" w:lineRule="exact"/>
        <w:rPr>
          <w:sz w:val="20"/>
          <w:szCs w:val="20"/>
          <w:color w:val="auto"/>
        </w:rPr>
      </w:pPr>
    </w:p>
    <w:p>
      <w:pPr>
        <w:ind w:right="100" w:firstLine="1304"/>
        <w:spacing w:after="0" w:line="239" w:lineRule="auto"/>
        <w:tabs>
          <w:tab w:leader="none" w:pos="1938" w:val="left"/>
        </w:tabs>
        <w:numPr>
          <w:ilvl w:val="0"/>
          <w:numId w:val="234"/>
        </w:numPr>
        <w:rPr>
          <w:rFonts w:ascii="Arial" w:cs="Arial" w:eastAsia="Arial" w:hAnsi="Arial"/>
          <w:sz w:val="22"/>
          <w:szCs w:val="22"/>
          <w:color w:val="auto"/>
        </w:rPr>
      </w:pPr>
      <w:r>
        <w:rPr>
          <w:rFonts w:ascii="Arial" w:cs="Arial" w:eastAsia="Arial" w:hAnsi="Arial"/>
          <w:sz w:val="20"/>
          <w:szCs w:val="20"/>
          <w:color w:val="auto"/>
        </w:rPr>
        <w:t>Matson, Inc., a Hawaii corporation (along with any subsequent corporate successor to all or substantially all of the assets or voting stock of Matson, Inc., which has by appropriate action assumed the Plan, the “Corporation”), has implemented an automatic award program under the Plan pursuant to which eligible non-employee members of the Board will automatically receive special awards of restricted stock units at periodic intervals over their period of Board service in order to provide such individuals with a meaningful incentive to continue to serve as members of the Board.</w:t>
      </w:r>
    </w:p>
    <w:p>
      <w:pPr>
        <w:spacing w:after="0" w:line="209" w:lineRule="exact"/>
        <w:rPr>
          <w:rFonts w:ascii="Arial" w:cs="Arial" w:eastAsia="Arial" w:hAnsi="Arial"/>
          <w:sz w:val="22"/>
          <w:szCs w:val="22"/>
          <w:color w:val="auto"/>
        </w:rPr>
      </w:pPr>
    </w:p>
    <w:p>
      <w:pPr>
        <w:ind w:right="40" w:firstLine="1304"/>
        <w:spacing w:after="0" w:line="238" w:lineRule="auto"/>
        <w:tabs>
          <w:tab w:leader="none" w:pos="1980" w:val="left"/>
        </w:tabs>
        <w:numPr>
          <w:ilvl w:val="0"/>
          <w:numId w:val="234"/>
        </w:numPr>
        <w:rPr>
          <w:rFonts w:ascii="Arial" w:cs="Arial" w:eastAsia="Arial" w:hAnsi="Arial"/>
          <w:sz w:val="22"/>
          <w:szCs w:val="22"/>
          <w:color w:val="auto"/>
        </w:rPr>
      </w:pPr>
      <w:r>
        <w:rPr>
          <w:rFonts w:ascii="Arial" w:cs="Arial" w:eastAsia="Arial" w:hAnsi="Arial"/>
          <w:sz w:val="20"/>
          <w:szCs w:val="20"/>
          <w:color w:val="auto"/>
        </w:rPr>
        <w:t>Participant is an eligible non-employee Board member, and this Agreement is executed pursuant to, and is intended to carry out the purposes of, the Plan in connection with the automatic award of restricted stock units under the Plan.</w:t>
      </w:r>
    </w:p>
    <w:p>
      <w:pPr>
        <w:spacing w:after="0" w:line="211" w:lineRule="exact"/>
        <w:rPr>
          <w:rFonts w:ascii="Arial" w:cs="Arial" w:eastAsia="Arial" w:hAnsi="Arial"/>
          <w:sz w:val="22"/>
          <w:szCs w:val="22"/>
          <w:color w:val="auto"/>
        </w:rPr>
      </w:pPr>
    </w:p>
    <w:p>
      <w:pPr>
        <w:ind w:right="360" w:firstLine="1304"/>
        <w:spacing w:after="0" w:line="238" w:lineRule="auto"/>
        <w:tabs>
          <w:tab w:leader="none" w:pos="1980" w:val="left"/>
        </w:tabs>
        <w:numPr>
          <w:ilvl w:val="0"/>
          <w:numId w:val="234"/>
        </w:numPr>
        <w:rPr>
          <w:rFonts w:ascii="Arial" w:cs="Arial" w:eastAsia="Arial" w:hAnsi="Arial"/>
          <w:sz w:val="22"/>
          <w:szCs w:val="22"/>
          <w:color w:val="auto"/>
        </w:rPr>
      </w:pPr>
      <w:r>
        <w:rPr>
          <w:rFonts w:ascii="Arial" w:cs="Arial" w:eastAsia="Arial" w:hAnsi="Arial"/>
          <w:sz w:val="20"/>
          <w:szCs w:val="20"/>
          <w:color w:val="auto"/>
        </w:rPr>
        <w:t xml:space="preserve">All capitalized terms in this Agreement shall have the meaning assigned to them in the attached </w:t>
      </w:r>
      <w:r>
        <w:rPr>
          <w:rFonts w:ascii="Arial" w:cs="Arial" w:eastAsia="Arial" w:hAnsi="Arial"/>
          <w:sz w:val="20"/>
          <w:szCs w:val="20"/>
          <w:u w:val="single" w:color="auto"/>
          <w:color w:val="auto"/>
        </w:rPr>
        <w:t>Appendix A</w:t>
      </w:r>
      <w:r>
        <w:rPr>
          <w:rFonts w:ascii="Arial" w:cs="Arial" w:eastAsia="Arial" w:hAnsi="Arial"/>
          <w:sz w:val="20"/>
          <w:szCs w:val="20"/>
          <w:color w:val="auto"/>
        </w:rPr>
        <w:t>, or if not defined in that appendix, as defined in the Plan.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it is hereby agreed as follows:</w:t>
      </w:r>
    </w:p>
    <w:p>
      <w:pPr>
        <w:spacing w:after="0" w:line="206" w:lineRule="exact"/>
        <w:rPr>
          <w:sz w:val="20"/>
          <w:szCs w:val="20"/>
          <w:color w:val="auto"/>
        </w:rPr>
      </w:pPr>
    </w:p>
    <w:p>
      <w:pPr>
        <w:jc w:val="both"/>
        <w:ind w:firstLine="1304"/>
        <w:spacing w:after="0" w:line="235" w:lineRule="auto"/>
        <w:tabs>
          <w:tab w:leader="none" w:pos="1971" w:val="left"/>
        </w:tabs>
        <w:numPr>
          <w:ilvl w:val="0"/>
          <w:numId w:val="235"/>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Restricted Stock Units</w:t>
      </w:r>
      <w:r>
        <w:rPr>
          <w:rFonts w:ascii="Arial" w:cs="Arial" w:eastAsia="Arial" w:hAnsi="Arial"/>
          <w:sz w:val="22"/>
          <w:szCs w:val="22"/>
          <w:color w:val="auto"/>
        </w:rPr>
        <w:t>. The Corporation hereby awards to Participant,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Award Date, an award (the “Award”) of restricted stock units under the Plan. Each restricted stock unit represents the right to receive one share of Common Stock on the applicable issuance date following the vesting of that unit. The number of shares of Common Stock subject to the awarded restricted stock units (the “RSUs”), the applicable vesting schedule for the RSUs and the underlying shares of Common Stock, the dates on which those vested shares shall be issued to Participant and the remaining terms and conditions governing the Award shall be as set forth in this Agreement.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20" w:type="dxa"/>
            <w:vAlign w:val="bottom"/>
          </w:tcPr>
          <w:p>
            <w:pPr>
              <w:ind w:left="1960"/>
              <w:spacing w:after="0"/>
              <w:rPr>
                <w:sz w:val="20"/>
                <w:szCs w:val="20"/>
                <w:color w:val="auto"/>
              </w:rPr>
            </w:pPr>
            <w:r>
              <w:rPr>
                <w:rFonts w:ascii="Arial" w:cs="Arial" w:eastAsia="Arial" w:hAnsi="Arial"/>
                <w:sz w:val="22"/>
                <w:szCs w:val="22"/>
                <w:b w:val="1"/>
                <w:bCs w:val="1"/>
                <w:color w:val="auto"/>
              </w:rPr>
              <w:t>AWARD SUMMARY</w:t>
            </w:r>
          </w:p>
        </w:tc>
        <w:tc>
          <w:tcPr>
            <w:tcW w:w="0" w:type="dxa"/>
            <w:vAlign w:val="bottom"/>
          </w:tcPr>
          <w:p>
            <w:pPr>
              <w:spacing w:after="0"/>
              <w:rPr>
                <w:sz w:val="1"/>
                <w:szCs w:val="1"/>
                <w:color w:val="auto"/>
              </w:rPr>
            </w:pPr>
          </w:p>
        </w:tc>
      </w:tr>
      <w:tr>
        <w:trPr>
          <w:trHeight w:val="435"/>
        </w:trPr>
        <w:tc>
          <w:tcPr>
            <w:tcW w:w="2000" w:type="dxa"/>
            <w:vAlign w:val="bottom"/>
            <w:gridSpan w:val="7"/>
          </w:tcPr>
          <w:p>
            <w:pPr>
              <w:spacing w:after="0"/>
              <w:rPr>
                <w:sz w:val="20"/>
                <w:szCs w:val="20"/>
                <w:color w:val="auto"/>
              </w:rPr>
            </w:pPr>
            <w:r>
              <w:rPr>
                <w:rFonts w:ascii="Arial" w:cs="Arial" w:eastAsia="Arial" w:hAnsi="Arial"/>
                <w:sz w:val="22"/>
                <w:szCs w:val="22"/>
                <w:color w:val="auto"/>
              </w:rPr>
              <w:t>Participant</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9"/>
              </w:rPr>
              <w:t>Award Date:</w:t>
            </w:r>
          </w:p>
        </w:tc>
        <w:tc>
          <w:tcPr>
            <w:tcW w:w="900" w:type="dxa"/>
            <w:vAlign w:val="bottom"/>
            <w:gridSpan w:val="4"/>
          </w:tcPr>
          <w:p>
            <w:pPr>
              <w:spacing w:after="0"/>
              <w:rPr>
                <w:sz w:val="24"/>
                <w:szCs w:val="24"/>
                <w:color w:val="auto"/>
              </w:rPr>
            </w:pP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00" w:type="dxa"/>
            <w:vAlign w:val="bottom"/>
            <w:gridSpan w:val="7"/>
          </w:tcPr>
          <w:p>
            <w:pPr>
              <w:spacing w:after="0"/>
              <w:rPr>
                <w:sz w:val="20"/>
                <w:szCs w:val="20"/>
                <w:color w:val="auto"/>
              </w:rPr>
            </w:pPr>
            <w:r>
              <w:rPr>
                <w:rFonts w:ascii="Arial" w:cs="Arial" w:eastAsia="Arial" w:hAnsi="Arial"/>
                <w:sz w:val="22"/>
                <w:szCs w:val="22"/>
                <w:color w:val="auto"/>
              </w:rPr>
              <w:t>Number of Shares</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15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0" w:type="dxa"/>
            <w:vAlign w:val="bottom"/>
            <w:gridSpan w:val="7"/>
          </w:tcPr>
          <w:p>
            <w:pPr>
              <w:spacing w:after="0" w:line="223" w:lineRule="exact"/>
              <w:rPr>
                <w:sz w:val="20"/>
                <w:szCs w:val="20"/>
                <w:color w:val="auto"/>
              </w:rPr>
            </w:pPr>
            <w:r>
              <w:rPr>
                <w:rFonts w:ascii="Arial" w:cs="Arial" w:eastAsia="Arial" w:hAnsi="Arial"/>
                <w:sz w:val="22"/>
                <w:szCs w:val="22"/>
                <w:color w:val="auto"/>
                <w:w w:val="97"/>
              </w:rPr>
              <w:t>Subject to Restricted</w:t>
            </w:r>
          </w:p>
        </w:tc>
        <w:tc>
          <w:tcPr>
            <w:tcW w:w="7920" w:type="dxa"/>
            <w:vAlign w:val="bottom"/>
            <w:vMerge w:val="restart"/>
          </w:tcPr>
          <w:p>
            <w:pPr>
              <w:ind w:left="240"/>
              <w:spacing w:after="0"/>
              <w:rPr>
                <w:sz w:val="20"/>
                <w:szCs w:val="20"/>
                <w:color w:val="auto"/>
              </w:rPr>
            </w:pPr>
            <w:r>
              <w:rPr>
                <w:rFonts w:ascii="Arial" w:cs="Arial" w:eastAsia="Arial" w:hAnsi="Arial"/>
                <w:sz w:val="22"/>
                <w:szCs w:val="22"/>
                <w:color w:val="auto"/>
              </w:rPr>
              <w:t>x,xxx shares of Common Stock (the “Shares”)</w:t>
            </w:r>
          </w:p>
        </w:tc>
        <w:tc>
          <w:tcPr>
            <w:tcW w:w="0" w:type="dxa"/>
            <w:vAlign w:val="bottom"/>
          </w:tcPr>
          <w:p>
            <w:pPr>
              <w:spacing w:after="0"/>
              <w:rPr>
                <w:sz w:val="1"/>
                <w:szCs w:val="1"/>
                <w:color w:val="auto"/>
              </w:rPr>
            </w:pPr>
          </w:p>
        </w:tc>
      </w:tr>
      <w:tr>
        <w:trPr>
          <w:trHeight w:val="223"/>
        </w:trPr>
        <w:tc>
          <w:tcPr>
            <w:tcW w:w="1800" w:type="dxa"/>
            <w:vAlign w:val="bottom"/>
            <w:tcBorders>
              <w:top w:val="single" w:sz="8" w:color="auto"/>
            </w:tcBorders>
            <w:gridSpan w:val="6"/>
          </w:tcPr>
          <w:p>
            <w:pPr>
              <w:spacing w:after="0" w:line="223" w:lineRule="exact"/>
              <w:rPr>
                <w:sz w:val="20"/>
                <w:szCs w:val="20"/>
                <w:color w:val="auto"/>
              </w:rPr>
            </w:pPr>
            <w:r>
              <w:rPr>
                <w:rFonts w:ascii="Arial" w:cs="Arial" w:eastAsia="Arial" w:hAnsi="Arial"/>
                <w:sz w:val="22"/>
                <w:szCs w:val="22"/>
                <w:color w:val="auto"/>
              </w:rPr>
              <w:t>Stock Unit Award:</w:t>
            </w:r>
          </w:p>
        </w:tc>
        <w:tc>
          <w:tcPr>
            <w:tcW w:w="200" w:type="dxa"/>
            <w:vAlign w:val="bottom"/>
          </w:tcPr>
          <w:p>
            <w:pPr>
              <w:spacing w:after="0"/>
              <w:rPr>
                <w:sz w:val="19"/>
                <w:szCs w:val="19"/>
                <w:color w:val="auto"/>
              </w:rPr>
            </w:pPr>
          </w:p>
        </w:tc>
        <w:tc>
          <w:tcPr>
            <w:tcW w:w="7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20" w:type="dxa"/>
            <w:vAlign w:val="bottom"/>
          </w:tcPr>
          <w:p>
            <w:pPr>
              <w:ind w:left="180"/>
              <w:spacing w:after="0"/>
              <w:rPr>
                <w:sz w:val="20"/>
                <w:szCs w:val="20"/>
                <w:color w:val="auto"/>
              </w:rPr>
            </w:pPr>
            <w:r>
              <w:rPr>
                <w:rFonts w:ascii="Arial" w:cs="Arial" w:eastAsia="Arial" w:hAnsi="Arial"/>
                <w:sz w:val="22"/>
                <w:szCs w:val="22"/>
                <w:color w:val="auto"/>
                <w:w w:val="96"/>
              </w:rPr>
              <w:t>The RSUs shall vest in full on the earlier of (a) the first anniversary of Participant’s</w:t>
            </w:r>
          </w:p>
        </w:tc>
        <w:tc>
          <w:tcPr>
            <w:tcW w:w="0" w:type="dxa"/>
            <w:vAlign w:val="bottom"/>
          </w:tcPr>
          <w:p>
            <w:pPr>
              <w:spacing w:after="0"/>
              <w:rPr>
                <w:sz w:val="1"/>
                <w:szCs w:val="1"/>
                <w:color w:val="auto"/>
              </w:rPr>
            </w:pPr>
          </w:p>
        </w:tc>
      </w:tr>
      <w:tr>
        <w:trPr>
          <w:trHeight w:val="224"/>
        </w:trPr>
        <w:tc>
          <w:tcPr>
            <w:tcW w:w="2000" w:type="dxa"/>
            <w:vAlign w:val="bottom"/>
            <w:gridSpan w:val="7"/>
          </w:tcPr>
          <w:p>
            <w:pPr>
              <w:ind w:left="60"/>
              <w:spacing w:after="0" w:line="224" w:lineRule="exact"/>
              <w:rPr>
                <w:sz w:val="20"/>
                <w:szCs w:val="20"/>
                <w:color w:val="auto"/>
              </w:rPr>
            </w:pPr>
            <w:r>
              <w:rPr>
                <w:rFonts w:ascii="Arial" w:cs="Arial" w:eastAsia="Arial" w:hAnsi="Arial"/>
                <w:sz w:val="22"/>
                <w:szCs w:val="22"/>
                <w:color w:val="auto"/>
              </w:rPr>
              <w:t>Vesting Schedule:</w:t>
            </w:r>
          </w:p>
        </w:tc>
        <w:tc>
          <w:tcPr>
            <w:tcW w:w="7920" w:type="dxa"/>
            <w:vAlign w:val="bottom"/>
          </w:tcPr>
          <w:p>
            <w:pPr>
              <w:ind w:left="180"/>
              <w:spacing w:after="0" w:line="224" w:lineRule="exact"/>
              <w:rPr>
                <w:sz w:val="20"/>
                <w:szCs w:val="20"/>
                <w:color w:val="auto"/>
              </w:rPr>
            </w:pPr>
            <w:r>
              <w:rPr>
                <w:rFonts w:ascii="Arial" w:cs="Arial" w:eastAsia="Arial" w:hAnsi="Arial"/>
                <w:sz w:val="22"/>
                <w:szCs w:val="22"/>
                <w:color w:val="auto"/>
              </w:rPr>
              <w:t>completion of continuous Board service measured from the</w:t>
            </w:r>
          </w:p>
        </w:tc>
        <w:tc>
          <w:tcPr>
            <w:tcW w:w="0" w:type="dxa"/>
            <w:vAlign w:val="bottom"/>
          </w:tcPr>
          <w:p>
            <w:pPr>
              <w:spacing w:after="0"/>
              <w:rPr>
                <w:sz w:val="1"/>
                <w:szCs w:val="1"/>
                <w:color w:val="auto"/>
              </w:rPr>
            </w:pPr>
          </w:p>
        </w:tc>
      </w:tr>
      <w:tr>
        <w:trPr>
          <w:trHeight w:val="1688"/>
        </w:trPr>
        <w:tc>
          <w:tcPr>
            <w:tcW w:w="60" w:type="dxa"/>
            <w:vAlign w:val="bottom"/>
            <w:tcBorders>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328" w:right="999" w:bottom="1440" w:gutter="0" w:footer="0" w:header="0"/>
        </w:sectPr>
      </w:pPr>
    </w:p>
    <w:bookmarkStart w:id="203" w:name="page204"/>
    <w:bookmarkEnd w:id="203"/>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1600" w:type="dxa"/>
            <w:vAlign w:val="bottom"/>
          </w:tcPr>
          <w:p>
            <w:pPr>
              <w:spacing w:after="0"/>
              <w:rPr>
                <w:sz w:val="21"/>
                <w:szCs w:val="21"/>
                <w:color w:val="auto"/>
              </w:rPr>
            </w:pPr>
          </w:p>
        </w:tc>
        <w:tc>
          <w:tcPr>
            <w:tcW w:w="8260" w:type="dxa"/>
            <w:vAlign w:val="bottom"/>
          </w:tcPr>
          <w:p>
            <w:pPr>
              <w:ind w:left="540"/>
              <w:spacing w:after="0"/>
              <w:rPr>
                <w:sz w:val="20"/>
                <w:szCs w:val="20"/>
                <w:color w:val="auto"/>
              </w:rPr>
            </w:pPr>
            <w:r>
              <w:rPr>
                <w:rFonts w:ascii="Arial" w:cs="Arial" w:eastAsia="Arial" w:hAnsi="Arial"/>
                <w:sz w:val="22"/>
                <w:szCs w:val="22"/>
                <w:color w:val="auto"/>
                <w:w w:val="94"/>
              </w:rPr>
              <w:t>Award Date or (b) the first annual general meeting of the Corporation’s stockholders</w:t>
            </w:r>
          </w:p>
        </w:tc>
      </w:tr>
      <w:tr>
        <w:trPr>
          <w:trHeight w:val="243"/>
        </w:trPr>
        <w:tc>
          <w:tcPr>
            <w:tcW w:w="1600" w:type="dxa"/>
            <w:vAlign w:val="bottom"/>
          </w:tcPr>
          <w:p>
            <w:pPr>
              <w:spacing w:after="0"/>
              <w:rPr>
                <w:sz w:val="21"/>
                <w:szCs w:val="21"/>
                <w:color w:val="auto"/>
              </w:rPr>
            </w:pPr>
          </w:p>
        </w:tc>
        <w:tc>
          <w:tcPr>
            <w:tcW w:w="8260" w:type="dxa"/>
            <w:vAlign w:val="bottom"/>
          </w:tcPr>
          <w:p>
            <w:pPr>
              <w:ind w:left="540"/>
              <w:spacing w:after="0" w:line="243" w:lineRule="exact"/>
              <w:rPr>
                <w:sz w:val="20"/>
                <w:szCs w:val="20"/>
                <w:color w:val="auto"/>
              </w:rPr>
            </w:pPr>
            <w:r>
              <w:rPr>
                <w:rFonts w:ascii="Arial" w:cs="Arial" w:eastAsia="Arial" w:hAnsi="Arial"/>
                <w:sz w:val="22"/>
                <w:szCs w:val="22"/>
                <w:color w:val="auto"/>
                <w:w w:val="94"/>
              </w:rPr>
              <w:t>held after the Award Date. The RSUs may vest in whole or in part on an accelerated</w:t>
            </w:r>
          </w:p>
        </w:tc>
      </w:tr>
      <w:tr>
        <w:trPr>
          <w:trHeight w:val="243"/>
        </w:trPr>
        <w:tc>
          <w:tcPr>
            <w:tcW w:w="1600" w:type="dxa"/>
            <w:vAlign w:val="bottom"/>
          </w:tcPr>
          <w:p>
            <w:pPr>
              <w:spacing w:after="0"/>
              <w:rPr>
                <w:sz w:val="21"/>
                <w:szCs w:val="21"/>
                <w:color w:val="auto"/>
              </w:rPr>
            </w:pPr>
          </w:p>
        </w:tc>
        <w:tc>
          <w:tcPr>
            <w:tcW w:w="8260" w:type="dxa"/>
            <w:vAlign w:val="bottom"/>
          </w:tcPr>
          <w:p>
            <w:pPr>
              <w:ind w:left="540"/>
              <w:spacing w:after="0" w:line="243" w:lineRule="exact"/>
              <w:rPr>
                <w:sz w:val="20"/>
                <w:szCs w:val="20"/>
                <w:color w:val="auto"/>
              </w:rPr>
            </w:pPr>
            <w:r>
              <w:rPr>
                <w:rFonts w:ascii="Arial" w:cs="Arial" w:eastAsia="Arial" w:hAnsi="Arial"/>
                <w:sz w:val="22"/>
                <w:szCs w:val="22"/>
                <w:color w:val="auto"/>
                <w:w w:val="91"/>
              </w:rPr>
              <w:t>basis in accordance with the provisions of Paragraphs 3 and 5 of this Agreement. In no</w:t>
            </w:r>
          </w:p>
        </w:tc>
      </w:tr>
      <w:tr>
        <w:trPr>
          <w:trHeight w:val="274"/>
        </w:trPr>
        <w:tc>
          <w:tcPr>
            <w:tcW w:w="1600" w:type="dxa"/>
            <w:vAlign w:val="bottom"/>
          </w:tcPr>
          <w:p>
            <w:pPr>
              <w:spacing w:after="0"/>
              <w:rPr>
                <w:sz w:val="23"/>
                <w:szCs w:val="23"/>
                <w:color w:val="auto"/>
              </w:rPr>
            </w:pPr>
          </w:p>
        </w:tc>
        <w:tc>
          <w:tcPr>
            <w:tcW w:w="8260" w:type="dxa"/>
            <w:vAlign w:val="bottom"/>
          </w:tcPr>
          <w:p>
            <w:pPr>
              <w:ind w:left="540"/>
              <w:spacing w:after="0"/>
              <w:rPr>
                <w:sz w:val="20"/>
                <w:szCs w:val="20"/>
                <w:color w:val="auto"/>
              </w:rPr>
            </w:pPr>
            <w:r>
              <w:rPr>
                <w:rFonts w:ascii="Arial" w:cs="Arial" w:eastAsia="Arial" w:hAnsi="Arial"/>
                <w:sz w:val="22"/>
                <w:szCs w:val="22"/>
                <w:color w:val="auto"/>
                <w:w w:val="92"/>
              </w:rPr>
              <w:t>event shall any RSUs vest after the date of Participant’s termination of Board service.</w:t>
            </w:r>
          </w:p>
        </w:tc>
      </w:tr>
      <w:tr>
        <w:trPr>
          <w:trHeight w:val="428"/>
        </w:trPr>
        <w:tc>
          <w:tcPr>
            <w:tcW w:w="1600" w:type="dxa"/>
            <w:vAlign w:val="bottom"/>
          </w:tcPr>
          <w:p>
            <w:pPr>
              <w:spacing w:after="0"/>
              <w:rPr>
                <w:sz w:val="24"/>
                <w:szCs w:val="24"/>
                <w:color w:val="auto"/>
              </w:rPr>
            </w:pPr>
          </w:p>
        </w:tc>
        <w:tc>
          <w:tcPr>
            <w:tcW w:w="8260" w:type="dxa"/>
            <w:vAlign w:val="bottom"/>
          </w:tcPr>
          <w:p>
            <w:pPr>
              <w:ind w:left="540"/>
              <w:spacing w:after="0"/>
              <w:rPr>
                <w:sz w:val="20"/>
                <w:szCs w:val="20"/>
                <w:color w:val="auto"/>
              </w:rPr>
            </w:pPr>
            <w:r>
              <w:rPr>
                <w:rFonts w:ascii="Arial" w:cs="Arial" w:eastAsia="Arial" w:hAnsi="Arial"/>
                <w:sz w:val="22"/>
                <w:szCs w:val="22"/>
                <w:color w:val="auto"/>
                <w:w w:val="91"/>
              </w:rPr>
              <w:t>The RSUs in which the Participant vests pursuant to the foregoing Vesting Schedule or</w:t>
            </w:r>
          </w:p>
        </w:tc>
      </w:tr>
      <w:tr>
        <w:trPr>
          <w:trHeight w:val="243"/>
        </w:trPr>
        <w:tc>
          <w:tcPr>
            <w:tcW w:w="1600" w:type="dxa"/>
            <w:vAlign w:val="bottom"/>
          </w:tcPr>
          <w:p>
            <w:pPr>
              <w:spacing w:after="0"/>
              <w:rPr>
                <w:sz w:val="21"/>
                <w:szCs w:val="21"/>
                <w:color w:val="auto"/>
              </w:rPr>
            </w:pPr>
          </w:p>
        </w:tc>
        <w:tc>
          <w:tcPr>
            <w:tcW w:w="8260" w:type="dxa"/>
            <w:vAlign w:val="bottom"/>
          </w:tcPr>
          <w:p>
            <w:pPr>
              <w:ind w:left="540"/>
              <w:spacing w:after="0" w:line="243" w:lineRule="exact"/>
              <w:rPr>
                <w:sz w:val="20"/>
                <w:szCs w:val="20"/>
                <w:color w:val="auto"/>
              </w:rPr>
            </w:pPr>
            <w:r>
              <w:rPr>
                <w:rFonts w:ascii="Arial" w:cs="Arial" w:eastAsia="Arial" w:hAnsi="Arial"/>
                <w:sz w:val="22"/>
                <w:szCs w:val="22"/>
                <w:color w:val="auto"/>
                <w:w w:val="88"/>
              </w:rPr>
              <w:t>the vesting acceleration provisions of Paragraph 3 or Paragraph 5 of this Agreement shall</w:t>
            </w:r>
          </w:p>
        </w:tc>
      </w:tr>
      <w:tr>
        <w:trPr>
          <w:trHeight w:val="224"/>
        </w:trPr>
        <w:tc>
          <w:tcPr>
            <w:tcW w:w="160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84"/>
              </w:rPr>
              <w:t>Issuance Schedule</w:t>
            </w:r>
          </w:p>
        </w:tc>
        <w:tc>
          <w:tcPr>
            <w:tcW w:w="8260" w:type="dxa"/>
            <w:vAlign w:val="bottom"/>
          </w:tcPr>
          <w:p>
            <w:pPr>
              <w:ind w:left="540"/>
              <w:spacing w:after="0" w:line="224" w:lineRule="exact"/>
              <w:rPr>
                <w:sz w:val="20"/>
                <w:szCs w:val="20"/>
                <w:color w:val="auto"/>
              </w:rPr>
            </w:pPr>
            <w:r>
              <w:rPr>
                <w:rFonts w:ascii="Arial" w:cs="Arial" w:eastAsia="Arial" w:hAnsi="Arial"/>
                <w:sz w:val="22"/>
                <w:szCs w:val="22"/>
                <w:color w:val="auto"/>
              </w:rPr>
              <w:t>be settled in Shares in accordance with the Participant’s Deferral Election.</w:t>
            </w:r>
          </w:p>
        </w:tc>
      </w:tr>
    </w:tbl>
    <w:p>
      <w:pPr>
        <w:spacing w:after="0" w:line="216" w:lineRule="exact"/>
        <w:rPr>
          <w:sz w:val="20"/>
          <w:szCs w:val="20"/>
          <w:color w:val="auto"/>
        </w:rPr>
      </w:pPr>
    </w:p>
    <w:p>
      <w:pPr>
        <w:jc w:val="both"/>
        <w:ind w:firstLine="1304"/>
        <w:spacing w:after="0" w:line="272" w:lineRule="auto"/>
        <w:tabs>
          <w:tab w:leader="none" w:pos="2012" w:val="left"/>
        </w:tabs>
        <w:numPr>
          <w:ilvl w:val="0"/>
          <w:numId w:val="236"/>
        </w:numPr>
        <w:rPr>
          <w:rFonts w:ascii="Arial" w:cs="Arial" w:eastAsia="Arial" w:hAnsi="Arial"/>
          <w:sz w:val="19"/>
          <w:szCs w:val="19"/>
          <w:color w:val="auto"/>
        </w:rPr>
      </w:pPr>
      <w:r>
        <w:rPr>
          <w:rFonts w:ascii="Arial" w:cs="Arial" w:eastAsia="Arial" w:hAnsi="Arial"/>
          <w:sz w:val="19"/>
          <w:szCs w:val="19"/>
          <w:b w:val="1"/>
          <w:bCs w:val="1"/>
          <w:u w:val="single" w:color="auto"/>
          <w:color w:val="auto"/>
        </w:rPr>
        <w:t>Limited Transferability</w:t>
      </w:r>
      <w:r>
        <w:rPr>
          <w:rFonts w:ascii="Arial" w:cs="Arial" w:eastAsia="Arial" w:hAnsi="Arial"/>
          <w:sz w:val="19"/>
          <w:szCs w:val="19"/>
          <w:color w:val="auto"/>
        </w:rPr>
        <w:t>. Prior to the actual issuance of the Shares hereunder,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may not transfer any interest in the RSUs or the underlying Shares or pledge or otherwise hedge the sale of those RSUs or Shares, including (without limitation) any short sale or any acquisition or disposition of any put or call option or other instrument tied to the value of those RSUs Shares. However, any Shares underlying RSUs which vest hereunder but otherwise remain unissued at the time of Participant’s death may be transferred pursuant to the provisions of Participant’s will or the laws of inheritance or to Participant’s designated beneficiary or beneficiaries of this Award, and in such event, the Shares shall be issued to the applicable transferee(s) in accordance with the distribution date or event and method of distribution specified by Participant in his or her Deferral Election. Participant may also direct the Corporation to issue the stock certificates for any Shares which in fact become issuable hereunder to Participant during his or her lifetime to one or more designated Family Members or a trust established for Participant and/or his or her Family Members. Any such issuance shall be effected in accordance with the distribution date or event and method of distribution specified by Participant in his or her Deferral Election. Participant may make such a beneficiary designation or certificate directive at any time by filing the appropriate form with the Plan Administrator or its designee.</w:t>
      </w:r>
    </w:p>
    <w:p>
      <w:pPr>
        <w:spacing w:after="0" w:line="151" w:lineRule="exact"/>
        <w:rPr>
          <w:rFonts w:ascii="Arial" w:cs="Arial" w:eastAsia="Arial" w:hAnsi="Arial"/>
          <w:sz w:val="19"/>
          <w:szCs w:val="19"/>
          <w:color w:val="auto"/>
        </w:rPr>
      </w:pPr>
    </w:p>
    <w:p>
      <w:pPr>
        <w:jc w:val="both"/>
        <w:ind w:firstLine="1304"/>
        <w:spacing w:after="0" w:line="275" w:lineRule="auto"/>
        <w:tabs>
          <w:tab w:leader="none" w:pos="2079" w:val="left"/>
        </w:tabs>
        <w:numPr>
          <w:ilvl w:val="0"/>
          <w:numId w:val="236"/>
        </w:numPr>
        <w:rPr>
          <w:rFonts w:ascii="Arial" w:cs="Arial" w:eastAsia="Arial" w:hAnsi="Arial"/>
          <w:sz w:val="19"/>
          <w:szCs w:val="19"/>
          <w:color w:val="auto"/>
        </w:rPr>
      </w:pPr>
      <w:r>
        <w:rPr>
          <w:rFonts w:ascii="Arial" w:cs="Arial" w:eastAsia="Arial" w:hAnsi="Arial"/>
          <w:sz w:val="19"/>
          <w:szCs w:val="19"/>
          <w:b w:val="1"/>
          <w:bCs w:val="1"/>
          <w:u w:val="single" w:color="auto"/>
          <w:color w:val="auto"/>
        </w:rPr>
        <w:t>Cessation of Service</w:t>
      </w:r>
      <w:r>
        <w:rPr>
          <w:rFonts w:ascii="Arial" w:cs="Arial" w:eastAsia="Arial" w:hAnsi="Arial"/>
          <w:sz w:val="19"/>
          <w:szCs w:val="19"/>
          <w:color w:val="auto"/>
        </w:rPr>
        <w:t>. The RSUs shall, to the extent not previously vested, immediately</w:t>
      </w:r>
      <w:r>
        <w:rPr>
          <w:rFonts w:ascii="Arial" w:cs="Arial" w:eastAsia="Arial" w:hAnsi="Arial"/>
          <w:sz w:val="19"/>
          <w:szCs w:val="19"/>
          <w:b w:val="1"/>
          <w:bCs w:val="1"/>
          <w:color w:val="auto"/>
        </w:rPr>
        <w:t xml:space="preserve"> </w:t>
      </w:r>
      <w:r>
        <w:rPr>
          <w:rFonts w:ascii="Arial" w:cs="Arial" w:eastAsia="Arial" w:hAnsi="Arial"/>
          <w:sz w:val="19"/>
          <w:szCs w:val="19"/>
          <w:color w:val="auto"/>
        </w:rPr>
        <w:t>vest in full upon Participant’s cessation of Board service by reason of death, Permanent Disability or Retirement. Upon the resignation from Board service for any other reason by Participant, except in connection with the removal or threatened removal of Participant from the Board in accordance with the Corporation’s Bylaws or the Hawaii Business Corporation Act, the RSUs shall vest on a prorated basis measured by the number of complete months of service as a member of the Board following the Award Date divided by 12 upon Board approval. Should Participant cease Board service for any other reason prior to vesting in one or more RSUs, then any unvested RSUs will be immediately cancelled. Participant shall thereupon cease to have any right or entitlement to receive any Shares under those cancelled RSUs.</w:t>
      </w:r>
    </w:p>
    <w:p>
      <w:pPr>
        <w:spacing w:after="0" w:line="149" w:lineRule="exact"/>
        <w:rPr>
          <w:rFonts w:ascii="Arial" w:cs="Arial" w:eastAsia="Arial" w:hAnsi="Arial"/>
          <w:sz w:val="19"/>
          <w:szCs w:val="19"/>
          <w:color w:val="auto"/>
        </w:rPr>
      </w:pPr>
    </w:p>
    <w:p>
      <w:pPr>
        <w:ind w:left="1960" w:hanging="656"/>
        <w:spacing w:after="0"/>
        <w:tabs>
          <w:tab w:leader="none" w:pos="1960" w:val="left"/>
        </w:tabs>
        <w:numPr>
          <w:ilvl w:val="0"/>
          <w:numId w:val="236"/>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Stockholder Rights and Dividend Equivalents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tabs>
          <w:tab w:leader="none" w:pos="2832" w:val="left"/>
        </w:tabs>
        <w:numPr>
          <w:ilvl w:val="1"/>
          <w:numId w:val="236"/>
        </w:numPr>
        <w:rPr>
          <w:rFonts w:ascii="Arial" w:cs="Arial" w:eastAsia="Arial" w:hAnsi="Arial"/>
          <w:sz w:val="22"/>
          <w:szCs w:val="22"/>
          <w:color w:val="010000"/>
        </w:rPr>
      </w:pPr>
      <w:r>
        <w:rPr>
          <w:rFonts w:ascii="Arial" w:cs="Arial" w:eastAsia="Arial" w:hAnsi="Arial"/>
          <w:sz w:val="22"/>
          <w:szCs w:val="22"/>
          <w:color w:val="auto"/>
        </w:rPr>
        <w:t>Participant shall not have any stockholder rights, including voting, dividend or liquidation rights, with respect to the Shares subject to the Award until Participant becomes the record holder of those Shares following their actual issuance.</w:t>
      </w:r>
    </w:p>
    <w:p>
      <w:pPr>
        <w:spacing w:after="0" w:line="186" w:lineRule="exact"/>
        <w:rPr>
          <w:rFonts w:ascii="Arial" w:cs="Arial" w:eastAsia="Arial" w:hAnsi="Arial"/>
          <w:sz w:val="22"/>
          <w:szCs w:val="22"/>
          <w:color w:val="010000"/>
        </w:rPr>
      </w:pPr>
    </w:p>
    <w:p>
      <w:pPr>
        <w:jc w:val="both"/>
        <w:ind w:firstLine="1952"/>
        <w:spacing w:after="0" w:line="235" w:lineRule="auto"/>
        <w:tabs>
          <w:tab w:leader="none" w:pos="2763" w:val="left"/>
        </w:tabs>
        <w:numPr>
          <w:ilvl w:val="1"/>
          <w:numId w:val="236"/>
        </w:numPr>
        <w:rPr>
          <w:rFonts w:ascii="Arial" w:cs="Arial" w:eastAsia="Arial" w:hAnsi="Arial"/>
          <w:sz w:val="22"/>
          <w:szCs w:val="22"/>
          <w:color w:val="010000"/>
        </w:rPr>
      </w:pPr>
      <w:r>
        <w:rPr>
          <w:rFonts w:ascii="Arial" w:cs="Arial" w:eastAsia="Arial" w:hAnsi="Arial"/>
          <w:sz w:val="22"/>
          <w:szCs w:val="22"/>
          <w:color w:val="auto"/>
        </w:rPr>
        <w:t>Notwithstanding the foregoing, should any dividend or other distribution payable other than in shares of Common Stock be declared and paid on the outstanding Common Stock while one or more Shares remain subject to this Award (i.e., those Shares are not otherwise issued and outstanding for purposes of entitlement to the dividend or distribution), then a special book account shall be established for Participant and credited with a phantom dividend equivalent to the actual dividend or distribution which would have been paid on those Shares had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0" w:right="999" w:bottom="1440" w:gutter="0" w:footer="0" w:header="0"/>
        </w:sectPr>
      </w:pPr>
    </w:p>
    <w:bookmarkStart w:id="204" w:name="page205"/>
    <w:bookmarkEnd w:id="204"/>
    <w:p>
      <w:pPr>
        <w:jc w:val="both"/>
        <w:spacing w:after="0" w:line="271" w:lineRule="auto"/>
        <w:rPr>
          <w:sz w:val="20"/>
          <w:szCs w:val="20"/>
          <w:color w:val="auto"/>
        </w:rPr>
      </w:pPr>
      <w:r>
        <w:rPr>
          <w:rFonts w:ascii="Arial" w:cs="Arial" w:eastAsia="Arial" w:hAnsi="Arial"/>
          <w:sz w:val="19"/>
          <w:szCs w:val="19"/>
          <w:color w:val="auto"/>
        </w:rPr>
        <w:t>they been issued and outstanding and entitled to that dividend or distribution. As the RSUs vest hereunder, the phantom dividend equivalents credited to those Shares underlying such RSUs in the book account shall concurrently vest, and those vested dividend equivalents shall be distributed to Participant (in cash or such other form as the Plan Administrator may deem appropriate in its sole discretion) at that time or at such later time as may be specified in the Participant’s Deferral Election for this Award. Should Participant elect on his or her Deferral Election to defer the Shares but not the phantom dividend equivalents pertaining to those Shares, then any dividend equivalents credited from time to time on those Shares after the date RSUs to which those Shares relate vest shall be paid to Participant within thirty (30) days after the date of the actual dividend or distribution to which those particular dividend equivalents relate. Should the Deferral Election provide for an installment distribution of the Shares and the deferral of the phantom dividend equivalents with respect to those Shares, then any additional amounts that are, during the installment distribution period, credited to the Participant’s special book account hereunder pursuant to the phantom dividend equivalents attributable to the undistributed portion of the Shares shall also be deferred and shall not be paid until the deferred Shares to which those additional amounts pertain are issued in satisfaction of the elected installment distribution. In no event shall such phantom dividend equivalents vest or become distributable unless the RSUs to which they relate vest in accordance with the terms of this Agreement.</w:t>
      </w:r>
    </w:p>
    <w:p>
      <w:pPr>
        <w:spacing w:after="0" w:line="397" w:lineRule="exact"/>
        <w:rPr>
          <w:sz w:val="20"/>
          <w:szCs w:val="20"/>
          <w:color w:val="auto"/>
        </w:rPr>
      </w:pPr>
    </w:p>
    <w:p>
      <w:pPr>
        <w:jc w:val="both"/>
        <w:ind w:firstLine="1304"/>
        <w:spacing w:after="0" w:line="278" w:lineRule="auto"/>
        <w:tabs>
          <w:tab w:leader="none" w:pos="2363" w:val="left"/>
        </w:tabs>
        <w:numPr>
          <w:ilvl w:val="0"/>
          <w:numId w:val="237"/>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color w:val="auto"/>
        </w:rPr>
        <w:t>. The RSUs shall immediately vest in full upon Participant’s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continuation in Board service until the effective date of any Change in Control transaction, and the Shares underlying those vested RSUs shall be issued in accordance with Participant’s Deferral Election. Alternatively, the Participant’s right to the Shares may, pursuant to the terms of the Change in Control transaction, be converted into the right to receive the same consideration per share of Common Stock payable to the other shareholders of the Corporation in consummation of the Change in Control. In such event, the consideration for the Shares shall be distributed to Participant in accordance with the distribution provisions of his or her Deferral Election.</w:t>
      </w:r>
    </w:p>
    <w:p>
      <w:pPr>
        <w:spacing w:after="0" w:line="145" w:lineRule="exact"/>
        <w:rPr>
          <w:rFonts w:ascii="Arial" w:cs="Arial" w:eastAsia="Arial" w:hAnsi="Arial"/>
          <w:sz w:val="19"/>
          <w:szCs w:val="19"/>
          <w:color w:val="auto"/>
        </w:rPr>
      </w:pPr>
    </w:p>
    <w:p>
      <w:pPr>
        <w:jc w:val="both"/>
        <w:ind w:firstLine="1304"/>
        <w:spacing w:after="0" w:line="245" w:lineRule="auto"/>
        <w:tabs>
          <w:tab w:leader="none" w:pos="2093" w:val="left"/>
        </w:tabs>
        <w:numPr>
          <w:ilvl w:val="0"/>
          <w:numId w:val="237"/>
        </w:numPr>
        <w:rPr>
          <w:rFonts w:ascii="Arial" w:cs="Arial" w:eastAsia="Arial" w:hAnsi="Arial"/>
          <w:sz w:val="21"/>
          <w:szCs w:val="21"/>
          <w:color w:val="auto"/>
        </w:rPr>
      </w:pPr>
      <w:r>
        <w:rPr>
          <w:rFonts w:ascii="Arial" w:cs="Arial" w:eastAsia="Arial" w:hAnsi="Arial"/>
          <w:sz w:val="21"/>
          <w:szCs w:val="21"/>
          <w:b w:val="1"/>
          <w:bCs w:val="1"/>
          <w:u w:val="single" w:color="auto"/>
          <w:color w:val="auto"/>
        </w:rPr>
        <w:t>Adjustment in Shares</w:t>
      </w:r>
      <w:r>
        <w:rPr>
          <w:rFonts w:ascii="Arial" w:cs="Arial" w:eastAsia="Arial" w:hAnsi="Arial"/>
          <w:sz w:val="21"/>
          <w:szCs w:val="21"/>
          <w:color w:val="auto"/>
        </w:rPr>
        <w:t>. Should any change be made to the Common Stock by reason of</w:t>
      </w:r>
      <w:r>
        <w:rPr>
          <w:rFonts w:ascii="Arial" w:cs="Arial" w:eastAsia="Arial" w:hAnsi="Arial"/>
          <w:sz w:val="21"/>
          <w:szCs w:val="21"/>
          <w:b w:val="1"/>
          <w:bCs w:val="1"/>
          <w:color w:val="auto"/>
        </w:rPr>
        <w:t xml:space="preserve"> </w:t>
      </w:r>
      <w:r>
        <w:rPr>
          <w:rFonts w:ascii="Arial" w:cs="Arial" w:eastAsia="Arial" w:hAnsi="Arial"/>
          <w:sz w:val="21"/>
          <w:szCs w:val="21"/>
          <w:color w:val="auto"/>
        </w:rPr>
        <w:t>any stock split, stock dividend, recapitalization, combination of shares, exchange of shares, spin-off transaction or other change affecting the outstanding Common Stock as a class without the Corporation’s receipt of consideration, or should the value of the outstanding shares of Common Stock be substantially reduced as a result of a spin-off transaction or an extraordinary dividend or distribution, or should there occur any merger, consolidation or other reorganization, then equitable adjustments shall be made by the Plan Administrator to the total number and/or class of securities issuable pursuant to this Award in order to reflect such change and thereby prevent a dilution or enlargement of benefits hereunder. In making such equitable adjustments, the Plan Administrator shall take into account any amounts to be credited to Participant’s book account under Paragraph 4(b) in connection with the transaction, and the determination of the Plan Administrator shall be final, binding and conclusive.</w:t>
      </w:r>
    </w:p>
    <w:p>
      <w:pPr>
        <w:spacing w:after="0" w:line="177" w:lineRule="exact"/>
        <w:rPr>
          <w:rFonts w:ascii="Arial" w:cs="Arial" w:eastAsia="Arial" w:hAnsi="Arial"/>
          <w:sz w:val="21"/>
          <w:szCs w:val="21"/>
          <w:color w:val="auto"/>
        </w:rPr>
      </w:pPr>
    </w:p>
    <w:p>
      <w:pPr>
        <w:ind w:left="1960" w:hanging="656"/>
        <w:spacing w:after="0"/>
        <w:tabs>
          <w:tab w:leader="none" w:pos="1960" w:val="left"/>
        </w:tabs>
        <w:numPr>
          <w:ilvl w:val="0"/>
          <w:numId w:val="237"/>
        </w:numPr>
        <w:rPr>
          <w:rFonts w:ascii="Arial" w:cs="Arial" w:eastAsia="Arial" w:hAnsi="Arial"/>
          <w:sz w:val="22"/>
          <w:szCs w:val="22"/>
          <w:color w:val="auto"/>
        </w:rPr>
      </w:pPr>
      <w:r>
        <w:rPr>
          <w:rFonts w:ascii="Arial" w:cs="Arial" w:eastAsia="Arial" w:hAnsi="Arial"/>
          <w:sz w:val="22"/>
          <w:szCs w:val="22"/>
          <w:b w:val="1"/>
          <w:bCs w:val="1"/>
          <w:u w:val="single" w:color="auto"/>
          <w:color w:val="auto"/>
        </w:rPr>
        <w:t>Issuance of Shares of Common Stock</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tabs>
          <w:tab w:leader="none" w:pos="2724" w:val="left"/>
        </w:tabs>
        <w:numPr>
          <w:ilvl w:val="1"/>
          <w:numId w:val="237"/>
        </w:numPr>
        <w:rPr>
          <w:rFonts w:ascii="Arial" w:cs="Arial" w:eastAsia="Arial" w:hAnsi="Arial"/>
          <w:sz w:val="22"/>
          <w:szCs w:val="22"/>
          <w:color w:val="010000"/>
        </w:rPr>
      </w:pPr>
      <w:r>
        <w:rPr>
          <w:rFonts w:ascii="Arial" w:cs="Arial" w:eastAsia="Arial" w:hAnsi="Arial"/>
          <w:sz w:val="22"/>
          <w:szCs w:val="22"/>
          <w:color w:val="auto"/>
        </w:rPr>
        <w:t>Except as otherwise provided in Paragraph 5, on each applicable issuance date or dates designated in the Deferral Election for the Shares underlying the RSUs which vest in accordance with the terms of this Agreement, the Corporation shall issue to or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05" w:name="page206"/>
    <w:bookmarkEnd w:id="205"/>
    <w:p>
      <w:pPr>
        <w:jc w:val="both"/>
        <w:spacing w:after="0"/>
        <w:rPr>
          <w:sz w:val="20"/>
          <w:szCs w:val="20"/>
          <w:color w:val="auto"/>
        </w:rPr>
      </w:pPr>
      <w:r>
        <w:rPr>
          <w:rFonts w:ascii="Arial" w:cs="Arial" w:eastAsia="Arial" w:hAnsi="Arial"/>
          <w:sz w:val="22"/>
          <w:szCs w:val="22"/>
          <w:color w:val="auto"/>
        </w:rPr>
        <w:t>behalf of Participant a certificate (which may be in electronic form) for the vested shares of Common Stock to be issued on that date and shall concurrently distribute to Participant any deferred phantom dividend equivalents accumulated with respect to those particular vested Shares.</w:t>
      </w:r>
    </w:p>
    <w:p>
      <w:pPr>
        <w:spacing w:after="0" w:line="186" w:lineRule="exact"/>
        <w:rPr>
          <w:sz w:val="20"/>
          <w:szCs w:val="20"/>
          <w:color w:val="auto"/>
        </w:rPr>
      </w:pPr>
    </w:p>
    <w:p>
      <w:pPr>
        <w:jc w:val="both"/>
        <w:ind w:firstLine="1952"/>
        <w:spacing w:after="0" w:line="236" w:lineRule="auto"/>
        <w:tabs>
          <w:tab w:leader="none" w:pos="2844" w:val="left"/>
        </w:tabs>
        <w:numPr>
          <w:ilvl w:val="1"/>
          <w:numId w:val="238"/>
        </w:numPr>
        <w:rPr>
          <w:rFonts w:ascii="Arial" w:cs="Arial" w:eastAsia="Arial" w:hAnsi="Arial"/>
          <w:sz w:val="22"/>
          <w:szCs w:val="22"/>
          <w:color w:val="010000"/>
        </w:rPr>
      </w:pPr>
      <w:r>
        <w:rPr>
          <w:rFonts w:ascii="Arial" w:cs="Arial" w:eastAsia="Arial" w:hAnsi="Arial"/>
          <w:sz w:val="22"/>
          <w:szCs w:val="22"/>
          <w:color w:val="auto"/>
        </w:rPr>
        <w:t>Except as otherwise provided in Paragraph 5, the settlement of all RSUs units which vest under this Award shall be made solely in shares of Common Stock. In no event, however, shall any fractional shares be issued. Accordingly, the total number of shares of Common Stock to be issued at the time the Award vests shall, to the extent necessary, be rounded up to the next whole share in order to avoid the issuance of a fractional share.</w:t>
      </w:r>
    </w:p>
    <w:p>
      <w:pPr>
        <w:spacing w:after="0" w:line="181" w:lineRule="exact"/>
        <w:rPr>
          <w:rFonts w:ascii="Arial" w:cs="Arial" w:eastAsia="Arial" w:hAnsi="Arial"/>
          <w:sz w:val="22"/>
          <w:szCs w:val="22"/>
          <w:color w:val="010000"/>
        </w:rPr>
      </w:pPr>
    </w:p>
    <w:p>
      <w:pPr>
        <w:ind w:left="1960" w:hanging="656"/>
        <w:spacing w:after="0"/>
        <w:tabs>
          <w:tab w:leader="none" w:pos="1960" w:val="left"/>
        </w:tabs>
        <w:numPr>
          <w:ilvl w:val="0"/>
          <w:numId w:val="239"/>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Laws and Regulations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line="238" w:lineRule="auto"/>
        <w:tabs>
          <w:tab w:leader="none" w:pos="2656" w:val="left"/>
        </w:tabs>
        <w:numPr>
          <w:ilvl w:val="1"/>
          <w:numId w:val="239"/>
        </w:numPr>
        <w:rPr>
          <w:rFonts w:ascii="Arial" w:cs="Arial" w:eastAsia="Arial" w:hAnsi="Arial"/>
          <w:sz w:val="22"/>
          <w:szCs w:val="22"/>
          <w:color w:val="010000"/>
        </w:rPr>
      </w:pPr>
      <w:r>
        <w:rPr>
          <w:rFonts w:ascii="Arial" w:cs="Arial" w:eastAsia="Arial" w:hAnsi="Arial"/>
          <w:sz w:val="22"/>
          <w:szCs w:val="22"/>
          <w:color w:val="auto"/>
        </w:rPr>
        <w:t>The issuance of shares of Common Stock 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84" w:lineRule="exact"/>
        <w:rPr>
          <w:rFonts w:ascii="Arial" w:cs="Arial" w:eastAsia="Arial" w:hAnsi="Arial"/>
          <w:sz w:val="22"/>
          <w:szCs w:val="22"/>
          <w:color w:val="010000"/>
        </w:rPr>
      </w:pPr>
    </w:p>
    <w:p>
      <w:pPr>
        <w:jc w:val="both"/>
        <w:ind w:firstLine="1952"/>
        <w:spacing w:after="0" w:line="236" w:lineRule="auto"/>
        <w:tabs>
          <w:tab w:leader="none" w:pos="2884" w:val="left"/>
        </w:tabs>
        <w:numPr>
          <w:ilvl w:val="1"/>
          <w:numId w:val="239"/>
        </w:numPr>
        <w:rPr>
          <w:rFonts w:ascii="Arial" w:cs="Arial" w:eastAsia="Arial" w:hAnsi="Arial"/>
          <w:sz w:val="22"/>
          <w:szCs w:val="22"/>
          <w:color w:val="010000"/>
        </w:rPr>
      </w:pPr>
      <w:r>
        <w:rPr>
          <w:rFonts w:ascii="Arial" w:cs="Arial" w:eastAsia="Arial" w:hAnsi="Arial"/>
          <w:sz w:val="22"/>
          <w:szCs w:val="22"/>
          <w:color w:val="auto"/>
        </w:rPr>
        <w:t>The inability of the Corporation to obtain approval from any regulatory body having authority deemed by the Corporation to be necessary to the lawful issuance of any Common Stock hereby shall relieve the Corporation of any liability with respect to the non-issuance of the Common Stock as to which such approval shall not have been obtained. The Corporation, however, shall use its best efforts to obtain all such approvals.</w:t>
      </w:r>
    </w:p>
    <w:p>
      <w:pPr>
        <w:spacing w:after="0" w:line="181" w:lineRule="exact"/>
        <w:rPr>
          <w:rFonts w:ascii="Arial" w:cs="Arial" w:eastAsia="Arial" w:hAnsi="Arial"/>
          <w:sz w:val="22"/>
          <w:szCs w:val="22"/>
          <w:color w:val="010000"/>
        </w:rPr>
      </w:pPr>
    </w:p>
    <w:p>
      <w:pPr>
        <w:jc w:val="both"/>
        <w:ind w:firstLine="1304"/>
        <w:spacing w:after="0" w:line="289" w:lineRule="auto"/>
        <w:tabs>
          <w:tab w:leader="none" w:pos="2039" w:val="left"/>
        </w:tabs>
        <w:numPr>
          <w:ilvl w:val="0"/>
          <w:numId w:val="239"/>
        </w:numPr>
        <w:rPr>
          <w:rFonts w:ascii="Arial" w:cs="Arial" w:eastAsia="Arial" w:hAnsi="Arial"/>
          <w:sz w:val="19"/>
          <w:szCs w:val="19"/>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color w:val="auto"/>
        </w:rPr>
        <w:t>. Except to the extent otherwise provided in this Agreement,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35" w:lineRule="exact"/>
        <w:rPr>
          <w:rFonts w:ascii="Arial" w:cs="Arial" w:eastAsia="Arial" w:hAnsi="Arial"/>
          <w:sz w:val="19"/>
          <w:szCs w:val="19"/>
          <w:color w:val="auto"/>
        </w:rPr>
      </w:pPr>
    </w:p>
    <w:p>
      <w:pPr>
        <w:jc w:val="both"/>
        <w:ind w:firstLine="1304"/>
        <w:spacing w:after="0" w:line="283" w:lineRule="auto"/>
        <w:tabs>
          <w:tab w:leader="none" w:pos="1944" w:val="left"/>
        </w:tabs>
        <w:numPr>
          <w:ilvl w:val="0"/>
          <w:numId w:val="239"/>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required to be given or delivered to the Corporation under the terms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in writing and addressed to the Corporation at its principal corporate offices. Any notice required to be given or delivered to Participant shall be in writing and addressed to Participant at the address on file with the Corporation. All notices shall be deemed effective upon personal delivery or upon deposit in the U.S. mail, postage prepaid and properly addressed to the party to be notified.</w:t>
      </w:r>
    </w:p>
    <w:p>
      <w:pPr>
        <w:spacing w:after="0" w:line="142" w:lineRule="exact"/>
        <w:rPr>
          <w:rFonts w:ascii="Arial" w:cs="Arial" w:eastAsia="Arial" w:hAnsi="Arial"/>
          <w:sz w:val="19"/>
          <w:szCs w:val="19"/>
          <w:color w:val="auto"/>
        </w:rPr>
      </w:pPr>
    </w:p>
    <w:p>
      <w:pPr>
        <w:ind w:left="1940" w:hanging="636"/>
        <w:spacing w:after="0"/>
        <w:tabs>
          <w:tab w:leader="none" w:pos="1940" w:val="left"/>
        </w:tabs>
        <w:numPr>
          <w:ilvl w:val="0"/>
          <w:numId w:val="239"/>
        </w:numPr>
        <w:rPr>
          <w:rFonts w:ascii="Arial" w:cs="Arial" w:eastAsia="Arial" w:hAnsi="Arial"/>
          <w:sz w:val="22"/>
          <w:szCs w:val="22"/>
          <w:color w:val="auto"/>
        </w:rPr>
      </w:pPr>
      <w:r>
        <w:rPr>
          <w:rFonts w:ascii="Arial" w:cs="Arial" w:eastAsia="Arial" w:hAnsi="Arial"/>
          <w:sz w:val="22"/>
          <w:szCs w:val="22"/>
          <w:b w:val="1"/>
          <w:bCs w:val="1"/>
          <w:u w:val="single" w:color="auto"/>
          <w:color w:val="auto"/>
        </w:rPr>
        <w:t>Construction</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2"/>
        <w:spacing w:after="0" w:line="238" w:lineRule="auto"/>
        <w:tabs>
          <w:tab w:leader="none" w:pos="2643" w:val="left"/>
        </w:tabs>
        <w:numPr>
          <w:ilvl w:val="1"/>
          <w:numId w:val="239"/>
        </w:numPr>
        <w:rPr>
          <w:rFonts w:ascii="Arial" w:cs="Arial" w:eastAsia="Arial" w:hAnsi="Arial"/>
          <w:sz w:val="22"/>
          <w:szCs w:val="22"/>
          <w:color w:val="010000"/>
        </w:rPr>
      </w:pPr>
      <w:r>
        <w:rPr>
          <w:rFonts w:ascii="Arial" w:cs="Arial" w:eastAsia="Arial" w:hAnsi="Arial"/>
          <w:sz w:val="22"/>
          <w:szCs w:val="22"/>
          <w:color w:val="auto"/>
        </w:rPr>
        <w:t>This Agreement and the Award evidenced hereby are made and granted pursuant to the Plan and are in all respects limited by and subject to the terms of the Plan. All decisions of the Plan Administrator with respect to any question or issue arising under the Plan or this Agreement shall be conclusive and binding on all persons having an interest in the Award.</w:t>
      </w:r>
    </w:p>
    <w:p>
      <w:pPr>
        <w:spacing w:after="0" w:line="184" w:lineRule="exact"/>
        <w:rPr>
          <w:rFonts w:ascii="Arial" w:cs="Arial" w:eastAsia="Arial" w:hAnsi="Arial"/>
          <w:sz w:val="22"/>
          <w:szCs w:val="22"/>
          <w:color w:val="010000"/>
        </w:rPr>
      </w:pPr>
    </w:p>
    <w:p>
      <w:pPr>
        <w:jc w:val="both"/>
        <w:ind w:firstLine="1952"/>
        <w:spacing w:after="0"/>
        <w:tabs>
          <w:tab w:leader="none" w:pos="2668" w:val="left"/>
        </w:tabs>
        <w:numPr>
          <w:ilvl w:val="1"/>
          <w:numId w:val="239"/>
        </w:numPr>
        <w:rPr>
          <w:rFonts w:ascii="Arial" w:cs="Arial" w:eastAsia="Arial" w:hAnsi="Arial"/>
          <w:sz w:val="22"/>
          <w:szCs w:val="22"/>
          <w:color w:val="010000"/>
        </w:rPr>
      </w:pPr>
      <w:r>
        <w:rPr>
          <w:rFonts w:ascii="Arial" w:cs="Arial" w:eastAsia="Arial" w:hAnsi="Arial"/>
          <w:sz w:val="22"/>
          <w:szCs w:val="22"/>
          <w:color w:val="auto"/>
        </w:rPr>
        <w:t>To the extent there is any ambiguity as to whether any provision of this Agreement would otherwise contravene one or more applicable requirements or limitations of Section 409A of the Code (“Section 409A”) and the Treasury Regulations thereunder,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06" w:name="page207"/>
    <w:bookmarkEnd w:id="206"/>
    <w:p>
      <w:pPr>
        <w:spacing w:after="0" w:line="250" w:lineRule="auto"/>
        <w:rPr>
          <w:sz w:val="20"/>
          <w:szCs w:val="20"/>
          <w:color w:val="auto"/>
        </w:rPr>
      </w:pPr>
      <w:r>
        <w:rPr>
          <w:rFonts w:ascii="Arial" w:cs="Arial" w:eastAsia="Arial" w:hAnsi="Arial"/>
          <w:sz w:val="22"/>
          <w:szCs w:val="22"/>
          <w:color w:val="auto"/>
        </w:rPr>
        <w:t>provision shall be interpreted and applied in a manner that complies with the applicable requirements of Section 409A and the Treasury Regulations thereunder.</w:t>
      </w:r>
    </w:p>
    <w:p>
      <w:pPr>
        <w:spacing w:after="0" w:line="175" w:lineRule="exact"/>
        <w:rPr>
          <w:sz w:val="20"/>
          <w:szCs w:val="20"/>
          <w:color w:val="auto"/>
        </w:rPr>
      </w:pPr>
    </w:p>
    <w:p>
      <w:pPr>
        <w:jc w:val="both"/>
        <w:ind w:firstLine="1952"/>
        <w:spacing w:after="0" w:line="235" w:lineRule="auto"/>
        <w:tabs>
          <w:tab w:leader="none" w:pos="2710" w:val="left"/>
        </w:tabs>
        <w:numPr>
          <w:ilvl w:val="1"/>
          <w:numId w:val="240"/>
        </w:numPr>
        <w:rPr>
          <w:rFonts w:ascii="Arial" w:cs="Arial" w:eastAsia="Arial" w:hAnsi="Arial"/>
          <w:sz w:val="22"/>
          <w:szCs w:val="22"/>
          <w:color w:val="010000"/>
        </w:rPr>
      </w:pPr>
      <w:r>
        <w:rPr>
          <w:rFonts w:ascii="Arial" w:cs="Arial" w:eastAsia="Arial" w:hAnsi="Arial"/>
          <w:sz w:val="22"/>
          <w:szCs w:val="22"/>
          <w:color w:val="auto"/>
        </w:rPr>
        <w:t>This Agreement shall not in any way affect the right of the Corporation to adjust, reclassify, reorganize or otherwise make changes in its capital or business structure or to merge, consolidate, dissolve, liquidate or sell or transfer all or any part of its business or assets. In addition, this Agreement shall not in any way be construed or interpreted so as to affect adversely or otherwise impair the right of the Corporation or its shareholders to remove Participant from the Board at any time in accordance with the provisions of applicable law.</w:t>
      </w:r>
    </w:p>
    <w:p>
      <w:pPr>
        <w:spacing w:after="0" w:line="181" w:lineRule="exact"/>
        <w:rPr>
          <w:rFonts w:ascii="Arial" w:cs="Arial" w:eastAsia="Arial" w:hAnsi="Arial"/>
          <w:sz w:val="22"/>
          <w:szCs w:val="22"/>
          <w:color w:val="010000"/>
        </w:rPr>
      </w:pPr>
    </w:p>
    <w:p>
      <w:pPr>
        <w:ind w:firstLine="1304"/>
        <w:spacing w:after="0" w:line="280" w:lineRule="auto"/>
        <w:tabs>
          <w:tab w:leader="none" w:pos="1944" w:val="left"/>
        </w:tabs>
        <w:numPr>
          <w:ilvl w:val="0"/>
          <w:numId w:val="241"/>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The interpretation, performance and enforcement of this Agreement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 governed by the laws of the State of Hawaii without resort to that State’s conflict-of-laws rules.</w:t>
      </w:r>
    </w:p>
    <w:p>
      <w:pPr>
        <w:spacing w:after="0" w:line="138" w:lineRule="exact"/>
        <w:rPr>
          <w:rFonts w:ascii="Arial" w:cs="Arial" w:eastAsia="Arial" w:hAnsi="Arial"/>
          <w:sz w:val="21"/>
          <w:szCs w:val="21"/>
          <w:color w:val="auto"/>
        </w:rPr>
      </w:pPr>
    </w:p>
    <w:p>
      <w:pPr>
        <w:jc w:val="both"/>
        <w:ind w:firstLine="1304"/>
        <w:spacing w:after="0" w:line="237" w:lineRule="auto"/>
        <w:tabs>
          <w:tab w:leader="none" w:pos="2322" w:val="left"/>
        </w:tabs>
        <w:numPr>
          <w:ilvl w:val="0"/>
          <w:numId w:val="241"/>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 Compliance</w:t>
      </w:r>
      <w:r>
        <w:rPr>
          <w:rFonts w:ascii="Arial" w:cs="Arial" w:eastAsia="Arial" w:hAnsi="Arial"/>
          <w:sz w:val="22"/>
          <w:szCs w:val="22"/>
          <w:color w:val="auto"/>
        </w:rPr>
        <w:t>. Notwithstanding any provision to the contrary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the extent this Award may be deemed to create a deferred compensation arrangement under Section 409A, then Participant’s right to receive each installment of Shares or other installment distribution pursuant to the terms of this Agreement shall, for purposes of Section 409A, be treated as a right to receive a series of separate payments.</w:t>
      </w:r>
    </w:p>
    <w:p>
      <w:pPr>
        <w:spacing w:after="0" w:line="182" w:lineRule="exact"/>
        <w:rPr>
          <w:sz w:val="20"/>
          <w:szCs w:val="20"/>
          <w:color w:val="auto"/>
        </w:rPr>
      </w:pPr>
    </w:p>
    <w:p>
      <w:pPr>
        <w:ind w:right="220" w:firstLine="1296"/>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as of the Award Date first</w:t>
      </w:r>
      <w:r>
        <w:rPr>
          <w:rFonts w:ascii="Arial" w:cs="Arial" w:eastAsia="Arial" w:hAnsi="Arial"/>
          <w:sz w:val="22"/>
          <w:szCs w:val="22"/>
          <w:b w:val="1"/>
          <w:bCs w:val="1"/>
          <w:color w:val="auto"/>
        </w:rPr>
        <w:t xml:space="preserve"> </w:t>
      </w:r>
      <w:r>
        <w:rPr>
          <w:rFonts w:ascii="Arial" w:cs="Arial" w:eastAsia="Arial" w:hAnsi="Arial"/>
          <w:sz w:val="22"/>
          <w:szCs w:val="22"/>
          <w:color w:val="auto"/>
        </w:rPr>
        <w:t>indicated above.</w:t>
      </w:r>
    </w:p>
    <w:p>
      <w:pPr>
        <w:spacing w:after="0" w:line="176"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MATSON, INC.</w:t>
      </w:r>
    </w:p>
    <w:p>
      <w:pPr>
        <w:spacing w:after="0" w:line="200" w:lineRule="exact"/>
        <w:rPr>
          <w:sz w:val="20"/>
          <w:szCs w:val="20"/>
          <w:color w:val="auto"/>
        </w:rPr>
      </w:pPr>
    </w:p>
    <w:p>
      <w:pPr>
        <w:spacing w:after="0" w:line="282"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6985</wp:posOffset>
            </wp:positionV>
            <wp:extent cx="257175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27" w:lineRule="exact"/>
        <w:rPr>
          <w:sz w:val="20"/>
          <w:szCs w:val="20"/>
          <w:color w:val="auto"/>
        </w:rPr>
      </w:pPr>
    </w:p>
    <w:p>
      <w:pPr>
        <w:ind w:left="4960"/>
        <w:spacing w:after="0"/>
        <w:tabs>
          <w:tab w:leader="none" w:pos="58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6985</wp:posOffset>
            </wp:positionV>
            <wp:extent cx="257175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82"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6985</wp:posOffset>
            </wp:positionV>
            <wp:extent cx="257175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07" w:name="page208"/>
    <w:bookmarkEnd w:id="207"/>
    <w:p>
      <w:pPr>
        <w:ind w:left="4300"/>
        <w:spacing w:after="0"/>
        <w:rPr>
          <w:sz w:val="20"/>
          <w:szCs w:val="20"/>
          <w:color w:val="auto"/>
        </w:rPr>
      </w:pPr>
      <w:r>
        <w:rPr>
          <w:rFonts w:ascii="Arial" w:cs="Arial" w:eastAsia="Arial" w:hAnsi="Arial"/>
          <w:sz w:val="22"/>
          <w:szCs w:val="22"/>
          <w:b w:val="1"/>
          <w:bCs w:val="1"/>
          <w:color w:val="auto"/>
        </w:rPr>
        <w:t>APPENDIX A</w:t>
      </w:r>
    </w:p>
    <w:p>
      <w:pPr>
        <w:spacing w:after="0" w:line="14" w:lineRule="exact"/>
        <w:rPr>
          <w:sz w:val="20"/>
          <w:szCs w:val="20"/>
          <w:color w:val="auto"/>
        </w:rPr>
      </w:pPr>
    </w:p>
    <w:p>
      <w:pPr>
        <w:ind w:left="424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00" w:lineRule="exact"/>
        <w:rPr>
          <w:sz w:val="20"/>
          <w:szCs w:val="20"/>
          <w:color w:val="auto"/>
        </w:rPr>
      </w:pPr>
    </w:p>
    <w:p>
      <w:pPr>
        <w:ind w:left="1940" w:hanging="636"/>
        <w:spacing w:after="0"/>
        <w:tabs>
          <w:tab w:leader="none" w:pos="1940" w:val="left"/>
        </w:tabs>
        <w:numPr>
          <w:ilvl w:val="0"/>
          <w:numId w:val="242"/>
        </w:numPr>
        <w:rPr>
          <w:rFonts w:ascii="Arial" w:cs="Arial" w:eastAsia="Arial" w:hAnsi="Arial"/>
          <w:sz w:val="22"/>
          <w:szCs w:val="22"/>
          <w:color w:val="auto"/>
        </w:rPr>
      </w:pPr>
      <w:r>
        <w:rPr>
          <w:rFonts w:ascii="Arial" w:cs="Arial" w:eastAsia="Arial" w:hAnsi="Arial"/>
          <w:sz w:val="20"/>
          <w:szCs w:val="20"/>
          <w:b w:val="1"/>
          <w:bCs w:val="1"/>
          <w:u w:val="single" w:color="auto"/>
          <w:color w:val="auto"/>
        </w:rPr>
        <w:t>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mean this Restricted Stock Unit Award Agreement.</w:t>
      </w:r>
    </w:p>
    <w:p>
      <w:pPr>
        <w:spacing w:after="0" w:line="206" w:lineRule="exact"/>
        <w:rPr>
          <w:rFonts w:ascii="Arial" w:cs="Arial" w:eastAsia="Arial" w:hAnsi="Arial"/>
          <w:sz w:val="22"/>
          <w:szCs w:val="22"/>
          <w:color w:val="auto"/>
        </w:rPr>
      </w:pPr>
    </w:p>
    <w:p>
      <w:pPr>
        <w:ind w:left="1980" w:hanging="676"/>
        <w:spacing w:after="0"/>
        <w:tabs>
          <w:tab w:leader="none" w:pos="1980" w:val="left"/>
        </w:tabs>
        <w:numPr>
          <w:ilvl w:val="0"/>
          <w:numId w:val="242"/>
        </w:numPr>
        <w:rPr>
          <w:rFonts w:ascii="Arial" w:cs="Arial" w:eastAsia="Arial" w:hAnsi="Arial"/>
          <w:sz w:val="19"/>
          <w:szCs w:val="19"/>
          <w:color w:val="auto"/>
        </w:rPr>
      </w:pPr>
      <w:r>
        <w:rPr>
          <w:rFonts w:ascii="Arial" w:cs="Arial" w:eastAsia="Arial" w:hAnsi="Arial"/>
          <w:sz w:val="18"/>
          <w:szCs w:val="18"/>
          <w:b w:val="1"/>
          <w:bCs w:val="1"/>
          <w:u w:val="single" w:color="auto"/>
          <w:color w:val="auto"/>
        </w:rPr>
        <w:t>Award</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award of restricted stock units made to Participant pursuant to the terms of</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this Agreement.</w:t>
      </w:r>
    </w:p>
    <w:p>
      <w:pPr>
        <w:spacing w:after="0" w:line="207" w:lineRule="exact"/>
        <w:rPr>
          <w:sz w:val="20"/>
          <w:szCs w:val="20"/>
          <w:color w:val="auto"/>
        </w:rPr>
      </w:pPr>
    </w:p>
    <w:p>
      <w:pPr>
        <w:ind w:right="20" w:firstLine="1304"/>
        <w:spacing w:after="0" w:line="243" w:lineRule="auto"/>
        <w:tabs>
          <w:tab w:leader="none" w:pos="1980" w:val="left"/>
        </w:tabs>
        <w:numPr>
          <w:ilvl w:val="0"/>
          <w:numId w:val="243"/>
        </w:numPr>
        <w:rPr>
          <w:rFonts w:ascii="Arial" w:cs="Arial" w:eastAsia="Arial" w:hAnsi="Arial"/>
          <w:sz w:val="22"/>
          <w:szCs w:val="22"/>
          <w:color w:val="auto"/>
        </w:rPr>
      </w:pPr>
      <w:r>
        <w:rPr>
          <w:rFonts w:ascii="Arial" w:cs="Arial" w:eastAsia="Arial" w:hAnsi="Arial"/>
          <w:sz w:val="20"/>
          <w:szCs w:val="20"/>
          <w:b w:val="1"/>
          <w:bCs w:val="1"/>
          <w:u w:val="single" w:color="auto"/>
          <w:color w:val="auto"/>
        </w:rPr>
        <w:t>Award Date</w:t>
      </w:r>
      <w:r>
        <w:rPr>
          <w:rFonts w:ascii="Arial" w:cs="Arial" w:eastAsia="Arial" w:hAnsi="Arial"/>
          <w:sz w:val="20"/>
          <w:szCs w:val="20"/>
          <w:b w:val="1"/>
          <w:bCs w:val="1"/>
          <w:color w:val="auto"/>
        </w:rPr>
        <w:t xml:space="preserve"> </w:t>
      </w:r>
      <w:r>
        <w:rPr>
          <w:rFonts w:ascii="Arial" w:cs="Arial" w:eastAsia="Arial" w:hAnsi="Arial"/>
          <w:sz w:val="20"/>
          <w:szCs w:val="20"/>
          <w:color w:val="auto"/>
        </w:rPr>
        <w:t>shall mean the date the restricted stock units are awarded to Participant pursuant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shall be the date indicated in Paragraph 1 of the Agreement.</w:t>
      </w:r>
    </w:p>
    <w:p>
      <w:pPr>
        <w:spacing w:after="0" w:line="199" w:lineRule="exact"/>
        <w:rPr>
          <w:rFonts w:ascii="Arial" w:cs="Arial" w:eastAsia="Arial" w:hAnsi="Arial"/>
          <w:sz w:val="22"/>
          <w:szCs w:val="22"/>
          <w:color w:val="auto"/>
        </w:rPr>
      </w:pPr>
    </w:p>
    <w:p>
      <w:pPr>
        <w:ind w:firstLine="1304"/>
        <w:spacing w:after="0" w:line="276" w:lineRule="auto"/>
        <w:tabs>
          <w:tab w:leader="none" w:pos="1938" w:val="left"/>
        </w:tabs>
        <w:numPr>
          <w:ilvl w:val="0"/>
          <w:numId w:val="243"/>
        </w:numPr>
        <w:rPr>
          <w:rFonts w:ascii="Arial" w:cs="Arial" w:eastAsia="Arial" w:hAnsi="Arial"/>
          <w:sz w:val="19"/>
          <w:szCs w:val="19"/>
          <w:color w:val="auto"/>
        </w:rPr>
      </w:pPr>
      <w:r>
        <w:rPr>
          <w:rFonts w:ascii="Arial" w:cs="Arial" w:eastAsia="Arial" w:hAnsi="Arial"/>
          <w:sz w:val="18"/>
          <w:szCs w:val="18"/>
          <w:b w:val="1"/>
          <w:bCs w:val="1"/>
          <w:u w:val="single" w:color="auto"/>
          <w:color w:val="auto"/>
        </w:rPr>
        <w:t>Deferral 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election made by Participant, prior to the start of the calendar year</w:t>
      </w:r>
      <w:r>
        <w:rPr>
          <w:rFonts w:ascii="Arial" w:cs="Arial" w:eastAsia="Arial" w:hAnsi="Arial"/>
          <w:sz w:val="18"/>
          <w:szCs w:val="18"/>
          <w:b w:val="1"/>
          <w:bCs w:val="1"/>
          <w:color w:val="auto"/>
        </w:rPr>
        <w:t xml:space="preserve"> </w:t>
      </w:r>
      <w:r>
        <w:rPr>
          <w:rFonts w:ascii="Arial" w:cs="Arial" w:eastAsia="Arial" w:hAnsi="Arial"/>
          <w:sz w:val="18"/>
          <w:szCs w:val="18"/>
          <w:color w:val="auto"/>
        </w:rPr>
        <w:t>in which this Award is made, in which Participant has, in accordance with the applicable requirements of Code Section 409A and the Treasury Regulations thereunder, designated a deferred commencement date or event for the issuance of the Shares in which he or she vests under this Award and the method of issuance (lump sum or installment) for those vested and deferred Shares and any deferred phantom dividend equivalents pertaining to those Shares.</w:t>
      </w:r>
    </w:p>
    <w:p>
      <w:pPr>
        <w:spacing w:after="0" w:line="173" w:lineRule="exact"/>
        <w:rPr>
          <w:rFonts w:ascii="Arial" w:cs="Arial" w:eastAsia="Arial" w:hAnsi="Arial"/>
          <w:sz w:val="19"/>
          <w:szCs w:val="19"/>
          <w:color w:val="auto"/>
        </w:rPr>
      </w:pPr>
    </w:p>
    <w:p>
      <w:pPr>
        <w:ind w:right="180" w:firstLine="1304"/>
        <w:spacing w:after="0" w:line="243" w:lineRule="auto"/>
        <w:tabs>
          <w:tab w:leader="none" w:pos="1968" w:val="left"/>
        </w:tabs>
        <w:numPr>
          <w:ilvl w:val="0"/>
          <w:numId w:val="243"/>
        </w:numPr>
        <w:rPr>
          <w:rFonts w:ascii="Arial" w:cs="Arial" w:eastAsia="Arial" w:hAnsi="Arial"/>
          <w:sz w:val="22"/>
          <w:szCs w:val="22"/>
          <w:color w:val="auto"/>
        </w:rPr>
      </w:pPr>
      <w:r>
        <w:rPr>
          <w:rFonts w:ascii="Arial" w:cs="Arial" w:eastAsia="Arial" w:hAnsi="Arial"/>
          <w:sz w:val="20"/>
          <w:szCs w:val="20"/>
          <w:b w:val="1"/>
          <w:bCs w:val="1"/>
          <w:u w:val="single" w:color="auto"/>
          <w:color w:val="auto"/>
        </w:rPr>
        <w:t>Participant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mean the non-employee Board member to whom the Award is made pursuant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Automatic Grant Program.</w:t>
      </w:r>
    </w:p>
    <w:p>
      <w:pPr>
        <w:spacing w:after="0" w:line="199" w:lineRule="exact"/>
        <w:rPr>
          <w:rFonts w:ascii="Arial" w:cs="Arial" w:eastAsia="Arial" w:hAnsi="Arial"/>
          <w:sz w:val="22"/>
          <w:szCs w:val="22"/>
          <w:color w:val="auto"/>
        </w:rPr>
      </w:pPr>
    </w:p>
    <w:p>
      <w:pPr>
        <w:ind w:right="120" w:firstLine="1304"/>
        <w:spacing w:after="0" w:line="241" w:lineRule="auto"/>
        <w:tabs>
          <w:tab w:leader="none" w:pos="1939" w:val="left"/>
        </w:tabs>
        <w:numPr>
          <w:ilvl w:val="0"/>
          <w:numId w:val="243"/>
        </w:numPr>
        <w:rPr>
          <w:rFonts w:ascii="Arial" w:cs="Arial" w:eastAsia="Arial" w:hAnsi="Arial"/>
          <w:sz w:val="22"/>
          <w:szCs w:val="22"/>
          <w:color w:val="auto"/>
        </w:rPr>
      </w:pPr>
      <w:r>
        <w:rPr>
          <w:rFonts w:ascii="Arial" w:cs="Arial" w:eastAsia="Arial" w:hAnsi="Arial"/>
          <w:sz w:val="20"/>
          <w:szCs w:val="20"/>
          <w:b w:val="1"/>
          <w:bCs w:val="1"/>
          <w:u w:val="single" w:color="auto"/>
          <w:color w:val="auto"/>
        </w:rPr>
        <w:t>Permanent Disability</w:t>
      </w:r>
      <w:r>
        <w:rPr>
          <w:rFonts w:ascii="Arial" w:cs="Arial" w:eastAsia="Arial" w:hAnsi="Arial"/>
          <w:sz w:val="20"/>
          <w:szCs w:val="20"/>
          <w:b w:val="1"/>
          <w:bCs w:val="1"/>
          <w:color w:val="auto"/>
        </w:rPr>
        <w:t xml:space="preserve"> </w:t>
      </w:r>
      <w:r>
        <w:rPr>
          <w:rFonts w:ascii="Arial" w:cs="Arial" w:eastAsia="Arial" w:hAnsi="Arial"/>
          <w:sz w:val="20"/>
          <w:szCs w:val="20"/>
          <w:color w:val="auto"/>
        </w:rPr>
        <w:t>shall mean the inability of Participant to perform his or her usual duties as a</w:t>
      </w:r>
      <w:r>
        <w:rPr>
          <w:rFonts w:ascii="Arial" w:cs="Arial" w:eastAsia="Arial" w:hAnsi="Arial"/>
          <w:sz w:val="20"/>
          <w:szCs w:val="20"/>
          <w:b w:val="1"/>
          <w:bCs w:val="1"/>
          <w:color w:val="auto"/>
        </w:rPr>
        <w:t xml:space="preserve"> </w:t>
      </w:r>
      <w:r>
        <w:rPr>
          <w:rFonts w:ascii="Arial" w:cs="Arial" w:eastAsia="Arial" w:hAnsi="Arial"/>
          <w:sz w:val="20"/>
          <w:szCs w:val="20"/>
          <w:color w:val="auto"/>
        </w:rPr>
        <w:t>Board member by reason of any medically determinable physical or mental impairment expected to result in death or to be of continuous duration of twelve (12) months or more.</w:t>
      </w:r>
    </w:p>
    <w:p>
      <w:pPr>
        <w:spacing w:after="0" w:line="202" w:lineRule="exact"/>
        <w:rPr>
          <w:rFonts w:ascii="Arial" w:cs="Arial" w:eastAsia="Arial" w:hAnsi="Arial"/>
          <w:sz w:val="22"/>
          <w:szCs w:val="22"/>
          <w:color w:val="auto"/>
        </w:rPr>
      </w:pPr>
    </w:p>
    <w:p>
      <w:pPr>
        <w:ind w:left="1940" w:hanging="636"/>
        <w:spacing w:after="0"/>
        <w:tabs>
          <w:tab w:leader="none" w:pos="1940" w:val="left"/>
        </w:tabs>
        <w:numPr>
          <w:ilvl w:val="0"/>
          <w:numId w:val="243"/>
        </w:numPr>
        <w:rPr>
          <w:rFonts w:ascii="Arial" w:cs="Arial" w:eastAsia="Arial" w:hAnsi="Arial"/>
          <w:sz w:val="19"/>
          <w:szCs w:val="19"/>
          <w:color w:val="auto"/>
        </w:rPr>
      </w:pPr>
      <w:r>
        <w:rPr>
          <w:rFonts w:ascii="Arial" w:cs="Arial" w:eastAsia="Arial" w:hAnsi="Arial"/>
          <w:sz w:val="18"/>
          <w:szCs w:val="18"/>
          <w:b w:val="1"/>
          <w:bCs w:val="1"/>
          <w:u w:val="single" w:color="auto"/>
          <w:color w:val="auto"/>
        </w:rPr>
        <w:t>Plan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Corporation’s 2016 Incentive Compensation Plan, as amended from time to</w:t>
      </w:r>
    </w:p>
    <w:p>
      <w:pPr>
        <w:spacing w:after="0" w:line="3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time.</w:t>
      </w:r>
    </w:p>
    <w:p>
      <w:pPr>
        <w:spacing w:after="0" w:line="207" w:lineRule="exact"/>
        <w:rPr>
          <w:rFonts w:ascii="Arial" w:cs="Arial" w:eastAsia="Arial" w:hAnsi="Arial"/>
          <w:sz w:val="19"/>
          <w:szCs w:val="19"/>
          <w:color w:val="auto"/>
        </w:rPr>
      </w:pPr>
    </w:p>
    <w:p>
      <w:pPr>
        <w:ind w:right="700" w:firstLine="1304"/>
        <w:spacing w:after="0" w:line="243" w:lineRule="auto"/>
        <w:tabs>
          <w:tab w:leader="none" w:pos="1938" w:val="left"/>
        </w:tabs>
        <w:numPr>
          <w:ilvl w:val="0"/>
          <w:numId w:val="243"/>
        </w:numPr>
        <w:rPr>
          <w:rFonts w:ascii="Arial" w:cs="Arial" w:eastAsia="Arial" w:hAnsi="Arial"/>
          <w:sz w:val="22"/>
          <w:szCs w:val="22"/>
          <w:color w:val="auto"/>
        </w:rPr>
      </w:pPr>
      <w:r>
        <w:rPr>
          <w:rFonts w:ascii="Arial" w:cs="Arial" w:eastAsia="Arial" w:hAnsi="Arial"/>
          <w:sz w:val="20"/>
          <w:szCs w:val="20"/>
          <w:b w:val="1"/>
          <w:bCs w:val="1"/>
          <w:u w:val="single" w:color="auto"/>
          <w:color w:val="auto"/>
        </w:rPr>
        <w:t>Retirement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mean the cessation of Board service by reason of retirement at or after the</w:t>
      </w:r>
      <w:r>
        <w:rPr>
          <w:rFonts w:ascii="Arial" w:cs="Arial" w:eastAsia="Arial" w:hAnsi="Arial"/>
          <w:sz w:val="20"/>
          <w:szCs w:val="20"/>
          <w:b w:val="1"/>
          <w:bCs w:val="1"/>
          <w:color w:val="auto"/>
        </w:rPr>
        <w:t xml:space="preserve"> </w:t>
      </w:r>
      <w:r>
        <w:rPr>
          <w:rFonts w:ascii="Arial" w:cs="Arial" w:eastAsia="Arial" w:hAnsi="Arial"/>
          <w:sz w:val="20"/>
          <w:szCs w:val="20"/>
          <w:color w:val="auto"/>
        </w:rPr>
        <w:t>attainment of age seventy-five (75).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w:t>
      </w:r>
      <w:r>
        <w:rPr>
          <w:rFonts w:ascii="Arial" w:cs="Arial" w:eastAsia="Arial" w:hAnsi="Arial"/>
          <w:sz w:val="14"/>
          <w:szCs w:val="14"/>
          <w:color w:val="auto"/>
        </w:rPr>
        <w:t>PPENDIX</w:t>
      </w:r>
      <w:r>
        <w:rPr>
          <w:rFonts w:ascii="Arial" w:cs="Arial" w:eastAsia="Arial" w:hAnsi="Arial"/>
          <w:sz w:val="22"/>
          <w:szCs w:val="22"/>
          <w:color w:val="auto"/>
        </w:rPr>
        <w:t xml:space="preserv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08" w:name="page209"/>
    <w:bookmarkEnd w:id="208"/>
    <w:p>
      <w:pPr>
        <w:ind w:left="7960"/>
        <w:spacing w:after="0"/>
        <w:rPr>
          <w:sz w:val="20"/>
          <w:szCs w:val="20"/>
          <w:color w:val="auto"/>
        </w:rPr>
      </w:pPr>
      <w:r>
        <w:rPr>
          <w:rFonts w:ascii="Arial" w:cs="Arial" w:eastAsia="Arial" w:hAnsi="Arial"/>
          <w:sz w:val="18"/>
          <w:szCs w:val="18"/>
          <w:b w:val="1"/>
          <w:bCs w:val="1"/>
          <w:color w:val="auto"/>
        </w:rPr>
        <w:t>EXHIBIT 21</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2720" w:type="dxa"/>
            <w:vAlign w:val="bottom"/>
            <w:gridSpan w:val="2"/>
          </w:tcPr>
          <w:p>
            <w:pPr>
              <w:jc w:val="center"/>
              <w:ind w:right="1480"/>
              <w:spacing w:after="0"/>
              <w:rPr>
                <w:sz w:val="20"/>
                <w:szCs w:val="20"/>
                <w:color w:val="auto"/>
              </w:rPr>
            </w:pPr>
            <w:r>
              <w:rPr>
                <w:rFonts w:ascii="Arial" w:cs="Arial" w:eastAsia="Arial" w:hAnsi="Arial"/>
                <w:sz w:val="18"/>
                <w:szCs w:val="18"/>
                <w:b w:val="1"/>
                <w:bCs w:val="1"/>
                <w:color w:val="auto"/>
                <w:w w:val="99"/>
              </w:rPr>
              <w:t>MATSON, INC.</w:t>
            </w: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560" w:type="dxa"/>
            <w:vAlign w:val="bottom"/>
            <w:gridSpan w:val="3"/>
          </w:tcPr>
          <w:p>
            <w:pPr>
              <w:jc w:val="center"/>
              <w:ind w:left="2274"/>
              <w:spacing w:after="0"/>
              <w:rPr>
                <w:sz w:val="20"/>
                <w:szCs w:val="20"/>
                <w:color w:val="auto"/>
              </w:rPr>
            </w:pPr>
            <w:r>
              <w:rPr>
                <w:rFonts w:ascii="Arial" w:cs="Arial" w:eastAsia="Arial" w:hAnsi="Arial"/>
                <w:sz w:val="18"/>
                <w:szCs w:val="18"/>
                <w:b w:val="1"/>
                <w:bCs w:val="1"/>
                <w:color w:val="auto"/>
                <w:w w:val="88"/>
              </w:rPr>
              <w:t>Subsidiaries as of December 31, 2020</w:t>
            </w: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ABHI-Crockett, Inc.</w:t>
            </w:r>
          </w:p>
        </w:tc>
        <w:tc>
          <w:tcPr>
            <w:tcW w:w="2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Hawaii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20"/>
              <w:spacing w:after="0"/>
              <w:rPr>
                <w:sz w:val="20"/>
                <w:szCs w:val="20"/>
                <w:color w:val="auto"/>
              </w:rPr>
            </w:pPr>
            <w:r>
              <w:rPr>
                <w:rFonts w:ascii="Arial" w:cs="Arial" w:eastAsia="Arial" w:hAnsi="Arial"/>
                <w:sz w:val="17"/>
                <w:szCs w:val="17"/>
                <w:color w:val="auto"/>
              </w:rPr>
              <w:t>Matson Navigation Company, Inc.</w:t>
            </w:r>
          </w:p>
        </w:tc>
        <w:tc>
          <w:tcPr>
            <w:tcW w:w="2340" w:type="dxa"/>
            <w:vAlign w:val="bottom"/>
          </w:tcPr>
          <w:p>
            <w:pPr>
              <w:ind w:left="660"/>
              <w:spacing w:after="0"/>
              <w:rPr>
                <w:sz w:val="20"/>
                <w:szCs w:val="20"/>
                <w:color w:val="auto"/>
              </w:rPr>
            </w:pPr>
            <w:r>
              <w:rPr>
                <w:rFonts w:ascii="Arial" w:cs="Arial" w:eastAsia="Arial" w:hAnsi="Arial"/>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Subsidiaries:</w:t>
            </w:r>
          </w:p>
        </w:tc>
        <w:tc>
          <w:tcPr>
            <w:tcW w:w="2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380"/>
              <w:spacing w:after="0"/>
              <w:rPr>
                <w:sz w:val="20"/>
                <w:szCs w:val="20"/>
                <w:color w:val="auto"/>
              </w:rPr>
            </w:pPr>
            <w:r>
              <w:rPr>
                <w:rFonts w:ascii="Arial" w:cs="Arial" w:eastAsia="Arial" w:hAnsi="Arial"/>
                <w:sz w:val="17"/>
                <w:szCs w:val="17"/>
                <w:color w:val="auto"/>
              </w:rPr>
              <w:t>Matson Alaska, Inc.</w:t>
            </w:r>
          </w:p>
        </w:tc>
        <w:tc>
          <w:tcPr>
            <w:tcW w:w="2340" w:type="dxa"/>
            <w:vAlign w:val="bottom"/>
          </w:tcPr>
          <w:p>
            <w:pPr>
              <w:ind w:left="66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ind w:left="560"/>
              <w:spacing w:after="0"/>
              <w:rPr>
                <w:sz w:val="20"/>
                <w:szCs w:val="20"/>
                <w:color w:val="auto"/>
              </w:rPr>
            </w:pPr>
            <w:r>
              <w:rPr>
                <w:rFonts w:ascii="Arial" w:cs="Arial" w:eastAsia="Arial" w:hAnsi="Arial"/>
                <w:sz w:val="17"/>
                <w:szCs w:val="17"/>
                <w:color w:val="auto"/>
              </w:rPr>
              <w:t>Subsidiaries:</w:t>
            </w:r>
          </w:p>
        </w:tc>
        <w:tc>
          <w:tcPr>
            <w:tcW w:w="2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740"/>
              <w:spacing w:after="0"/>
              <w:rPr>
                <w:sz w:val="20"/>
                <w:szCs w:val="20"/>
                <w:color w:val="auto"/>
              </w:rPr>
            </w:pPr>
            <w:r>
              <w:rPr>
                <w:rFonts w:ascii="Arial" w:cs="Arial" w:eastAsia="Arial" w:hAnsi="Arial"/>
                <w:sz w:val="17"/>
                <w:szCs w:val="17"/>
                <w:color w:val="auto"/>
              </w:rPr>
              <w:t>Horizon Lines Holding Corp.</w:t>
            </w:r>
          </w:p>
        </w:tc>
        <w:tc>
          <w:tcPr>
            <w:tcW w:w="2340" w:type="dxa"/>
            <w:vAlign w:val="bottom"/>
          </w:tcPr>
          <w:p>
            <w:pPr>
              <w:ind w:left="66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ind w:left="960"/>
              <w:spacing w:after="0"/>
              <w:rPr>
                <w:sz w:val="20"/>
                <w:szCs w:val="20"/>
                <w:color w:val="auto"/>
              </w:rPr>
            </w:pPr>
            <w:r>
              <w:rPr>
                <w:rFonts w:ascii="Arial" w:cs="Arial" w:eastAsia="Arial" w:hAnsi="Arial"/>
                <w:sz w:val="17"/>
                <w:szCs w:val="17"/>
                <w:color w:val="auto"/>
              </w:rPr>
              <w:t>Subsidiaries:</w:t>
            </w:r>
          </w:p>
        </w:tc>
        <w:tc>
          <w:tcPr>
            <w:tcW w:w="2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1300"/>
              <w:spacing w:after="0"/>
              <w:rPr>
                <w:sz w:val="20"/>
                <w:szCs w:val="20"/>
                <w:color w:val="auto"/>
              </w:rPr>
            </w:pPr>
            <w:r>
              <w:rPr>
                <w:rFonts w:ascii="Arial" w:cs="Arial" w:eastAsia="Arial" w:hAnsi="Arial"/>
                <w:sz w:val="17"/>
                <w:szCs w:val="17"/>
                <w:color w:val="auto"/>
              </w:rPr>
              <w:t>Horizon Lines of Puerto Rico, LLC</w:t>
            </w:r>
          </w:p>
        </w:tc>
        <w:tc>
          <w:tcPr>
            <w:tcW w:w="2340" w:type="dxa"/>
            <w:vAlign w:val="bottom"/>
          </w:tcPr>
          <w:p>
            <w:pPr>
              <w:ind w:left="66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ind w:left="1300"/>
              <w:spacing w:after="0"/>
              <w:rPr>
                <w:sz w:val="20"/>
                <w:szCs w:val="20"/>
                <w:color w:val="auto"/>
              </w:rPr>
            </w:pPr>
            <w:r>
              <w:rPr>
                <w:rFonts w:ascii="Arial" w:cs="Arial" w:eastAsia="Arial" w:hAnsi="Arial"/>
                <w:sz w:val="17"/>
                <w:szCs w:val="17"/>
                <w:color w:val="auto"/>
              </w:rPr>
              <w:t>HLPR Holding Corp.</w:t>
            </w:r>
          </w:p>
        </w:tc>
        <w:tc>
          <w:tcPr>
            <w:tcW w:w="2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1300"/>
              <w:spacing w:after="0"/>
              <w:rPr>
                <w:sz w:val="20"/>
                <w:szCs w:val="20"/>
                <w:color w:val="auto"/>
              </w:rPr>
            </w:pPr>
            <w:r>
              <w:rPr>
                <w:rFonts w:ascii="Arial" w:cs="Arial" w:eastAsia="Arial" w:hAnsi="Arial"/>
                <w:sz w:val="17"/>
                <w:szCs w:val="17"/>
                <w:color w:val="auto"/>
              </w:rPr>
              <w:t>Horizon Logistics, LLC</w:t>
            </w:r>
          </w:p>
        </w:tc>
        <w:tc>
          <w:tcPr>
            <w:tcW w:w="2340" w:type="dxa"/>
            <w:vAlign w:val="bottom"/>
          </w:tcPr>
          <w:p>
            <w:pPr>
              <w:ind w:left="66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ind w:left="1620"/>
              <w:spacing w:after="0"/>
              <w:rPr>
                <w:sz w:val="20"/>
                <w:szCs w:val="20"/>
                <w:color w:val="auto"/>
              </w:rPr>
            </w:pPr>
            <w:r>
              <w:rPr>
                <w:rFonts w:ascii="Arial" w:cs="Arial" w:eastAsia="Arial" w:hAnsi="Arial"/>
                <w:sz w:val="17"/>
                <w:szCs w:val="17"/>
                <w:color w:val="auto"/>
              </w:rPr>
              <w:t>Subsidiaries:</w:t>
            </w:r>
          </w:p>
        </w:tc>
        <w:tc>
          <w:tcPr>
            <w:tcW w:w="2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1960"/>
              <w:spacing w:after="0"/>
              <w:rPr>
                <w:sz w:val="20"/>
                <w:szCs w:val="20"/>
                <w:color w:val="auto"/>
              </w:rPr>
            </w:pPr>
            <w:r>
              <w:rPr>
                <w:rFonts w:ascii="Arial" w:cs="Arial" w:eastAsia="Arial" w:hAnsi="Arial"/>
                <w:sz w:val="17"/>
                <w:szCs w:val="17"/>
                <w:color w:val="auto"/>
              </w:rPr>
              <w:t>Horizon Services Group, LLC</w:t>
            </w:r>
          </w:p>
        </w:tc>
        <w:tc>
          <w:tcPr>
            <w:tcW w:w="2340" w:type="dxa"/>
            <w:vAlign w:val="bottom"/>
          </w:tcPr>
          <w:p>
            <w:pPr>
              <w:ind w:left="66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ind w:left="1960"/>
              <w:spacing w:after="0"/>
              <w:rPr>
                <w:sz w:val="20"/>
                <w:szCs w:val="20"/>
                <w:color w:val="auto"/>
              </w:rPr>
            </w:pPr>
            <w:r>
              <w:rPr>
                <w:rFonts w:ascii="Arial" w:cs="Arial" w:eastAsia="Arial" w:hAnsi="Arial"/>
                <w:sz w:val="17"/>
                <w:szCs w:val="17"/>
                <w:color w:val="auto"/>
              </w:rPr>
              <w:t>Aero Logistics, LLC</w:t>
            </w:r>
          </w:p>
        </w:tc>
        <w:tc>
          <w:tcPr>
            <w:tcW w:w="2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1300"/>
              <w:spacing w:after="0"/>
              <w:rPr>
                <w:sz w:val="20"/>
                <w:szCs w:val="20"/>
                <w:color w:val="auto"/>
              </w:rPr>
            </w:pPr>
            <w:r>
              <w:rPr>
                <w:rFonts w:ascii="Arial" w:cs="Arial" w:eastAsia="Arial" w:hAnsi="Arial"/>
                <w:sz w:val="17"/>
                <w:szCs w:val="17"/>
                <w:color w:val="auto"/>
              </w:rPr>
              <w:t>Horizon Lines, LLC</w:t>
            </w:r>
          </w:p>
        </w:tc>
        <w:tc>
          <w:tcPr>
            <w:tcW w:w="2340" w:type="dxa"/>
            <w:vAlign w:val="bottom"/>
          </w:tcPr>
          <w:p>
            <w:pPr>
              <w:ind w:left="66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60" w:type="dxa"/>
            <w:vAlign w:val="bottom"/>
            <w:gridSpan w:val="3"/>
            <w:shd w:val="clear" w:color="auto" w:fill="CCEEFF"/>
          </w:tcPr>
          <w:p>
            <w:pPr>
              <w:ind w:left="1620"/>
              <w:spacing w:after="0"/>
              <w:rPr>
                <w:sz w:val="20"/>
                <w:szCs w:val="20"/>
                <w:color w:val="auto"/>
              </w:rPr>
            </w:pPr>
            <w:r>
              <w:rPr>
                <w:rFonts w:ascii="Arial" w:cs="Arial" w:eastAsia="Arial" w:hAnsi="Arial"/>
                <w:sz w:val="17"/>
                <w:szCs w:val="17"/>
                <w:color w:val="auto"/>
              </w:rPr>
              <w:t>Subsidiaries:</w:t>
            </w:r>
          </w:p>
        </w:tc>
        <w:tc>
          <w:tcPr>
            <w:tcW w:w="2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1960"/>
              <w:spacing w:after="0"/>
              <w:rPr>
                <w:sz w:val="20"/>
                <w:szCs w:val="20"/>
                <w:color w:val="auto"/>
              </w:rPr>
            </w:pPr>
            <w:r>
              <w:rPr>
                <w:rFonts w:ascii="Arial" w:cs="Arial" w:eastAsia="Arial" w:hAnsi="Arial"/>
                <w:sz w:val="17"/>
                <w:szCs w:val="17"/>
                <w:color w:val="auto"/>
              </w:rPr>
              <w:t>Horizon Lines of Guam, LLC</w:t>
            </w:r>
          </w:p>
        </w:tc>
        <w:tc>
          <w:tcPr>
            <w:tcW w:w="2340" w:type="dxa"/>
            <w:vAlign w:val="bottom"/>
          </w:tcPr>
          <w:p>
            <w:pPr>
              <w:ind w:left="66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ind w:left="1960"/>
              <w:spacing w:after="0"/>
              <w:rPr>
                <w:sz w:val="20"/>
                <w:szCs w:val="20"/>
                <w:color w:val="auto"/>
              </w:rPr>
            </w:pPr>
            <w:r>
              <w:rPr>
                <w:rFonts w:ascii="Arial" w:cs="Arial" w:eastAsia="Arial" w:hAnsi="Arial"/>
                <w:sz w:val="17"/>
                <w:szCs w:val="17"/>
                <w:color w:val="auto"/>
              </w:rPr>
              <w:t>Horizon Lines Vessels, LLC</w:t>
            </w:r>
          </w:p>
        </w:tc>
        <w:tc>
          <w:tcPr>
            <w:tcW w:w="2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1960"/>
              <w:spacing w:after="0"/>
              <w:rPr>
                <w:sz w:val="20"/>
                <w:szCs w:val="20"/>
                <w:color w:val="auto"/>
              </w:rPr>
            </w:pPr>
            <w:r>
              <w:rPr>
                <w:rFonts w:ascii="Arial" w:cs="Arial" w:eastAsia="Arial" w:hAnsi="Arial"/>
                <w:sz w:val="17"/>
                <w:szCs w:val="17"/>
                <w:color w:val="auto"/>
              </w:rPr>
              <w:t>H-L Distribution Service, LLC</w:t>
            </w:r>
          </w:p>
        </w:tc>
        <w:tc>
          <w:tcPr>
            <w:tcW w:w="2340" w:type="dxa"/>
            <w:vAlign w:val="bottom"/>
          </w:tcPr>
          <w:p>
            <w:pPr>
              <w:ind w:left="66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ind w:left="1960"/>
              <w:spacing w:after="0"/>
              <w:rPr>
                <w:sz w:val="20"/>
                <w:szCs w:val="20"/>
                <w:color w:val="auto"/>
              </w:rPr>
            </w:pPr>
            <w:r>
              <w:rPr>
                <w:rFonts w:ascii="Arial" w:cs="Arial" w:eastAsia="Arial" w:hAnsi="Arial"/>
                <w:sz w:val="17"/>
                <w:szCs w:val="17"/>
                <w:color w:val="auto"/>
              </w:rPr>
              <w:t>Matson Navigation Company of Alaska, LLC</w:t>
            </w:r>
          </w:p>
        </w:tc>
        <w:tc>
          <w:tcPr>
            <w:tcW w:w="2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2440"/>
              <w:spacing w:after="0"/>
              <w:rPr>
                <w:sz w:val="20"/>
                <w:szCs w:val="20"/>
                <w:color w:val="auto"/>
              </w:rPr>
            </w:pPr>
            <w:r>
              <w:rPr>
                <w:rFonts w:ascii="Arial" w:cs="Arial" w:eastAsia="Arial" w:hAnsi="Arial"/>
                <w:sz w:val="17"/>
                <w:szCs w:val="17"/>
                <w:color w:val="auto"/>
              </w:rPr>
              <w:t>Subsidiaries:</w:t>
            </w: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ind w:left="2600"/>
              <w:spacing w:after="0"/>
              <w:rPr>
                <w:sz w:val="20"/>
                <w:szCs w:val="20"/>
                <w:color w:val="auto"/>
              </w:rPr>
            </w:pPr>
            <w:r>
              <w:rPr>
                <w:rFonts w:ascii="Arial" w:cs="Arial" w:eastAsia="Arial" w:hAnsi="Arial"/>
                <w:sz w:val="17"/>
                <w:szCs w:val="17"/>
                <w:color w:val="auto"/>
              </w:rPr>
              <w:t>Horizon Lines Merchant Vessels, LLC</w:t>
            </w:r>
          </w:p>
        </w:tc>
        <w:tc>
          <w:tcPr>
            <w:tcW w:w="2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3080"/>
              <w:spacing w:after="0"/>
              <w:rPr>
                <w:sz w:val="20"/>
                <w:szCs w:val="20"/>
                <w:color w:val="auto"/>
              </w:rPr>
            </w:pPr>
            <w:r>
              <w:rPr>
                <w:rFonts w:ascii="Arial" w:cs="Arial" w:eastAsia="Arial" w:hAnsi="Arial"/>
                <w:sz w:val="17"/>
                <w:szCs w:val="17"/>
                <w:color w:val="auto"/>
              </w:rPr>
              <w:t>Subsidiaries:</w:t>
            </w: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jc w:val="center"/>
              <w:ind w:left="2314"/>
              <w:spacing w:after="0"/>
              <w:rPr>
                <w:sz w:val="20"/>
                <w:szCs w:val="20"/>
                <w:color w:val="auto"/>
              </w:rPr>
            </w:pPr>
            <w:r>
              <w:rPr>
                <w:rFonts w:ascii="Arial" w:cs="Arial" w:eastAsia="Arial" w:hAnsi="Arial"/>
                <w:sz w:val="17"/>
                <w:szCs w:val="17"/>
                <w:color w:val="auto"/>
                <w:w w:val="92"/>
              </w:rPr>
              <w:t>Horizon Lines Alaska Vessels, LLC</w:t>
            </w:r>
          </w:p>
        </w:tc>
        <w:tc>
          <w:tcPr>
            <w:tcW w:w="2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3260"/>
              <w:spacing w:after="0"/>
              <w:rPr>
                <w:sz w:val="20"/>
                <w:szCs w:val="20"/>
                <w:color w:val="auto"/>
              </w:rPr>
            </w:pPr>
            <w:r>
              <w:rPr>
                <w:rFonts w:ascii="Arial" w:cs="Arial" w:eastAsia="Arial" w:hAnsi="Arial"/>
                <w:sz w:val="17"/>
                <w:szCs w:val="17"/>
                <w:color w:val="auto"/>
              </w:rPr>
              <w:t>Horizon Lines Alaska Terminals, LLC</w:t>
            </w:r>
          </w:p>
        </w:tc>
        <w:tc>
          <w:tcPr>
            <w:tcW w:w="2340" w:type="dxa"/>
            <w:vAlign w:val="bottom"/>
          </w:tcPr>
          <w:p>
            <w:pPr>
              <w:ind w:left="66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Matson Logistics, Inc.</w:t>
            </w:r>
          </w:p>
        </w:tc>
        <w:tc>
          <w:tcPr>
            <w:tcW w:w="2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560"/>
              <w:spacing w:after="0"/>
              <w:rPr>
                <w:sz w:val="20"/>
                <w:szCs w:val="20"/>
                <w:color w:val="auto"/>
              </w:rPr>
            </w:pPr>
            <w:r>
              <w:rPr>
                <w:rFonts w:ascii="Arial" w:cs="Arial" w:eastAsia="Arial" w:hAnsi="Arial"/>
                <w:sz w:val="17"/>
                <w:szCs w:val="17"/>
                <w:color w:val="auto"/>
              </w:rPr>
              <w:t>Subsidiaries:</w:t>
            </w: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rPr>
              <w:t>Matson Logistics Services, LLC</w:t>
            </w:r>
          </w:p>
        </w:tc>
        <w:tc>
          <w:tcPr>
            <w:tcW w:w="2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740"/>
              <w:spacing w:after="0"/>
              <w:rPr>
                <w:sz w:val="20"/>
                <w:szCs w:val="20"/>
                <w:color w:val="auto"/>
              </w:rPr>
            </w:pPr>
            <w:r>
              <w:rPr>
                <w:rFonts w:ascii="Arial" w:cs="Arial" w:eastAsia="Arial" w:hAnsi="Arial"/>
                <w:sz w:val="17"/>
                <w:szCs w:val="17"/>
                <w:color w:val="auto"/>
              </w:rPr>
              <w:t>Matson Logistics Warehousing, Inc.</w:t>
            </w:r>
          </w:p>
        </w:tc>
        <w:tc>
          <w:tcPr>
            <w:tcW w:w="2340" w:type="dxa"/>
            <w:vAlign w:val="bottom"/>
          </w:tcPr>
          <w:p>
            <w:pPr>
              <w:ind w:left="660"/>
              <w:spacing w:after="0"/>
              <w:rPr>
                <w:sz w:val="20"/>
                <w:szCs w:val="20"/>
                <w:color w:val="auto"/>
              </w:rPr>
            </w:pPr>
            <w:r>
              <w:rPr>
                <w:rFonts w:ascii="Arial" w:cs="Arial" w:eastAsia="Arial" w:hAnsi="Arial"/>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rPr>
              <w:t>Span Intermediate, LLC</w:t>
            </w:r>
          </w:p>
        </w:tc>
        <w:tc>
          <w:tcPr>
            <w:tcW w:w="2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960"/>
              <w:spacing w:after="0"/>
              <w:rPr>
                <w:sz w:val="20"/>
                <w:szCs w:val="20"/>
                <w:color w:val="auto"/>
              </w:rPr>
            </w:pPr>
            <w:r>
              <w:rPr>
                <w:rFonts w:ascii="Arial" w:cs="Arial" w:eastAsia="Arial" w:hAnsi="Arial"/>
                <w:sz w:val="17"/>
                <w:szCs w:val="17"/>
                <w:color w:val="auto"/>
              </w:rPr>
              <w:t>Subsidiary:</w:t>
            </w: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ind w:left="1300"/>
              <w:spacing w:after="0"/>
              <w:rPr>
                <w:sz w:val="20"/>
                <w:szCs w:val="20"/>
                <w:color w:val="auto"/>
              </w:rPr>
            </w:pPr>
            <w:r>
              <w:rPr>
                <w:rFonts w:ascii="Arial" w:cs="Arial" w:eastAsia="Arial" w:hAnsi="Arial"/>
                <w:sz w:val="17"/>
                <w:szCs w:val="17"/>
                <w:color w:val="auto"/>
              </w:rPr>
              <w:t>Span Acquisition Co., LLC</w:t>
            </w:r>
          </w:p>
        </w:tc>
        <w:tc>
          <w:tcPr>
            <w:tcW w:w="2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1620"/>
              <w:spacing w:after="0"/>
              <w:rPr>
                <w:sz w:val="20"/>
                <w:szCs w:val="20"/>
                <w:color w:val="auto"/>
              </w:rPr>
            </w:pPr>
            <w:r>
              <w:rPr>
                <w:rFonts w:ascii="Arial" w:cs="Arial" w:eastAsia="Arial" w:hAnsi="Arial"/>
                <w:sz w:val="17"/>
                <w:szCs w:val="17"/>
                <w:color w:val="auto"/>
              </w:rPr>
              <w:t>Subsidiaries:</w:t>
            </w: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ind w:left="1960"/>
              <w:spacing w:after="0"/>
              <w:rPr>
                <w:sz w:val="20"/>
                <w:szCs w:val="20"/>
                <w:color w:val="auto"/>
              </w:rPr>
            </w:pPr>
            <w:r>
              <w:rPr>
                <w:rFonts w:ascii="Arial" w:cs="Arial" w:eastAsia="Arial" w:hAnsi="Arial"/>
                <w:sz w:val="17"/>
                <w:szCs w:val="17"/>
                <w:color w:val="auto"/>
              </w:rPr>
              <w:t>Span-Alaska Transportation, LLC</w:t>
            </w:r>
          </w:p>
        </w:tc>
        <w:tc>
          <w:tcPr>
            <w:tcW w:w="2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Washington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1960"/>
              <w:spacing w:after="0"/>
              <w:rPr>
                <w:sz w:val="20"/>
                <w:szCs w:val="20"/>
                <w:color w:val="auto"/>
              </w:rPr>
            </w:pPr>
            <w:r>
              <w:rPr>
                <w:rFonts w:ascii="Arial" w:cs="Arial" w:eastAsia="Arial" w:hAnsi="Arial"/>
                <w:sz w:val="17"/>
                <w:szCs w:val="17"/>
                <w:color w:val="auto"/>
              </w:rPr>
              <w:t>Alaska Freight Express, LLC</w:t>
            </w:r>
          </w:p>
        </w:tc>
        <w:tc>
          <w:tcPr>
            <w:tcW w:w="2340" w:type="dxa"/>
            <w:vAlign w:val="bottom"/>
          </w:tcPr>
          <w:p>
            <w:pPr>
              <w:ind w:left="660"/>
              <w:spacing w:after="0"/>
              <w:rPr>
                <w:sz w:val="20"/>
                <w:szCs w:val="20"/>
                <w:color w:val="auto"/>
              </w:rPr>
            </w:pPr>
            <w:r>
              <w:rPr>
                <w:rFonts w:ascii="Arial" w:cs="Arial" w:eastAsia="Arial" w:hAnsi="Arial"/>
                <w:sz w:val="17"/>
                <w:szCs w:val="17"/>
                <w:color w:val="auto"/>
              </w:rPr>
              <w:t>Washington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ind w:left="1960"/>
              <w:spacing w:after="0"/>
              <w:rPr>
                <w:sz w:val="20"/>
                <w:szCs w:val="20"/>
                <w:color w:val="auto"/>
              </w:rPr>
            </w:pPr>
            <w:r>
              <w:rPr>
                <w:rFonts w:ascii="Arial" w:cs="Arial" w:eastAsia="Arial" w:hAnsi="Arial"/>
                <w:sz w:val="17"/>
                <w:szCs w:val="17"/>
                <w:color w:val="auto"/>
              </w:rPr>
              <w:t>Midnight Sun Transportation Services, LLC</w:t>
            </w:r>
          </w:p>
        </w:tc>
        <w:tc>
          <w:tcPr>
            <w:tcW w:w="2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Alaska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380"/>
              <w:spacing w:after="0"/>
              <w:rPr>
                <w:sz w:val="20"/>
                <w:szCs w:val="20"/>
                <w:color w:val="auto"/>
              </w:rPr>
            </w:pPr>
            <w:r>
              <w:rPr>
                <w:rFonts w:ascii="Arial" w:cs="Arial" w:eastAsia="Arial" w:hAnsi="Arial"/>
                <w:sz w:val="17"/>
                <w:szCs w:val="17"/>
                <w:color w:val="auto"/>
              </w:rPr>
              <w:t>Matson Logistics Limited</w:t>
            </w:r>
          </w:p>
        </w:tc>
        <w:tc>
          <w:tcPr>
            <w:tcW w:w="2340" w:type="dxa"/>
            <w:vAlign w:val="bottom"/>
          </w:tcPr>
          <w:p>
            <w:pPr>
              <w:ind w:left="660"/>
              <w:spacing w:after="0"/>
              <w:rPr>
                <w:sz w:val="20"/>
                <w:szCs w:val="20"/>
                <w:color w:val="auto"/>
              </w:rPr>
            </w:pPr>
            <w:r>
              <w:rPr>
                <w:rFonts w:ascii="Arial" w:cs="Arial" w:eastAsia="Arial" w:hAnsi="Arial"/>
                <w:sz w:val="17"/>
                <w:szCs w:val="17"/>
                <w:color w:val="auto"/>
              </w:rPr>
              <w:t>Hong Kong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Matson Navigation Vessels, LLC</w:t>
            </w:r>
          </w:p>
        </w:tc>
        <w:tc>
          <w:tcPr>
            <w:tcW w:w="2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380"/>
              <w:spacing w:after="0"/>
              <w:rPr>
                <w:sz w:val="20"/>
                <w:szCs w:val="20"/>
                <w:color w:val="auto"/>
              </w:rPr>
            </w:pPr>
            <w:r>
              <w:rPr>
                <w:rFonts w:ascii="Arial" w:cs="Arial" w:eastAsia="Arial" w:hAnsi="Arial"/>
                <w:sz w:val="17"/>
                <w:szCs w:val="17"/>
                <w:color w:val="auto"/>
              </w:rPr>
              <w:t>Matson Terminals, Inc.</w:t>
            </w:r>
          </w:p>
        </w:tc>
        <w:tc>
          <w:tcPr>
            <w:tcW w:w="2340" w:type="dxa"/>
            <w:vAlign w:val="bottom"/>
          </w:tcPr>
          <w:p>
            <w:pPr>
              <w:ind w:left="660"/>
              <w:spacing w:after="0"/>
              <w:rPr>
                <w:sz w:val="20"/>
                <w:szCs w:val="20"/>
                <w:color w:val="auto"/>
              </w:rPr>
            </w:pPr>
            <w:r>
              <w:rPr>
                <w:rFonts w:ascii="Arial" w:cs="Arial" w:eastAsia="Arial" w:hAnsi="Arial"/>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Matson Ventures, Inc.</w:t>
            </w:r>
          </w:p>
        </w:tc>
        <w:tc>
          <w:tcPr>
            <w:tcW w:w="2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380"/>
              <w:spacing w:after="0"/>
              <w:rPr>
                <w:sz w:val="20"/>
                <w:szCs w:val="20"/>
                <w:color w:val="auto"/>
              </w:rPr>
            </w:pPr>
            <w:r>
              <w:rPr>
                <w:rFonts w:ascii="Arial" w:cs="Arial" w:eastAsia="Arial" w:hAnsi="Arial"/>
                <w:sz w:val="17"/>
                <w:szCs w:val="17"/>
                <w:color w:val="auto"/>
              </w:rPr>
              <w:t>Matson Logistics (Shanghai) Co., Ltd.</w:t>
            </w:r>
          </w:p>
        </w:tc>
        <w:tc>
          <w:tcPr>
            <w:tcW w:w="2340" w:type="dxa"/>
            <w:vAlign w:val="bottom"/>
          </w:tcPr>
          <w:p>
            <w:pPr>
              <w:ind w:left="660"/>
              <w:spacing w:after="0"/>
              <w:rPr>
                <w:sz w:val="20"/>
                <w:szCs w:val="20"/>
                <w:color w:val="auto"/>
              </w:rPr>
            </w:pPr>
            <w:r>
              <w:rPr>
                <w:rFonts w:ascii="Arial" w:cs="Arial" w:eastAsia="Arial" w:hAnsi="Arial"/>
                <w:sz w:val="17"/>
                <w:szCs w:val="17"/>
                <w:color w:val="auto"/>
              </w:rPr>
              <w:t>China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Matson Shipping (Hong Kong) Limited</w:t>
            </w:r>
          </w:p>
        </w:tc>
        <w:tc>
          <w:tcPr>
            <w:tcW w:w="2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Hong Kong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380"/>
              <w:spacing w:after="0"/>
              <w:rPr>
                <w:sz w:val="20"/>
                <w:szCs w:val="20"/>
                <w:color w:val="auto"/>
              </w:rPr>
            </w:pPr>
            <w:r>
              <w:rPr>
                <w:rFonts w:ascii="Arial" w:cs="Arial" w:eastAsia="Arial" w:hAnsi="Arial"/>
                <w:sz w:val="17"/>
                <w:szCs w:val="17"/>
                <w:color w:val="auto"/>
              </w:rPr>
              <w:t>Matson Shipping (Shanghai) Co., Ltd.</w:t>
            </w:r>
          </w:p>
        </w:tc>
        <w:tc>
          <w:tcPr>
            <w:tcW w:w="2340" w:type="dxa"/>
            <w:vAlign w:val="bottom"/>
          </w:tcPr>
          <w:p>
            <w:pPr>
              <w:ind w:left="660"/>
              <w:spacing w:after="0"/>
              <w:rPr>
                <w:sz w:val="20"/>
                <w:szCs w:val="20"/>
                <w:color w:val="auto"/>
              </w:rPr>
            </w:pPr>
            <w:r>
              <w:rPr>
                <w:rFonts w:ascii="Arial" w:cs="Arial" w:eastAsia="Arial" w:hAnsi="Arial"/>
                <w:sz w:val="17"/>
                <w:szCs w:val="17"/>
                <w:color w:val="auto"/>
              </w:rPr>
              <w:t>China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Matson South Pacific Holdco Limited</w:t>
            </w:r>
          </w:p>
        </w:tc>
        <w:tc>
          <w:tcPr>
            <w:tcW w:w="2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New Zealand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560"/>
              <w:spacing w:after="0"/>
              <w:rPr>
                <w:sz w:val="20"/>
                <w:szCs w:val="20"/>
                <w:color w:val="auto"/>
              </w:rPr>
            </w:pPr>
            <w:r>
              <w:rPr>
                <w:rFonts w:ascii="Arial" w:cs="Arial" w:eastAsia="Arial" w:hAnsi="Arial"/>
                <w:sz w:val="17"/>
                <w:szCs w:val="17"/>
                <w:color w:val="auto"/>
              </w:rPr>
              <w:t>Subsidiary:</w:t>
            </w: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rPr>
              <w:t>Matson South Pacific Limited</w:t>
            </w:r>
          </w:p>
        </w:tc>
        <w:tc>
          <w:tcPr>
            <w:tcW w:w="2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New Zealand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920"/>
              <w:spacing w:after="0"/>
              <w:rPr>
                <w:sz w:val="20"/>
                <w:szCs w:val="20"/>
                <w:color w:val="auto"/>
              </w:rPr>
            </w:pPr>
            <w:r>
              <w:rPr>
                <w:rFonts w:ascii="Arial" w:cs="Arial" w:eastAsia="Arial" w:hAnsi="Arial"/>
                <w:sz w:val="17"/>
                <w:szCs w:val="17"/>
                <w:color w:val="auto"/>
              </w:rPr>
              <w:t>Subsidiaries:</w:t>
            </w: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ind w:left="1300"/>
              <w:spacing w:after="0"/>
              <w:rPr>
                <w:sz w:val="20"/>
                <w:szCs w:val="20"/>
                <w:color w:val="auto"/>
              </w:rPr>
            </w:pPr>
            <w:r>
              <w:rPr>
                <w:rFonts w:ascii="Arial" w:cs="Arial" w:eastAsia="Arial" w:hAnsi="Arial"/>
                <w:sz w:val="17"/>
                <w:szCs w:val="17"/>
                <w:color w:val="auto"/>
              </w:rPr>
              <w:t>Matson Cook Islands Limited</w:t>
            </w:r>
          </w:p>
        </w:tc>
        <w:tc>
          <w:tcPr>
            <w:tcW w:w="2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Cook Islands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1300"/>
              <w:spacing w:after="0"/>
              <w:rPr>
                <w:sz w:val="20"/>
                <w:szCs w:val="20"/>
                <w:color w:val="auto"/>
              </w:rPr>
            </w:pPr>
            <w:r>
              <w:rPr>
                <w:rFonts w:ascii="Arial" w:cs="Arial" w:eastAsia="Arial" w:hAnsi="Arial"/>
                <w:sz w:val="17"/>
                <w:szCs w:val="17"/>
                <w:color w:val="auto"/>
              </w:rPr>
              <w:t>Tranz Pacific Ship Management Limited</w:t>
            </w:r>
          </w:p>
        </w:tc>
        <w:tc>
          <w:tcPr>
            <w:tcW w:w="2340" w:type="dxa"/>
            <w:vAlign w:val="bottom"/>
          </w:tcPr>
          <w:p>
            <w:pPr>
              <w:ind w:left="660"/>
              <w:spacing w:after="0"/>
              <w:rPr>
                <w:sz w:val="20"/>
                <w:szCs w:val="20"/>
                <w:color w:val="auto"/>
              </w:rPr>
            </w:pPr>
            <w:r>
              <w:rPr>
                <w:rFonts w:ascii="Arial" w:cs="Arial" w:eastAsia="Arial" w:hAnsi="Arial"/>
                <w:sz w:val="17"/>
                <w:szCs w:val="17"/>
                <w:color w:val="auto"/>
              </w:rPr>
              <w:t>New Zealand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ind w:left="1300"/>
              <w:spacing w:after="0"/>
              <w:rPr>
                <w:sz w:val="20"/>
                <w:szCs w:val="20"/>
                <w:color w:val="auto"/>
              </w:rPr>
            </w:pPr>
            <w:r>
              <w:rPr>
                <w:rFonts w:ascii="Arial" w:cs="Arial" w:eastAsia="Arial" w:hAnsi="Arial"/>
                <w:sz w:val="17"/>
                <w:szCs w:val="17"/>
                <w:color w:val="auto"/>
              </w:rPr>
              <w:t>Island Chief Shipping Limited</w:t>
            </w:r>
          </w:p>
        </w:tc>
        <w:tc>
          <w:tcPr>
            <w:tcW w:w="2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Antigua &amp; Barbuda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tcPr>
          <w:p>
            <w:pPr>
              <w:ind w:left="1300"/>
              <w:spacing w:after="0"/>
              <w:rPr>
                <w:sz w:val="20"/>
                <w:szCs w:val="20"/>
                <w:color w:val="auto"/>
              </w:rPr>
            </w:pPr>
            <w:r>
              <w:rPr>
                <w:rFonts w:ascii="Arial" w:cs="Arial" w:eastAsia="Arial" w:hAnsi="Arial"/>
                <w:sz w:val="17"/>
                <w:szCs w:val="17"/>
                <w:color w:val="auto"/>
              </w:rPr>
              <w:t>Liloa II Shipping Limited</w:t>
            </w:r>
          </w:p>
        </w:tc>
        <w:tc>
          <w:tcPr>
            <w:tcW w:w="2340" w:type="dxa"/>
            <w:vAlign w:val="bottom"/>
          </w:tcPr>
          <w:p>
            <w:pPr>
              <w:ind w:left="660"/>
              <w:spacing w:after="0"/>
              <w:rPr>
                <w:sz w:val="20"/>
                <w:szCs w:val="20"/>
                <w:color w:val="auto"/>
              </w:rPr>
            </w:pPr>
            <w:r>
              <w:rPr>
                <w:rFonts w:ascii="Arial" w:cs="Arial" w:eastAsia="Arial" w:hAnsi="Arial"/>
                <w:sz w:val="17"/>
                <w:szCs w:val="17"/>
                <w:color w:val="auto"/>
              </w:rPr>
              <w:t>Antigua &amp; Barbuda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3"/>
            <w:shd w:val="clear" w:color="auto" w:fill="CCEEFF"/>
          </w:tcPr>
          <w:p>
            <w:pPr>
              <w:ind w:left="1300"/>
              <w:spacing w:after="0"/>
              <w:rPr>
                <w:sz w:val="20"/>
                <w:szCs w:val="20"/>
                <w:color w:val="auto"/>
              </w:rPr>
            </w:pPr>
            <w:r>
              <w:rPr>
                <w:rFonts w:ascii="Arial" w:cs="Arial" w:eastAsia="Arial" w:hAnsi="Arial"/>
                <w:sz w:val="17"/>
                <w:szCs w:val="17"/>
                <w:color w:val="auto"/>
              </w:rPr>
              <w:t>Olomana Shipping Limited</w:t>
            </w:r>
          </w:p>
        </w:tc>
        <w:tc>
          <w:tcPr>
            <w:tcW w:w="23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Antigua &amp; Barbuda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3"/>
        </w:trPr>
        <w:tc>
          <w:tcPr>
            <w:tcW w:w="38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209" w:name="page210"/>
    <w:bookmarkEnd w:id="209"/>
    <w:p>
      <w:pPr>
        <w:jc w:val="right"/>
        <w:ind w:right="59"/>
        <w:spacing w:after="0"/>
        <w:rPr>
          <w:sz w:val="20"/>
          <w:szCs w:val="20"/>
          <w:color w:val="auto"/>
        </w:rPr>
      </w:pPr>
      <w:r>
        <w:rPr>
          <w:rFonts w:ascii="Arial" w:cs="Arial" w:eastAsia="Arial" w:hAnsi="Arial"/>
          <w:sz w:val="18"/>
          <w:szCs w:val="18"/>
          <w:b w:val="1"/>
          <w:bCs w:val="1"/>
          <w:color w:val="auto"/>
        </w:rPr>
        <w:t>EXHIBIT 23</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ind w:left="40" w:right="179"/>
        <w:spacing w:after="0" w:line="238" w:lineRule="auto"/>
        <w:rPr>
          <w:sz w:val="20"/>
          <w:szCs w:val="20"/>
          <w:color w:val="auto"/>
        </w:rPr>
      </w:pPr>
      <w:r>
        <w:rPr>
          <w:rFonts w:ascii="Arial" w:cs="Arial" w:eastAsia="Arial" w:hAnsi="Arial"/>
          <w:sz w:val="18"/>
          <w:szCs w:val="18"/>
          <w:color w:val="auto"/>
        </w:rPr>
        <w:t>We consent to the incorporation by reference in Registration Statement Nos. 333-212194; 333-184623; 333-121194, as amended by Post-Effective Amendment No.1 filed on April 26, 2007 and as further amended by Post-Effective Amendment No. 2 filed on June 7, 2012; 333-166539, as amended by Post-Effective Amendment No.1 filed on June 7, 2012; 333-142384, as amended by Post-Effective Amendment No.1 filed on June 7, 2012; and 333-69197, as amended by Post-Effective Amendment No.1 filed on June 7, 2012 on Form S-8 of our report dated February 26, 2021, relating to the consolidated financial statements of Matson, Inc. and subsidiaries and the effectiveness of Matson, Inc. and subsidiaries’ internal control over financial reporting, appearing in this Annual Report on Form 10-K for the year ended December 31, 2020.</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8289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 Francisco, California</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0" w:name="page211"/>
    <w:bookmarkEnd w:id="210"/>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Matthew J. Cox, certify that:</w:t>
      </w:r>
    </w:p>
    <w:p>
      <w:pPr>
        <w:spacing w:after="0" w:line="198" w:lineRule="exact"/>
        <w:rPr>
          <w:sz w:val="20"/>
          <w:szCs w:val="20"/>
          <w:color w:val="auto"/>
        </w:rPr>
      </w:pPr>
    </w:p>
    <w:p>
      <w:pPr>
        <w:ind w:left="680" w:hanging="636"/>
        <w:spacing w:after="0"/>
        <w:tabs>
          <w:tab w:leader="none" w:pos="6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Matson, Inc.;</w:t>
      </w:r>
    </w:p>
    <w:p>
      <w:pPr>
        <w:spacing w:after="0" w:line="198" w:lineRule="exact"/>
        <w:rPr>
          <w:rFonts w:ascii="Arial" w:cs="Arial" w:eastAsia="Arial" w:hAnsi="Arial"/>
          <w:sz w:val="18"/>
          <w:szCs w:val="18"/>
          <w:color w:val="auto"/>
        </w:rPr>
      </w:pPr>
    </w:p>
    <w:p>
      <w:pPr>
        <w:ind w:left="40" w:right="79" w:firstLine="4"/>
        <w:spacing w:after="0" w:line="248" w:lineRule="auto"/>
        <w:tabs>
          <w:tab w:leader="none" w:pos="67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40" w:right="239" w:firstLine="4"/>
        <w:spacing w:after="0" w:line="248" w:lineRule="auto"/>
        <w:tabs>
          <w:tab w:leader="none" w:pos="67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40" w:right="239" w:firstLine="4"/>
        <w:spacing w:after="0" w:line="270" w:lineRule="auto"/>
        <w:tabs>
          <w:tab w:leader="none" w:pos="666"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40" w:right="99" w:firstLine="652"/>
        <w:spacing w:after="0" w:line="243" w:lineRule="auto"/>
        <w:tabs>
          <w:tab w:leader="none" w:pos="1203"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40" w:right="519" w:firstLine="652"/>
        <w:spacing w:after="0" w:line="243" w:lineRule="auto"/>
        <w:tabs>
          <w:tab w:leader="none" w:pos="1213"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left="40" w:right="99" w:firstLine="652"/>
        <w:spacing w:after="0" w:line="248" w:lineRule="auto"/>
        <w:tabs>
          <w:tab w:leader="none" w:pos="1203" w:val="left"/>
        </w:tabs>
        <w:numPr>
          <w:ilvl w:val="1"/>
          <w:numId w:val="2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40" w:right="99" w:firstLine="652"/>
        <w:spacing w:after="0" w:line="243" w:lineRule="auto"/>
        <w:tabs>
          <w:tab w:leader="none" w:pos="1213"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40" w:right="99" w:firstLine="4"/>
        <w:spacing w:after="0" w:line="248" w:lineRule="auto"/>
        <w:tabs>
          <w:tab w:leader="none" w:pos="666"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40" w:right="119" w:firstLine="652"/>
        <w:spacing w:after="0" w:line="248" w:lineRule="auto"/>
        <w:tabs>
          <w:tab w:leader="none" w:pos="1193"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40" w:right="239" w:firstLine="652"/>
        <w:spacing w:after="0" w:line="261" w:lineRule="auto"/>
        <w:tabs>
          <w:tab w:leader="none" w:pos="1203"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6350</wp:posOffset>
            </wp:positionV>
            <wp:extent cx="263144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5">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Matthew J. Cox, Chairman and</w:t>
      </w:r>
    </w:p>
    <w:p>
      <w:pPr>
        <w:ind w:left="480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1" w:name="page212"/>
    <w:bookmarkEnd w:id="211"/>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Joel M. Wine, certify that:</w:t>
      </w:r>
    </w:p>
    <w:p>
      <w:pPr>
        <w:spacing w:after="0" w:line="198" w:lineRule="exact"/>
        <w:rPr>
          <w:sz w:val="20"/>
          <w:szCs w:val="20"/>
          <w:color w:val="auto"/>
        </w:rPr>
      </w:pPr>
    </w:p>
    <w:p>
      <w:pPr>
        <w:ind w:left="680" w:hanging="630"/>
        <w:spacing w:after="0"/>
        <w:tabs>
          <w:tab w:leader="none" w:pos="6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Matson, Inc.;</w:t>
      </w:r>
    </w:p>
    <w:p>
      <w:pPr>
        <w:spacing w:after="0" w:line="198" w:lineRule="exact"/>
        <w:rPr>
          <w:rFonts w:ascii="Arial" w:cs="Arial" w:eastAsia="Arial" w:hAnsi="Arial"/>
          <w:sz w:val="18"/>
          <w:szCs w:val="18"/>
          <w:color w:val="auto"/>
        </w:rPr>
      </w:pPr>
    </w:p>
    <w:p>
      <w:pPr>
        <w:ind w:left="60" w:right="79" w:hanging="10"/>
        <w:spacing w:after="0" w:line="248" w:lineRule="auto"/>
        <w:tabs>
          <w:tab w:leader="none" w:pos="69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60" w:right="239" w:hanging="10"/>
        <w:spacing w:after="0" w:line="248" w:lineRule="auto"/>
        <w:tabs>
          <w:tab w:leader="none" w:pos="69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60" w:right="239" w:hanging="10"/>
        <w:spacing w:after="0" w:line="270" w:lineRule="auto"/>
        <w:tabs>
          <w:tab w:leader="none" w:pos="687"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60" w:right="79" w:firstLine="638"/>
        <w:spacing w:after="0" w:line="243" w:lineRule="auto"/>
        <w:tabs>
          <w:tab w:leader="none" w:pos="1268" w:val="left"/>
        </w:tabs>
        <w:numPr>
          <w:ilvl w:val="1"/>
          <w:numId w:val="2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60" w:right="459" w:firstLine="638"/>
        <w:spacing w:after="0" w:line="243" w:lineRule="auto"/>
        <w:tabs>
          <w:tab w:leader="none" w:pos="1278" w:val="left"/>
        </w:tabs>
        <w:numPr>
          <w:ilvl w:val="1"/>
          <w:numId w:val="2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left="60" w:right="79" w:firstLine="638"/>
        <w:spacing w:after="0" w:line="248" w:lineRule="auto"/>
        <w:tabs>
          <w:tab w:leader="none" w:pos="1268" w:val="left"/>
        </w:tabs>
        <w:numPr>
          <w:ilvl w:val="1"/>
          <w:numId w:val="2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60" w:right="459" w:firstLine="638"/>
        <w:spacing w:after="0" w:line="243" w:lineRule="auto"/>
        <w:tabs>
          <w:tab w:leader="none" w:pos="1278" w:val="left"/>
        </w:tabs>
        <w:numPr>
          <w:ilvl w:val="1"/>
          <w:numId w:val="2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60" w:right="99" w:hanging="10"/>
        <w:spacing w:after="0" w:line="248" w:lineRule="auto"/>
        <w:tabs>
          <w:tab w:leader="none" w:pos="68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60" w:right="119" w:firstLine="638"/>
        <w:spacing w:after="0" w:line="248" w:lineRule="auto"/>
        <w:tabs>
          <w:tab w:leader="none" w:pos="1258" w:val="left"/>
        </w:tabs>
        <w:numPr>
          <w:ilvl w:val="1"/>
          <w:numId w:val="2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60" w:right="179" w:firstLine="638"/>
        <w:spacing w:after="0" w:line="261" w:lineRule="auto"/>
        <w:tabs>
          <w:tab w:leader="none" w:pos="1268" w:val="left"/>
        </w:tabs>
        <w:numPr>
          <w:ilvl w:val="1"/>
          <w:numId w:val="2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6350</wp:posOffset>
            </wp:positionV>
            <wp:extent cx="25888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7">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Joel M. Wine, Executive Vice President</w:t>
      </w:r>
    </w:p>
    <w:p>
      <w:pPr>
        <w:ind w:left="4880"/>
        <w:spacing w:after="0" w:line="234" w:lineRule="auto"/>
        <w:rPr>
          <w:sz w:val="20"/>
          <w:szCs w:val="20"/>
          <w:color w:val="auto"/>
        </w:rPr>
      </w:pPr>
      <w:r>
        <w:rPr>
          <w:rFonts w:ascii="Arial" w:cs="Arial" w:eastAsia="Arial" w:hAnsi="Arial"/>
          <w:sz w:val="18"/>
          <w:szCs w:val="18"/>
          <w:color w:val="auto"/>
        </w:rPr>
        <w:t>and Chief Financial Officer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2" w:name="page213"/>
    <w:bookmarkEnd w:id="212"/>
    <w:p>
      <w:pPr>
        <w:jc w:val="right"/>
        <w:ind w:right="59"/>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Pursuant to</w:t>
      </w:r>
    </w:p>
    <w:p>
      <w:pPr>
        <w:jc w:val="center"/>
        <w:spacing w:after="0" w:line="234" w:lineRule="auto"/>
        <w:rPr>
          <w:sz w:val="20"/>
          <w:szCs w:val="20"/>
          <w:color w:val="auto"/>
        </w:rPr>
      </w:pPr>
      <w:r>
        <w:rPr>
          <w:rFonts w:ascii="Arial" w:cs="Arial" w:eastAsia="Arial" w:hAnsi="Arial"/>
          <w:sz w:val="18"/>
          <w:szCs w:val="18"/>
          <w:b w:val="1"/>
          <w:bCs w:val="1"/>
          <w:color w:val="auto"/>
        </w:rPr>
        <w:t>18 U.S.C. Section 1350,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ind w:left="60" w:right="199"/>
        <w:spacing w:after="0" w:line="241" w:lineRule="auto"/>
        <w:rPr>
          <w:sz w:val="20"/>
          <w:szCs w:val="20"/>
          <w:color w:val="auto"/>
        </w:rPr>
      </w:pPr>
      <w:r>
        <w:rPr>
          <w:rFonts w:ascii="Arial" w:cs="Arial" w:eastAsia="Arial" w:hAnsi="Arial"/>
          <w:sz w:val="18"/>
          <w:szCs w:val="18"/>
          <w:color w:val="auto"/>
        </w:rPr>
        <w:t>In connection with the Annual Report of Matson, Inc. (the “Company”) on Form 10-K for the fiscal year ended December 31, 2020 as filed with the Securities and Exchange Commission on the date hereof (the “Report”), Matthew J. Cox, as Chairman and Chief Executive Officer of the Company, and Joel M. Wine, as Executive Vice President and Chief Financial Officer of the Company, hereby certify, pursuant to 18 U.S.C. Section 1350, as adopted pursuant to Section 906 of the Sarbanes-Oxley Act of 2002, that to their knowledge:</w:t>
      </w:r>
    </w:p>
    <w:p>
      <w:pPr>
        <w:spacing w:after="0" w:line="176" w:lineRule="exact"/>
        <w:rPr>
          <w:sz w:val="20"/>
          <w:szCs w:val="20"/>
          <w:color w:val="auto"/>
        </w:rPr>
      </w:pPr>
    </w:p>
    <w:p>
      <w:pPr>
        <w:ind w:left="1340" w:hanging="642"/>
        <w:spacing w:after="0"/>
        <w:tabs>
          <w:tab w:leader="none" w:pos="134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w:t>
      </w:r>
    </w:p>
    <w:p>
      <w:pPr>
        <w:spacing w:after="0" w:line="23" w:lineRule="exact"/>
        <w:rPr>
          <w:rFonts w:ascii="Arial" w:cs="Arial" w:eastAsia="Arial" w:hAnsi="Arial"/>
          <w:sz w:val="17"/>
          <w:szCs w:val="17"/>
          <w:color w:val="auto"/>
        </w:rPr>
      </w:pPr>
    </w:p>
    <w:p>
      <w:pPr>
        <w:ind w:left="60"/>
        <w:spacing w:after="0"/>
        <w:rPr>
          <w:rFonts w:ascii="Arial" w:cs="Arial" w:eastAsia="Arial" w:hAnsi="Arial"/>
          <w:sz w:val="17"/>
          <w:szCs w:val="17"/>
          <w:color w:val="auto"/>
        </w:rPr>
      </w:pPr>
      <w:r>
        <w:rPr>
          <w:rFonts w:ascii="Arial" w:cs="Arial" w:eastAsia="Arial" w:hAnsi="Arial"/>
          <w:sz w:val="18"/>
          <w:szCs w:val="18"/>
          <w:color w:val="auto"/>
        </w:rPr>
        <w:t>Act of 1934; and</w:t>
      </w:r>
    </w:p>
    <w:p>
      <w:pPr>
        <w:spacing w:after="0" w:line="182" w:lineRule="exact"/>
        <w:rPr>
          <w:rFonts w:ascii="Arial" w:cs="Arial" w:eastAsia="Arial" w:hAnsi="Arial"/>
          <w:sz w:val="17"/>
          <w:szCs w:val="17"/>
          <w:color w:val="auto"/>
        </w:rPr>
      </w:pPr>
    </w:p>
    <w:p>
      <w:pPr>
        <w:ind w:left="60" w:right="279" w:firstLine="638"/>
        <w:spacing w:after="0" w:line="261" w:lineRule="auto"/>
        <w:tabs>
          <w:tab w:leader="none" w:pos="135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8200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Matthew J. Cox</w:t>
      </w:r>
    </w:p>
    <w:p>
      <w:pPr>
        <w:ind w:left="60"/>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and Chief Executive Officer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26, 2021</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8200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Joel M. Wine</w:t>
      </w:r>
    </w:p>
    <w:p>
      <w:pPr>
        <w:ind w:left="60"/>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F97E3E4"/>
    <w:multiLevelType w:val="hybridMultilevel"/>
    <w:lvl w:ilvl="0">
      <w:lvlJc w:val="left"/>
      <w:lvlText w:val="☒"/>
      <w:numFmt w:val="bullet"/>
      <w:start w:val="1"/>
    </w:lvl>
  </w:abstractNum>
  <w:abstractNum w:abstractNumId="1">
    <w:nsid w:val="53B0A9E"/>
    <w:multiLevelType w:val="hybridMultilevel"/>
    <w:lvl w:ilvl="0">
      <w:lvlJc w:val="left"/>
      <w:lvlText w:val="☐"/>
      <w:numFmt w:val="bullet"/>
      <w:start w:val="1"/>
    </w:lvl>
  </w:abstractNum>
  <w:abstractNum w:abstractNumId="2">
    <w:nsid w:val="34FD6B4F"/>
    <w:multiLevelType w:val="hybridMultilevel"/>
    <w:lvl w:ilvl="0">
      <w:lvlJc w:val="left"/>
      <w:lvlText w:val="%1."/>
      <w:numFmt w:val="upperLetter"/>
      <w:start w:val="1"/>
    </w:lvl>
  </w:abstractNum>
  <w:abstractNum w:abstractNumId="3">
    <w:nsid w:val="5915FF32"/>
    <w:multiLevelType w:val="hybridMultilevel"/>
    <w:lvl w:ilvl="0">
      <w:lvlJc w:val="left"/>
      <w:lvlText w:val=" "/>
      <w:numFmt w:val="bullet"/>
      <w:start w:val="1"/>
    </w:lvl>
  </w:abstractNum>
  <w:abstractNum w:abstractNumId="4">
    <w:nsid w:val="56438D15"/>
    <w:multiLevelType w:val="hybridMultilevel"/>
    <w:lvl w:ilvl="0">
      <w:lvlJc w:val="left"/>
      <w:lvlText w:val="%1."/>
      <w:numFmt w:val="upperLetter"/>
      <w:start w:val="2"/>
    </w:lvl>
  </w:abstractNum>
  <w:abstractNum w:abstractNumId="5">
    <w:nsid w:val="519E3149"/>
    <w:multiLevelType w:val="hybridMultilevel"/>
    <w:lvl w:ilvl="0">
      <w:lvlJc w:val="left"/>
      <w:lvlText w:val="(%1)"/>
      <w:numFmt w:val="decimal"/>
      <w:start w:val="1"/>
    </w:lvl>
  </w:abstractNum>
  <w:abstractNum w:abstractNumId="6">
    <w:nsid w:val="2C6E4AFD"/>
    <w:multiLevelType w:val="hybridMultilevel"/>
    <w:lvl w:ilvl="0">
      <w:lvlJc w:val="left"/>
      <w:lvlText w:val="(%1)"/>
      <w:numFmt w:val="decimal"/>
      <w:start w:val="1"/>
    </w:lvl>
  </w:abstractNum>
  <w:abstractNum w:abstractNumId="7">
    <w:nsid w:val="17A1B582"/>
    <w:multiLevelType w:val="hybridMultilevel"/>
    <w:lvl w:ilvl="0">
      <w:lvlJc w:val="left"/>
      <w:lvlText w:val="(%1)"/>
      <w:numFmt w:val="decimal"/>
      <w:start w:val="3"/>
    </w:lvl>
  </w:abstractNum>
  <w:abstractNum w:abstractNumId="8">
    <w:nsid w:val="4DF72E4E"/>
    <w:multiLevelType w:val="hybridMultilevel"/>
    <w:lvl w:ilvl="0">
      <w:lvlJc w:val="left"/>
      <w:lvlText w:val="(%1)"/>
      <w:numFmt w:val="decimal"/>
      <w:start w:val="2"/>
    </w:lvl>
  </w:abstractNum>
  <w:abstractNum w:abstractNumId="9">
    <w:nsid w:val="5046B5A9"/>
    <w:multiLevelType w:val="hybridMultilevel"/>
    <w:lvl w:ilvl="0">
      <w:lvlJc w:val="left"/>
      <w:lvlText w:val="%1."/>
      <w:numFmt w:val="upperLetter"/>
      <w:start w:val="3"/>
    </w:lvl>
  </w:abstractNum>
  <w:abstractNum w:abstractNumId="10">
    <w:nsid w:val="5D888A08"/>
    <w:multiLevelType w:val="hybridMultilevel"/>
    <w:lvl w:ilvl="0">
      <w:lvlJc w:val="left"/>
      <w:lvlText w:val="%1."/>
      <w:numFmt w:val="upperLetter"/>
      <w:start w:val="4"/>
    </w:lvl>
  </w:abstractNum>
  <w:abstractNum w:abstractNumId="11">
    <w:nsid w:val="2A082C70"/>
    <w:multiLevelType w:val="hybridMultilevel"/>
    <w:lvl w:ilvl="0">
      <w:lvlJc w:val="left"/>
      <w:lvlText w:val="%1."/>
      <w:numFmt w:val="decimal"/>
      <w:start w:val="19"/>
    </w:lvl>
  </w:abstractNum>
  <w:abstractNum w:abstractNumId="12">
    <w:nsid w:val="5EC6AFD4"/>
    <w:multiLevelType w:val="hybridMultilevel"/>
    <w:lvl w:ilvl="0">
      <w:lvlJc w:val="left"/>
      <w:lvlText w:val="●"/>
      <w:numFmt w:val="bullet"/>
      <w:start w:val="1"/>
    </w:lvl>
  </w:abstractNum>
  <w:abstractNum w:abstractNumId="13">
    <w:nsid w:val="19E21BB2"/>
    <w:multiLevelType w:val="hybridMultilevel"/>
    <w:lvl w:ilvl="0">
      <w:lvlJc w:val="left"/>
      <w:lvlText w:val="●"/>
      <w:numFmt w:val="bullet"/>
      <w:start w:val="1"/>
    </w:lvl>
  </w:abstractNum>
  <w:abstractNum w:abstractNumId="14">
    <w:nsid w:val="75E0858A"/>
    <w:multiLevelType w:val="hybridMultilevel"/>
    <w:lvl w:ilvl="0">
      <w:lvlJc w:val="left"/>
      <w:lvlText w:val="*"/>
      <w:numFmt w:val="bullet"/>
      <w:start w:val="1"/>
    </w:lvl>
  </w:abstractNum>
  <w:abstractNum w:abstractNumId="15">
    <w:nsid w:val="57A61A29"/>
    <w:multiLevelType w:val="hybridMultilevel"/>
    <w:lvl w:ilvl="0">
      <w:lvlJc w:val="left"/>
      <w:lvlText w:val="(%1)"/>
      <w:numFmt w:val="decimal"/>
      <w:start w:val="1"/>
    </w:lvl>
  </w:abstractNum>
  <w:abstractNum w:abstractNumId="16">
    <w:nsid w:val="5399C654"/>
    <w:multiLevelType w:val="hybridMultilevel"/>
    <w:lvl w:ilvl="0">
      <w:lvlJc w:val="left"/>
      <w:lvlText w:val=" "/>
      <w:numFmt w:val="bullet"/>
      <w:start w:val="1"/>
    </w:lvl>
  </w:abstractNum>
  <w:abstractNum w:abstractNumId="17">
    <w:nsid w:val="20EE1348"/>
    <w:multiLevelType w:val="hybridMultilevel"/>
    <w:lvl w:ilvl="0">
      <w:lvlJc w:val="left"/>
      <w:lvlText w:val="(%1)"/>
      <w:numFmt w:val="decimal"/>
      <w:start w:val="1"/>
    </w:lvl>
  </w:abstractNum>
  <w:abstractNum w:abstractNumId="18">
    <w:nsid w:val="4427069A"/>
    <w:multiLevelType w:val="hybridMultilevel"/>
    <w:lvl w:ilvl="0">
      <w:lvlJc w:val="left"/>
      <w:lvlText w:val="(%1)"/>
      <w:numFmt w:val="decimal"/>
      <w:start w:val="1"/>
    </w:lvl>
  </w:abstractNum>
  <w:abstractNum w:abstractNumId="19">
    <w:nsid w:val="B37E80A"/>
    <w:multiLevelType w:val="hybridMultilevel"/>
    <w:lvl w:ilvl="0">
      <w:lvlJc w:val="left"/>
      <w:lvlText w:val="(%1)"/>
      <w:numFmt w:val="decimal"/>
      <w:start w:val="1"/>
    </w:lvl>
  </w:abstractNum>
  <w:abstractNum w:abstractNumId="20">
    <w:nsid w:val="2157F6BC"/>
    <w:multiLevelType w:val="hybridMultilevel"/>
    <w:lvl w:ilvl="0">
      <w:lvlJc w:val="left"/>
      <w:lvlText w:val="(%1)"/>
      <w:numFmt w:val="decimal"/>
      <w:start w:val="2"/>
    </w:lvl>
  </w:abstractNum>
  <w:abstractNum w:abstractNumId="21">
    <w:nsid w:val="704E1DD5"/>
    <w:multiLevelType w:val="hybridMultilevel"/>
    <w:lvl w:ilvl="0">
      <w:lvlJc w:val="left"/>
      <w:lvlText w:val="(%1)"/>
      <w:numFmt w:val="decimal"/>
      <w:start w:val="3"/>
    </w:lvl>
  </w:abstractNum>
  <w:abstractNum w:abstractNumId="22">
    <w:nsid w:val="57D2F10E"/>
    <w:multiLevelType w:val="hybridMultilevel"/>
    <w:lvl w:ilvl="0">
      <w:lvlJc w:val="left"/>
      <w:lvlText w:val="(%1)"/>
      <w:numFmt w:val="decimal"/>
      <w:start w:val="1"/>
    </w:lvl>
  </w:abstractNum>
  <w:abstractNum w:abstractNumId="23">
    <w:nsid w:val="BFFAE18"/>
    <w:multiLevelType w:val="hybridMultilevel"/>
    <w:lvl w:ilvl="0">
      <w:lvlJc w:val="left"/>
      <w:lvlText w:val="●"/>
      <w:numFmt w:val="bullet"/>
      <w:start w:val="1"/>
    </w:lvl>
  </w:abstractNum>
  <w:abstractNum w:abstractNumId="24">
    <w:nsid w:val="E3E47A8"/>
    <w:multiLevelType w:val="hybridMultilevel"/>
    <w:lvl w:ilvl="0">
      <w:lvlJc w:val="left"/>
      <w:lvlText w:val="(%1)"/>
      <w:numFmt w:val="decimal"/>
      <w:start w:val="1"/>
    </w:lvl>
  </w:abstractNum>
  <w:abstractNum w:abstractNumId="25">
    <w:nsid w:val="2E48F044"/>
    <w:multiLevelType w:val="hybridMultilevel"/>
    <w:lvl w:ilvl="0">
      <w:lvlJc w:val="left"/>
      <w:lvlText w:val="●"/>
      <w:numFmt w:val="bullet"/>
      <w:start w:val="1"/>
    </w:lvl>
  </w:abstractNum>
  <w:abstractNum w:abstractNumId="26">
    <w:nsid w:val="49D0FEAC"/>
    <w:multiLevelType w:val="hybridMultilevel"/>
    <w:lvl w:ilvl="0">
      <w:lvlJc w:val="left"/>
      <w:lvlText w:val="%1."/>
      <w:numFmt w:val="decimal"/>
      <w:start w:val="1"/>
    </w:lvl>
  </w:abstractNum>
  <w:abstractNum w:abstractNumId="27">
    <w:nsid w:val="4BEE5A5B"/>
    <w:multiLevelType w:val="hybridMultilevel"/>
    <w:lvl w:ilvl="0">
      <w:lvlJc w:val="left"/>
      <w:lvlText w:val="%1."/>
      <w:numFmt w:val="decimal"/>
      <w:start w:val="2"/>
    </w:lvl>
  </w:abstractNum>
  <w:abstractNum w:abstractNumId="28">
    <w:nsid w:val="5551B9F3"/>
    <w:multiLevelType w:val="hybridMultilevel"/>
    <w:lvl w:ilvl="0">
      <w:lvlJc w:val="left"/>
      <w:lvlText w:val="(%1)"/>
      <w:numFmt w:val="decimal"/>
      <w:start w:val="1"/>
    </w:lvl>
  </w:abstractNum>
  <w:abstractNum w:abstractNumId="29">
    <w:nsid w:val="24F6AB8E"/>
    <w:multiLevelType w:val="hybridMultilevel"/>
    <w:lvl w:ilvl="0">
      <w:lvlJc w:val="left"/>
      <w:lvlText w:val="(%1)"/>
      <w:numFmt w:val="decimal"/>
      <w:start w:val="1"/>
    </w:lvl>
  </w:abstractNum>
  <w:abstractNum w:abstractNumId="30">
    <w:nsid w:val="634C574C"/>
    <w:multiLevelType w:val="hybridMultilevel"/>
    <w:lvl w:ilvl="0">
      <w:lvlJc w:val="left"/>
      <w:lvlText w:val=" "/>
      <w:numFmt w:val="bullet"/>
      <w:start w:val="1"/>
    </w:lvl>
  </w:abstractNum>
  <w:abstractNum w:abstractNumId="31">
    <w:nsid w:val="24E99DD7"/>
    <w:multiLevelType w:val="hybridMultilevel"/>
    <w:lvl w:ilvl="0">
      <w:lvlJc w:val="left"/>
      <w:lvlText w:val="(%1)"/>
      <w:numFmt w:val="decimal"/>
      <w:start w:val="1"/>
    </w:lvl>
  </w:abstractNum>
  <w:abstractNum w:abstractNumId="32">
    <w:nsid w:val="2A31B62D"/>
    <w:multiLevelType w:val="hybridMultilevel"/>
    <w:lvl w:ilvl="0">
      <w:lvlJc w:val="left"/>
      <w:lvlText w:val=" "/>
      <w:numFmt w:val="bullet"/>
      <w:start w:val="1"/>
    </w:lvl>
  </w:abstractNum>
  <w:abstractNum w:abstractNumId="33">
    <w:nsid w:val="1849C29B"/>
    <w:multiLevelType w:val="hybridMultilevel"/>
    <w:lvl w:ilvl="0">
      <w:lvlJc w:val="left"/>
      <w:lvlText w:val=" "/>
      <w:numFmt w:val="bullet"/>
      <w:start w:val="1"/>
    </w:lvl>
  </w:abstractNum>
  <w:abstractNum w:abstractNumId="34">
    <w:nsid w:val="7DFF9D09"/>
    <w:multiLevelType w:val="hybridMultilevel"/>
    <w:lvl w:ilvl="0">
      <w:lvlJc w:val="left"/>
      <w:lvlText w:val="%1."/>
      <w:numFmt w:val="decimal"/>
      <w:start w:val="3"/>
    </w:lvl>
  </w:abstractNum>
  <w:abstractNum w:abstractNumId="35">
    <w:nsid w:val="754342"/>
    <w:multiLevelType w:val="hybridMultilevel"/>
    <w:lvl w:ilvl="0">
      <w:lvlJc w:val="left"/>
      <w:lvlText w:val="(%1)"/>
      <w:numFmt w:val="decimal"/>
      <w:start w:val="1"/>
    </w:lvl>
  </w:abstractNum>
  <w:abstractNum w:abstractNumId="36">
    <w:nsid w:val="69E7F3E5"/>
    <w:multiLevelType w:val="hybridMultilevel"/>
    <w:lvl w:ilvl="0">
      <w:lvlJc w:val="left"/>
      <w:lvlText w:val="(%1)"/>
      <w:numFmt w:val="decimal"/>
      <w:start w:val="2"/>
    </w:lvl>
  </w:abstractNum>
  <w:abstractNum w:abstractNumId="37">
    <w:nsid w:val="2A6DE806"/>
    <w:multiLevelType w:val="hybridMultilevel"/>
    <w:lvl w:ilvl="0">
      <w:lvlJc w:val="left"/>
      <w:lvlText w:val="(%1)"/>
      <w:numFmt w:val="decimal"/>
      <w:start w:val="1"/>
    </w:lvl>
  </w:abstractNum>
  <w:abstractNum w:abstractNumId="38">
    <w:nsid w:val="1816F8C4"/>
    <w:multiLevelType w:val="hybridMultilevel"/>
    <w:lvl w:ilvl="0">
      <w:lvlJc w:val="left"/>
      <w:lvlText w:val="%1."/>
      <w:numFmt w:val="decimal"/>
      <w:start w:val="4"/>
    </w:lvl>
  </w:abstractNum>
  <w:abstractNum w:abstractNumId="39">
    <w:nsid w:val="37DF2233"/>
    <w:multiLevelType w:val="hybridMultilevel"/>
    <w:lvl w:ilvl="0">
      <w:lvlJc w:val="left"/>
      <w:lvlText w:val="(%1)"/>
      <w:numFmt w:val="decimal"/>
      <w:start w:val="1"/>
    </w:lvl>
  </w:abstractNum>
  <w:abstractNum w:abstractNumId="40">
    <w:nsid w:val="7AB49DAF"/>
    <w:multiLevelType w:val="hybridMultilevel"/>
    <w:lvl w:ilvl="0">
      <w:lvlJc w:val="left"/>
      <w:lvlText w:val="%1."/>
      <w:numFmt w:val="decimal"/>
      <w:start w:val="5"/>
    </w:lvl>
  </w:abstractNum>
  <w:abstractNum w:abstractNumId="41">
    <w:nsid w:val="759F82CD"/>
    <w:multiLevelType w:val="hybridMultilevel"/>
    <w:lvl w:ilvl="0">
      <w:lvlJc w:val="left"/>
      <w:lvlText w:val="%1."/>
      <w:numFmt w:val="decimal"/>
      <w:start w:val="7"/>
    </w:lvl>
  </w:abstractNum>
  <w:abstractNum w:abstractNumId="42">
    <w:nsid w:val="61E74EA3"/>
    <w:multiLevelType w:val="hybridMultilevel"/>
    <w:lvl w:ilvl="0">
      <w:lvlJc w:val="left"/>
      <w:lvlText w:val="$"/>
      <w:numFmt w:val="bullet"/>
      <w:start w:val="1"/>
    </w:lvl>
  </w:abstractNum>
  <w:abstractNum w:abstractNumId="43">
    <w:nsid w:val="597B4D84"/>
    <w:multiLevelType w:val="hybridMultilevel"/>
    <w:lvl w:ilvl="0">
      <w:lvlJc w:val="left"/>
      <w:lvlText w:val="$"/>
      <w:numFmt w:val="bullet"/>
      <w:start w:val="1"/>
    </w:lvl>
  </w:abstractNum>
  <w:abstractNum w:abstractNumId="44">
    <w:nsid w:val="F819E7F"/>
    <w:multiLevelType w:val="hybridMultilevel"/>
    <w:lvl w:ilvl="0">
      <w:lvlJc w:val="left"/>
      <w:lvlText w:val=" "/>
      <w:numFmt w:val="bullet"/>
      <w:start w:val="1"/>
    </w:lvl>
  </w:abstractNum>
  <w:abstractNum w:abstractNumId="45">
    <w:nsid w:val="57C7D42D"/>
    <w:multiLevelType w:val="hybridMultilevel"/>
    <w:lvl w:ilvl="0">
      <w:lvlJc w:val="left"/>
      <w:lvlText w:val="●"/>
      <w:numFmt w:val="bullet"/>
      <w:start w:val="1"/>
    </w:lvl>
  </w:abstractNum>
  <w:abstractNum w:abstractNumId="46">
    <w:nsid w:val="312167AD"/>
    <w:multiLevelType w:val="hybridMultilevel"/>
    <w:lvl w:ilvl="0">
      <w:lvlJc w:val="left"/>
      <w:lvlText w:val="%1."/>
      <w:numFmt w:val="decimal"/>
      <w:start w:val="9"/>
    </w:lvl>
  </w:abstractNum>
  <w:abstractNum w:abstractNumId="47">
    <w:nsid w:val="631B64D4"/>
    <w:multiLevelType w:val="hybridMultilevel"/>
    <w:lvl w:ilvl="0">
      <w:lvlJc w:val="left"/>
      <w:lvlText w:val="%1."/>
      <w:numFmt w:val="decimal"/>
      <w:start w:val="10"/>
    </w:lvl>
  </w:abstractNum>
  <w:abstractNum w:abstractNumId="48">
    <w:nsid w:val="78B5E776"/>
    <w:multiLevelType w:val="hybridMultilevel"/>
    <w:lvl w:ilvl="0">
      <w:lvlJc w:val="left"/>
      <w:lvlText w:val="(%1)"/>
      <w:numFmt w:val="decimal"/>
      <w:start w:val="1"/>
    </w:lvl>
  </w:abstractNum>
  <w:abstractNum w:abstractNumId="49">
    <w:nsid w:val="75486E47"/>
    <w:multiLevelType w:val="hybridMultilevel"/>
    <w:lvl w:ilvl="0">
      <w:lvlJc w:val="left"/>
      <w:lvlText w:val="(%1)"/>
      <w:numFmt w:val="decimal"/>
      <w:start w:val="1"/>
    </w:lvl>
  </w:abstractNum>
  <w:abstractNum w:abstractNumId="50">
    <w:nsid w:val="6E534CDE"/>
    <w:multiLevelType w:val="hybridMultilevel"/>
    <w:lvl w:ilvl="0">
      <w:lvlJc w:val="left"/>
      <w:lvlText w:val="(%1)"/>
      <w:numFmt w:val="decimal"/>
      <w:start w:val="1"/>
    </w:lvl>
  </w:abstractNum>
  <w:abstractNum w:abstractNumId="51">
    <w:nsid w:val="1A0DDE32"/>
    <w:multiLevelType w:val="hybridMultilevel"/>
    <w:lvl w:ilvl="0">
      <w:lvlJc w:val="left"/>
      <w:lvlText w:val="%1."/>
      <w:numFmt w:val="decimal"/>
      <w:start w:val="11"/>
    </w:lvl>
  </w:abstractNum>
  <w:abstractNum w:abstractNumId="52">
    <w:nsid w:val="65968C1C"/>
    <w:multiLevelType w:val="hybridMultilevel"/>
    <w:lvl w:ilvl="0">
      <w:lvlJc w:val="left"/>
      <w:lvlText w:val="(%1)"/>
      <w:numFmt w:val="decimal"/>
      <w:start w:val="1"/>
    </w:lvl>
  </w:abstractNum>
  <w:abstractNum w:abstractNumId="53">
    <w:nsid w:val="46263DEC"/>
    <w:multiLevelType w:val="hybridMultilevel"/>
    <w:lvl w:ilvl="0">
      <w:lvlJc w:val="left"/>
      <w:lvlText w:val="(%1)"/>
      <w:numFmt w:val="decimal"/>
      <w:start w:val="1"/>
    </w:lvl>
  </w:abstractNum>
  <w:abstractNum w:abstractNumId="54">
    <w:nsid w:val="260D8C4A"/>
    <w:multiLevelType w:val="hybridMultilevel"/>
    <w:lvl w:ilvl="0">
      <w:lvlJc w:val="left"/>
      <w:lvlText w:val="(%1)"/>
      <w:numFmt w:val="decimal"/>
      <w:start w:val="1"/>
    </w:lvl>
  </w:abstractNum>
  <w:abstractNum w:abstractNumId="55">
    <w:nsid w:val="73D4D3C4"/>
    <w:multiLevelType w:val="hybridMultilevel"/>
    <w:lvl w:ilvl="0">
      <w:lvlJc w:val="left"/>
      <w:lvlText w:val="(%1)"/>
      <w:numFmt w:val="decimal"/>
      <w:start w:val="1"/>
    </w:lvl>
  </w:abstractNum>
  <w:abstractNum w:abstractNumId="56">
    <w:nsid w:val="746F2E30"/>
    <w:multiLevelType w:val="hybridMultilevel"/>
    <w:lvl w:ilvl="0">
      <w:lvlJc w:val="left"/>
      <w:lvlText w:val="%1."/>
      <w:numFmt w:val="decimal"/>
      <w:start w:val="12"/>
    </w:lvl>
  </w:abstractNum>
  <w:abstractNum w:abstractNumId="57">
    <w:nsid w:val="6FDE8AF6"/>
    <w:multiLevelType w:val="hybridMultilevel"/>
    <w:lvl w:ilvl="0">
      <w:lvlJc w:val="left"/>
      <w:lvlText w:val="%1."/>
      <w:numFmt w:val="decimal"/>
      <w:start w:val="13"/>
    </w:lvl>
  </w:abstractNum>
  <w:abstractNum w:abstractNumId="58">
    <w:nsid w:val="3FC32E20"/>
    <w:multiLevelType w:val="hybridMultilevel"/>
    <w:lvl w:ilvl="0">
      <w:lvlJc w:val="left"/>
      <w:lvlText w:val="%1."/>
      <w:numFmt w:val="decimal"/>
      <w:start w:val="14"/>
    </w:lvl>
  </w:abstractNum>
  <w:abstractNum w:abstractNumId="59">
    <w:nsid w:val="49C0E823"/>
    <w:multiLevelType w:val="hybridMultilevel"/>
    <w:lvl w:ilvl="0">
      <w:lvlJc w:val="left"/>
      <w:lvlText w:val="%1."/>
      <w:numFmt w:val="decimal"/>
      <w:start w:val="15"/>
    </w:lvl>
  </w:abstractNum>
  <w:abstractNum w:abstractNumId="60">
    <w:nsid w:val="14D53685"/>
    <w:multiLevelType w:val="hybridMultilevel"/>
    <w:lvl w:ilvl="0">
      <w:lvlJc w:val="left"/>
      <w:lvlText w:val="(%1)"/>
      <w:numFmt w:val="decimal"/>
      <w:start w:val="1"/>
    </w:lvl>
  </w:abstractNum>
  <w:abstractNum w:abstractNumId="61">
    <w:nsid w:val="230F856C"/>
    <w:multiLevelType w:val="hybridMultilevel"/>
    <w:lvl w:ilvl="0">
      <w:lvlJc w:val="left"/>
      <w:lvlText w:val="%1."/>
      <w:numFmt w:val="decimal"/>
      <w:start w:val="16"/>
    </w:lvl>
  </w:abstractNum>
  <w:abstractNum w:abstractNumId="62">
    <w:nsid w:val="6EAA85FB"/>
    <w:multiLevelType w:val="hybridMultilevel"/>
    <w:lvl w:ilvl="0">
      <w:lvlJc w:val="left"/>
      <w:lvlText w:val="%1."/>
      <w:numFmt w:val="decimal"/>
      <w:start w:val="17"/>
    </w:lvl>
  </w:abstractNum>
  <w:abstractNum w:abstractNumId="63">
    <w:nsid w:val="3F06ECB2"/>
    <w:multiLevelType w:val="hybridMultilevel"/>
    <w:lvl w:ilvl="0">
      <w:lvlJc w:val="left"/>
      <w:lvlText w:val="(%1)"/>
      <w:numFmt w:val="decimal"/>
      <w:start w:val="1"/>
    </w:lvl>
  </w:abstractNum>
  <w:abstractNum w:abstractNumId="64">
    <w:nsid w:val="3B594807"/>
    <w:multiLevelType w:val="hybridMultilevel"/>
    <w:lvl w:ilvl="0">
      <w:lvlJc w:val="left"/>
      <w:lvlText w:val="%1."/>
      <w:numFmt w:val="decimal"/>
      <w:start w:val="18"/>
    </w:lvl>
  </w:abstractNum>
  <w:abstractNum w:abstractNumId="65">
    <w:nsid w:val="6CAA2304"/>
    <w:multiLevelType w:val="hybridMultilevel"/>
    <w:lvl w:ilvl="0">
      <w:lvlJc w:val="left"/>
      <w:lvlText w:val="(%1)"/>
      <w:numFmt w:val="decimal"/>
      <w:start w:val="1"/>
    </w:lvl>
  </w:abstractNum>
  <w:abstractNum w:abstractNumId="66">
    <w:nsid w:val="3F7C2FF4"/>
    <w:multiLevelType w:val="hybridMultilevel"/>
    <w:lvl w:ilvl="0">
      <w:lvlJc w:val="left"/>
      <w:lvlText w:val="%1."/>
      <w:numFmt w:val="upperLetter"/>
      <w:start w:val="1"/>
    </w:lvl>
  </w:abstractNum>
  <w:abstractNum w:abstractNumId="67">
    <w:nsid w:val="25413BEC"/>
    <w:multiLevelType w:val="hybridMultilevel"/>
    <w:lvl w:ilvl="0">
      <w:lvlJc w:val="left"/>
      <w:lvlText w:val="%1."/>
      <w:numFmt w:val="upperLetter"/>
      <w:start w:val="2"/>
    </w:lvl>
  </w:abstractNum>
  <w:abstractNum w:abstractNumId="68">
    <w:nsid w:val="17180B0B"/>
    <w:multiLevelType w:val="hybridMultilevel"/>
    <w:lvl w:ilvl="0">
      <w:lvlJc w:val="left"/>
      <w:lvlText w:val="%1."/>
      <w:numFmt w:val="upperLetter"/>
      <w:start w:val="3"/>
    </w:lvl>
  </w:abstractNum>
  <w:abstractNum w:abstractNumId="69">
    <w:nsid w:val="579328B9"/>
    <w:multiLevelType w:val="hybridMultilevel"/>
    <w:lvl w:ilvl="0">
      <w:lvlJc w:val="left"/>
      <w:lvlText w:val="%1."/>
      <w:numFmt w:val="upperLetter"/>
      <w:start w:val="4"/>
    </w:lvl>
  </w:abstractNum>
  <w:abstractNum w:abstractNumId="70">
    <w:nsid w:val="5D205E20"/>
    <w:multiLevelType w:val="hybridMultilevel"/>
    <w:lvl w:ilvl="0">
      <w:lvlJc w:val="left"/>
      <w:lvlText w:val="(%1)"/>
      <w:numFmt w:val="decimal"/>
      <w:start w:val="1"/>
    </w:lvl>
  </w:abstractNum>
  <w:abstractNum w:abstractNumId="71">
    <w:nsid w:val="11CCA8BA"/>
    <w:multiLevelType w:val="hybridMultilevel"/>
    <w:lvl w:ilvl="0">
      <w:lvlJc w:val="left"/>
      <w:lvlText w:val="%1."/>
      <w:numFmt w:val="upperLetter"/>
      <w:start w:val="1"/>
    </w:lvl>
  </w:abstractNum>
  <w:abstractNum w:abstractNumId="72">
    <w:nsid w:val="4D32AB86"/>
    <w:multiLevelType w:val="hybridMultilevel"/>
    <w:lvl w:ilvl="0">
      <w:lvlJc w:val="left"/>
      <w:lvlText w:val="%1."/>
      <w:numFmt w:val="upperLetter"/>
      <w:start w:val="2"/>
    </w:lvl>
  </w:abstractNum>
  <w:abstractNum w:abstractNumId="73">
    <w:nsid w:val="3F07ACC3"/>
    <w:multiLevelType w:val="hybridMultilevel"/>
    <w:lvl w:ilvl="0">
      <w:lvlJc w:val="left"/>
      <w:lvlText w:val="%1."/>
      <w:numFmt w:val="upperLetter"/>
      <w:start w:val="3"/>
    </w:lvl>
  </w:abstractNum>
  <w:abstractNum w:abstractNumId="74">
    <w:nsid w:val="6B47F63E"/>
    <w:multiLevelType w:val="hybridMultilevel"/>
    <w:lvl w:ilvl="0">
      <w:lvlJc w:val="left"/>
      <w:lvlText w:val="2"/>
      <w:numFmt w:val="bullet"/>
      <w:start w:val="1"/>
    </w:lvl>
  </w:abstractNum>
  <w:abstractNum w:abstractNumId="75">
    <w:nsid w:val="5CB44A05"/>
    <w:multiLevelType w:val="hybridMultilevel"/>
    <w:lvl w:ilvl="0">
      <w:lvlJc w:val="left"/>
      <w:lvlText w:val="3"/>
      <w:numFmt w:val="bullet"/>
      <w:start w:val="1"/>
    </w:lvl>
  </w:abstractNum>
  <w:abstractNum w:abstractNumId="76">
    <w:nsid w:val="16CF80F1"/>
    <w:multiLevelType w:val="hybridMultilevel"/>
    <w:lvl w:ilvl="0">
      <w:lvlJc w:val="left"/>
      <w:lvlText w:val="4"/>
      <w:numFmt w:val="bullet"/>
      <w:start w:val="1"/>
    </w:lvl>
  </w:abstractNum>
  <w:abstractNum w:abstractNumId="77">
    <w:nsid w:val="1C695DEC"/>
    <w:multiLevelType w:val="hybridMultilevel"/>
    <w:lvl w:ilvl="0">
      <w:lvlJc w:val="left"/>
      <w:lvlText w:val="*"/>
      <w:numFmt w:val="bullet"/>
      <w:start w:val="1"/>
    </w:lvl>
  </w:abstractNum>
  <w:abstractNum w:abstractNumId="78">
    <w:nsid w:val="3FCFAED9"/>
    <w:multiLevelType w:val="hybridMultilevel"/>
    <w:lvl w:ilvl="0">
      <w:lvlJc w:val="left"/>
      <w:lvlText w:val="(%1)"/>
      <w:numFmt w:val="decimal"/>
      <w:start w:val="6"/>
    </w:lvl>
  </w:abstractNum>
  <w:abstractNum w:abstractNumId="79">
    <w:nsid w:val="F856867"/>
    <w:multiLevelType w:val="hybridMultilevel"/>
    <w:lvl w:ilvl="0">
      <w:lvlJc w:val="left"/>
      <w:lvlText w:val="(%1)"/>
      <w:numFmt w:val="lowerLetter"/>
      <w:start w:val="2"/>
    </w:lvl>
  </w:abstractNum>
  <w:abstractNum w:abstractNumId="80">
    <w:nsid w:val="11B1CC33"/>
    <w:multiLevelType w:val="hybridMultilevel"/>
    <w:lvl w:ilvl="0">
      <w:lvlJc w:val="left"/>
      <w:lvlText w:val="%1."/>
      <w:numFmt w:val="decimal"/>
      <w:start w:val="1"/>
    </w:lvl>
    <w:lvl w:ilvl="1">
      <w:lvlJc w:val="left"/>
      <w:lvlText w:val="%2"/>
      <w:numFmt w:val="upperLetter"/>
      <w:start w:val="1"/>
    </w:lvl>
  </w:abstractNum>
  <w:abstractNum w:abstractNumId="81">
    <w:nsid w:val="2E22FBB7"/>
    <w:multiLevelType w:val="hybridMultilevel"/>
    <w:lvl w:ilvl="0">
      <w:lvlJc w:val="left"/>
      <w:lvlText w:val="(%1)"/>
      <w:numFmt w:val="decimal"/>
      <w:start w:val="3"/>
    </w:lvl>
  </w:abstractNum>
  <w:abstractNum w:abstractNumId="82">
    <w:nsid w:val="29934699"/>
    <w:multiLevelType w:val="hybridMultilevel"/>
    <w:lvl w:ilvl="0">
      <w:lvlJc w:val="left"/>
      <w:lvlText w:val="%1."/>
      <w:numFmt w:val="decimal"/>
      <w:start w:val="2"/>
    </w:lvl>
  </w:abstractNum>
  <w:abstractNum w:abstractNumId="83">
    <w:nsid w:val="77485850"/>
    <w:multiLevelType w:val="hybridMultilevel"/>
    <w:lvl w:ilvl="0">
      <w:lvlJc w:val="left"/>
      <w:lvlText w:val="%1."/>
      <w:numFmt w:val="decimal"/>
      <w:start w:val="3"/>
    </w:lvl>
  </w:abstractNum>
  <w:abstractNum w:abstractNumId="84">
    <w:nsid w:val="744939A3"/>
    <w:multiLevelType w:val="hybridMultilevel"/>
    <w:lvl w:ilvl="0">
      <w:lvlJc w:val="left"/>
      <w:lvlText w:val="%1."/>
      <w:numFmt w:val="decimal"/>
      <w:start w:val="4"/>
    </w:lvl>
    <w:lvl w:ilvl="1">
      <w:lvlJc w:val="left"/>
      <w:lvlText w:val="%2."/>
      <w:numFmt w:val="decimal"/>
      <w:start w:val="1"/>
    </w:lvl>
  </w:abstractNum>
  <w:abstractNum w:abstractNumId="85">
    <w:nsid w:val="4FA0D2E3"/>
    <w:multiLevelType w:val="hybridMultilevel"/>
    <w:lvl w:ilvl="0">
      <w:lvlJc w:val="left"/>
      <w:lvlText w:val="(%1)"/>
      <w:numFmt w:val="lowerLetter"/>
      <w:start w:val="1"/>
    </w:lvl>
  </w:abstractNum>
  <w:abstractNum w:abstractNumId="86">
    <w:nsid w:val="6B1D2C14"/>
    <w:multiLevelType w:val="hybridMultilevel"/>
    <w:lvl w:ilvl="0">
      <w:lvlJc w:val="left"/>
      <w:lvlText w:val="%1."/>
      <w:numFmt w:val="upperLetter"/>
      <w:start w:val="1"/>
    </w:lvl>
  </w:abstractNum>
  <w:abstractNum w:abstractNumId="87">
    <w:nsid w:val="68B867D3"/>
    <w:multiLevelType w:val="hybridMultilevel"/>
    <w:lvl w:ilvl="0">
      <w:lvlJc w:val="left"/>
      <w:lvlText w:val="%1."/>
      <w:numFmt w:val="decimal"/>
      <w:start w:val="1"/>
    </w:lvl>
  </w:abstractNum>
  <w:abstractNum w:abstractNumId="88">
    <w:nsid w:val="3F7F5DD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9">
    <w:nsid w:val="2AE05A3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90">
    <w:nsid w:val="32794FF7"/>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91">
    <w:nsid w:val="5454945E"/>
    <w:multiLevelType w:val="hybridMultilevel"/>
    <w:lvl w:ilvl="0">
      <w:lvlJc w:val="left"/>
      <w:lvlText w:val="(%1)"/>
      <w:numFmt w:val="lowerRoman"/>
      <w:start w:val="2"/>
    </w:lvl>
  </w:abstractNum>
  <w:abstractNum w:abstractNumId="92">
    <w:nsid w:val="4DEFDFA0"/>
    <w:multiLevelType w:val="hybridMultilevel"/>
    <w:lvl w:ilvl="0">
      <w:lvlJc w:val="left"/>
      <w:lvlText w:val="%1"/>
      <w:numFmt w:val="lowerLetter"/>
      <w:start w:val="1"/>
    </w:lvl>
    <w:lvl w:ilvl="1">
      <w:lvlJc w:val="left"/>
      <w:lvlText w:val="(%2)"/>
      <w:numFmt w:val="lowerRoman"/>
      <w:start w:val="3"/>
    </w:lvl>
  </w:abstractNum>
  <w:abstractNum w:abstractNumId="93">
    <w:nsid w:val="2123D5F2"/>
    <w:multiLevelType w:val="hybridMultilevel"/>
    <w:lvl w:ilvl="0">
      <w:lvlJc w:val="left"/>
      <w:lvlText w:val="(%1)"/>
      <w:numFmt w:val="lowerLetter"/>
      <w:start w:val="2"/>
    </w:lvl>
    <w:lvl w:ilvl="1">
      <w:lvlJc w:val="left"/>
      <w:lvlText w:val="%2"/>
      <w:numFmt w:val="lowerRoman"/>
      <w:start w:val="1"/>
    </w:lvl>
  </w:abstractNum>
  <w:abstractNum w:abstractNumId="94">
    <w:nsid w:val="135B8110"/>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9"/>
    </w:lvl>
  </w:abstractNum>
  <w:abstractNum w:abstractNumId="95">
    <w:nsid w:val="94927A8"/>
    <w:multiLevelType w:val="hybridMultilevel"/>
    <w:lvl w:ilvl="0">
      <w:lvlJc w:val="left"/>
      <w:lvlText w:val="(%1)"/>
      <w:numFmt w:val="lowerLetter"/>
      <w:start w:val="26"/>
    </w:lvl>
    <w:lvl w:ilvl="1">
      <w:lvlJc w:val="left"/>
      <w:lvlText w:val="%2"/>
      <w:numFmt w:val="lowerLetter"/>
      <w:start w:val="1"/>
    </w:lvl>
    <w:lvl w:ilvl="2">
      <w:lvlJc w:val="left"/>
      <w:lvlText w:val="(%3)"/>
      <w:numFmt w:val="lowerLetter"/>
      <w:start w:val="35"/>
    </w:lvl>
  </w:abstractNum>
  <w:abstractNum w:abstractNumId="96">
    <w:nsid w:val="DCDF8F6"/>
    <w:multiLevelType w:val="hybridMultilevel"/>
    <w:lvl w:ilvl="0">
      <w:lvlJc w:val="left"/>
      <w:lvlText w:val="%1"/>
      <w:numFmt w:val="decimal"/>
      <w:start w:val="1"/>
    </w:lvl>
    <w:lvl w:ilvl="1">
      <w:lvlJc w:val="left"/>
      <w:lvlText w:val="(%2)"/>
      <w:numFmt w:val="lowerRoman"/>
      <w:start w:val="3"/>
    </w:lvl>
  </w:abstractNum>
  <w:abstractNum w:abstractNumId="97">
    <w:nsid w:val="52D7B105"/>
    <w:multiLevelType w:val="hybridMultilevel"/>
    <w:lvl w:ilvl="0">
      <w:lvlJc w:val="left"/>
      <w:lvlText w:val="%1."/>
      <w:numFmt w:val="decimal"/>
      <w:start w:val="6"/>
    </w:lvl>
    <w:lvl w:ilvl="1">
      <w:lvlJc w:val="left"/>
      <w:lvlText w:val="%2"/>
      <w:numFmt w:val="lowerRoman"/>
      <w:start w:val="1"/>
    </w:lvl>
  </w:abstractNum>
  <w:abstractNum w:abstractNumId="98">
    <w:nsid w:val="2E8A6394"/>
    <w:multiLevelType w:val="hybridMultilevel"/>
    <w:lvl w:ilvl="0">
      <w:lvlJc w:val="left"/>
      <w:lvlText w:val="%1."/>
      <w:numFmt w:val="decimal"/>
      <w:start w:val="8"/>
    </w:lvl>
    <w:lvl w:ilvl="1">
      <w:lvlJc w:val="left"/>
      <w:lvlText w:val="(%2)"/>
      <w:numFmt w:val="lowerLetter"/>
      <w:start w:val="1"/>
    </w:lvl>
  </w:abstractNum>
  <w:abstractNum w:abstractNumId="99">
    <w:nsid w:val="24E60401"/>
    <w:multiLevelType w:val="hybridMultilevel"/>
    <w:lvl w:ilvl="0">
      <w:lvlJc w:val="left"/>
      <w:lvlText w:val="(%1)"/>
      <w:numFmt w:val="lowerRoman"/>
      <w:start w:val="1"/>
    </w:lvl>
  </w:abstractNum>
  <w:abstractNum w:abstractNumId="100">
    <w:nsid w:val="2A6AD9BE"/>
    <w:multiLevelType w:val="hybridMultilevel"/>
    <w:lvl w:ilvl="0">
      <w:lvlJc w:val="left"/>
      <w:lvlText w:val="%1"/>
      <w:numFmt w:val="decimal"/>
      <w:start w:val="1"/>
    </w:lvl>
    <w:lvl w:ilvl="1">
      <w:lvlJc w:val="left"/>
      <w:lvlText w:val="(%2)"/>
      <w:numFmt w:val="lowerLetter"/>
      <w:start w:val="4"/>
    </w:lvl>
  </w:abstractNum>
  <w:abstractNum w:abstractNumId="101">
    <w:nsid w:val="BAAC1B4"/>
    <w:multiLevelType w:val="hybridMultilevel"/>
    <w:lvl w:ilvl="0">
      <w:lvlJc w:val="left"/>
      <w:lvlText w:val="%1."/>
      <w:numFmt w:val="decimal"/>
      <w:start w:val="9"/>
    </w:lvl>
    <w:lvl w:ilvl="1">
      <w:lvlJc w:val="left"/>
      <w:lvlText w:val="(%2)"/>
      <w:numFmt w:val="lowerLetter"/>
      <w:start w:val="1"/>
    </w:lvl>
  </w:abstractNum>
  <w:abstractNum w:abstractNumId="102">
    <w:nsid w:val="36B2ACBC"/>
    <w:multiLevelType w:val="hybridMultilevel"/>
    <w:lvl w:ilvl="0">
      <w:lvlJc w:val="left"/>
      <w:lvlText w:val="%1"/>
      <w:numFmt w:val="decimal"/>
      <w:start w:val="1"/>
    </w:lvl>
    <w:lvl w:ilvl="1">
      <w:lvlJc w:val="left"/>
      <w:lvlText w:val="(%2)"/>
      <w:numFmt w:val="lowerLetter"/>
      <w:start w:val="2"/>
    </w:lvl>
  </w:abstractNum>
  <w:abstractNum w:abstractNumId="103">
    <w:nsid w:val="779D8544"/>
    <w:multiLevelType w:val="hybridMultilevel"/>
    <w:lvl w:ilvl="0">
      <w:lvlJc w:val="left"/>
      <w:lvlText w:val="%1."/>
      <w:numFmt w:val="decimal"/>
      <w:start w:val="10"/>
    </w:lvl>
    <w:lvl w:ilvl="1">
      <w:lvlJc w:val="left"/>
      <w:lvlText w:val="(%2)"/>
      <w:numFmt w:val="lowerLetter"/>
      <w:start w:val="1"/>
    </w:lvl>
  </w:abstractNum>
  <w:abstractNum w:abstractNumId="104">
    <w:nsid w:val="4AB26E78"/>
    <w:multiLevelType w:val="hybridMultilevel"/>
    <w:lvl w:ilvl="0">
      <w:lvlJc w:val="left"/>
      <w:lvlText w:val="%1"/>
      <w:numFmt w:val="decimal"/>
      <w:start w:val="1"/>
    </w:lvl>
    <w:lvl w:ilvl="1">
      <w:lvlJc w:val="left"/>
      <w:lvlText w:val="(%2)"/>
      <w:numFmt w:val="lowerLetter"/>
      <w:start w:val="3"/>
    </w:lvl>
  </w:abstractNum>
  <w:abstractNum w:abstractNumId="105">
    <w:nsid w:val="21FAA2FA"/>
    <w:multiLevelType w:val="hybridMultilevel"/>
    <w:lvl w:ilvl="0">
      <w:lvlJc w:val="left"/>
      <w:lvlText w:val="%1."/>
      <w:numFmt w:val="decimal"/>
      <w:start w:val="14"/>
    </w:lvl>
    <w:lvl w:ilvl="1">
      <w:lvlJc w:val="left"/>
      <w:lvlText w:val="(%2)"/>
      <w:numFmt w:val="lowerLetter"/>
      <w:start w:val="1"/>
    </w:lvl>
  </w:abstractNum>
  <w:abstractNum w:abstractNumId="106">
    <w:nsid w:val="5451CF49"/>
    <w:multiLevelType w:val="hybridMultilevel"/>
    <w:lvl w:ilvl="0">
      <w:lvlJc w:val="left"/>
      <w:lvlText w:val="%1."/>
      <w:numFmt w:val="decimal"/>
      <w:start w:val="17"/>
    </w:lvl>
    <w:lvl w:ilvl="1">
      <w:lvlJc w:val="left"/>
      <w:lvlText w:val="(%2)"/>
      <w:numFmt w:val="lowerLetter"/>
      <w:start w:val="1"/>
    </w:lvl>
  </w:abstractNum>
  <w:abstractNum w:abstractNumId="107">
    <w:nsid w:val="6181EF69"/>
    <w:multiLevelType w:val="hybridMultilevel"/>
    <w:lvl w:ilvl="0">
      <w:lvlJc w:val="left"/>
      <w:lvlText w:val="%1"/>
      <w:numFmt w:val="decimal"/>
      <w:start w:val="1"/>
    </w:lvl>
    <w:lvl w:ilvl="1">
      <w:lvlJc w:val="left"/>
      <w:lvlText w:val="%2."/>
      <w:numFmt w:val="upperLetter"/>
      <w:start w:val="1"/>
    </w:lvl>
  </w:abstractNum>
  <w:abstractNum w:abstractNumId="108">
    <w:nsid w:val="3E6400E6"/>
    <w:multiLevelType w:val="hybridMultilevel"/>
    <w:lvl w:ilvl="0">
      <w:lvlJc w:val="left"/>
      <w:lvlText w:val="(%1)"/>
      <w:numFmt w:val="decimal"/>
      <w:start w:val="55"/>
    </w:lvl>
    <w:lvl w:ilvl="1">
      <w:lvlJc w:val="left"/>
      <w:lvlText w:val="%2"/>
      <w:numFmt w:val="upperLetter"/>
      <w:start w:val="1"/>
    </w:lvl>
  </w:abstractNum>
  <w:abstractNum w:abstractNumId="109">
    <w:nsid w:val="14217E23"/>
    <w:multiLevelType w:val="hybridMultilevel"/>
    <w:lvl w:ilvl="0">
      <w:lvlJc w:val="left"/>
      <w:lvlText w:val="%1."/>
      <w:numFmt w:val="upperLetter"/>
      <w:start w:val="10"/>
    </w:lvl>
  </w:abstractNum>
  <w:abstractNum w:abstractNumId="110">
    <w:nsid w:val="710757D0"/>
    <w:multiLevelType w:val="hybridMultilevel"/>
    <w:lvl w:ilvl="0">
      <w:lvlJc w:val="left"/>
      <w:lvlText w:val="%1."/>
      <w:numFmt w:val="upperLetter"/>
      <w:start w:val="20"/>
    </w:lvl>
    <w:lvl w:ilvl="1">
      <w:lvlJc w:val="left"/>
      <w:lvlText w:val="(%2)"/>
      <w:numFmt w:val="lowerRoman"/>
      <w:start w:val="1"/>
    </w:lvl>
  </w:abstractNum>
  <w:abstractNum w:abstractNumId="111">
    <w:nsid w:val="5015CD1A"/>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112">
    <w:nsid w:val="424479DA"/>
    <w:multiLevelType w:val="hybridMultilevel"/>
    <w:lvl w:ilvl="0">
      <w:lvlJc w:val="left"/>
      <w:lvlText w:val="%1"/>
      <w:numFmt w:val="upperLetter"/>
      <w:start w:val="1"/>
    </w:lvl>
    <w:lvl w:ilvl="1">
      <w:lvlJc w:val="left"/>
      <w:lvlText w:val="(%2)"/>
      <w:numFmt w:val="lowerRoman"/>
      <w:start w:val="4"/>
    </w:lvl>
    <w:lvl w:ilvl="2">
      <w:lvlJc w:val="left"/>
      <w:lvlText w:val="%3"/>
      <w:numFmt w:val="lowerLetter"/>
      <w:start w:val="1"/>
    </w:lvl>
  </w:abstractNum>
  <w:abstractNum w:abstractNumId="113">
    <w:nsid w:val="1A9A9E69"/>
    <w:multiLevelType w:val="hybridMultilevel"/>
    <w:lvl w:ilvl="0">
      <w:lvlJc w:val="left"/>
      <w:lvlText w:val="%1."/>
      <w:numFmt w:val="upperLetter"/>
      <w:start w:val="22"/>
    </w:lvl>
    <w:lvl w:ilvl="1">
      <w:lvlJc w:val="left"/>
      <w:lvlText w:val="%2"/>
      <w:numFmt w:val="lowerRoman"/>
      <w:start w:val="1"/>
    </w:lvl>
    <w:lvl w:ilvl="2">
      <w:lvlJc w:val="left"/>
      <w:lvlText w:val="%3"/>
      <w:numFmt w:val="lowerLetter"/>
      <w:start w:val="1"/>
    </w:lvl>
  </w:abstractNum>
  <w:abstractNum w:abstractNumId="114">
    <w:nsid w:val="475E256A"/>
    <w:multiLevelType w:val="hybridMultilevel"/>
    <w:lvl w:ilvl="0">
      <w:lvlJc w:val="left"/>
      <w:lvlText w:val="(%1)"/>
      <w:numFmt w:val="lowerLetter"/>
      <w:start w:val="1"/>
    </w:lvl>
  </w:abstractNum>
  <w:abstractNum w:abstractNumId="115">
    <w:nsid w:val="368DB37E"/>
    <w:multiLevelType w:val="hybridMultilevel"/>
    <w:lvl w:ilvl="0">
      <w:lvlJc w:val="left"/>
      <w:lvlText w:val="(%1)"/>
      <w:numFmt w:val="lowerLetter"/>
      <w:start w:val="1"/>
    </w:lvl>
  </w:abstractNum>
  <w:abstractNum w:abstractNumId="116">
    <w:nsid w:val="6A3B714C"/>
    <w:multiLevelType w:val="hybridMultilevel"/>
    <w:lvl w:ilvl="0">
      <w:lvlJc w:val="left"/>
      <w:lvlText w:val="*"/>
      <w:numFmt w:val="bullet"/>
      <w:start w:val="1"/>
    </w:lvl>
  </w:abstractNum>
  <w:abstractNum w:abstractNumId="117">
    <w:nsid w:val="327B517E"/>
    <w:multiLevelType w:val="hybridMultilevel"/>
    <w:lvl w:ilvl="0">
      <w:lvlJc w:val="left"/>
      <w:lvlText w:val="**"/>
      <w:numFmt w:val="bullet"/>
      <w:start w:val="1"/>
    </w:lvl>
  </w:abstractNum>
  <w:abstractNum w:abstractNumId="118">
    <w:nsid w:val="1F461B51"/>
    <w:multiLevelType w:val="hybridMultilevel"/>
    <w:lvl w:ilvl="0">
      <w:lvlJc w:val="left"/>
      <w:lvlText w:val="***"/>
      <w:numFmt w:val="bullet"/>
      <w:start w:val="1"/>
    </w:lvl>
  </w:abstractNum>
  <w:abstractNum w:abstractNumId="119">
    <w:nsid w:val="29BACF25"/>
    <w:multiLevelType w:val="hybridMultilevel"/>
    <w:lvl w:ilvl="0">
      <w:lvlJc w:val="left"/>
      <w:lvlText w:val="(%1)"/>
      <w:numFmt w:val="lowerRoman"/>
      <w:start w:val="2"/>
    </w:lvl>
  </w:abstractNum>
  <w:abstractNum w:abstractNumId="120">
    <w:nsid w:val="5D5BABB3"/>
    <w:multiLevelType w:val="hybridMultilevel"/>
    <w:lvl w:ilvl="0">
      <w:lvlJc w:val="left"/>
      <w:lvlText w:val="%1."/>
      <w:numFmt w:val="upperLetter"/>
      <w:start w:val="1"/>
    </w:lvl>
  </w:abstractNum>
  <w:abstractNum w:abstractNumId="121">
    <w:nsid w:val="51BF6B48"/>
    <w:multiLevelType w:val="hybridMultilevel"/>
    <w:lvl w:ilvl="0">
      <w:lvlJc w:val="left"/>
      <w:lvlText w:val="%1."/>
      <w:numFmt w:val="decimal"/>
      <w:start w:val="1"/>
    </w:lvl>
  </w:abstractNum>
  <w:abstractNum w:abstractNumId="122">
    <w:nsid w:val="7E0F638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3">
    <w:nsid w:val="2B4B8B5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61"/>
    </w:lvl>
  </w:abstractNum>
  <w:abstractNum w:abstractNumId="124">
    <w:nsid w:val="72E3413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Letter"/>
      <w:start w:val="9"/>
    </w:lvl>
  </w:abstractNum>
  <w:abstractNum w:abstractNumId="125">
    <w:nsid w:val="116AE494"/>
    <w:multiLevelType w:val="hybridMultilevel"/>
    <w:lvl w:ilvl="0">
      <w:lvlJc w:val="left"/>
      <w:lvlText w:val="%1"/>
      <w:numFmt w:val="lowerLetter"/>
      <w:start w:val="1"/>
    </w:lvl>
    <w:lvl w:ilvl="1">
      <w:lvlJc w:val="left"/>
      <w:lvlText w:val="(%2)"/>
      <w:numFmt w:val="lowerRoman"/>
      <w:start w:val="3"/>
    </w:lvl>
  </w:abstractNum>
  <w:abstractNum w:abstractNumId="126">
    <w:nsid w:val="3494B2FB"/>
    <w:multiLevelType w:val="hybridMultilevel"/>
    <w:lvl w:ilvl="0">
      <w:lvlJc w:val="left"/>
      <w:lvlText w:val="(%1)"/>
      <w:numFmt w:val="lowerLetter"/>
      <w:start w:val="2"/>
    </w:lvl>
    <w:lvl w:ilvl="1">
      <w:lvlJc w:val="left"/>
      <w:lvlText w:val="%2"/>
      <w:numFmt w:val="lowerRoman"/>
      <w:start w:val="1"/>
    </w:lvl>
  </w:abstractNum>
  <w:abstractNum w:abstractNumId="127">
    <w:nsid w:val="B13A31"/>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9"/>
    </w:lvl>
  </w:abstractNum>
  <w:abstractNum w:abstractNumId="128">
    <w:nsid w:val="64429599"/>
    <w:multiLevelType w:val="hybridMultilevel"/>
    <w:lvl w:ilvl="0">
      <w:lvlJc w:val="left"/>
      <w:lvlText w:val="(%1)"/>
      <w:numFmt w:val="lowerLetter"/>
      <w:start w:val="26"/>
    </w:lvl>
    <w:lvl w:ilvl="1">
      <w:lvlJc w:val="left"/>
      <w:lvlText w:val="%2"/>
      <w:numFmt w:val="lowerLetter"/>
      <w:start w:val="1"/>
    </w:lvl>
    <w:lvl w:ilvl="2">
      <w:lvlJc w:val="left"/>
      <w:lvlText w:val="(%3)"/>
      <w:numFmt w:val="lowerLetter"/>
      <w:start w:val="35"/>
    </w:lvl>
  </w:abstractNum>
  <w:abstractNum w:abstractNumId="129">
    <w:nsid w:val="631F1690"/>
    <w:multiLevelType w:val="hybridMultilevel"/>
    <w:lvl w:ilvl="0">
      <w:lvlJc w:val="left"/>
      <w:lvlText w:val="%1"/>
      <w:numFmt w:val="decimal"/>
      <w:start w:val="1"/>
    </w:lvl>
    <w:lvl w:ilvl="1">
      <w:lvlJc w:val="left"/>
      <w:lvlText w:val="(%2)"/>
      <w:numFmt w:val="lowerRoman"/>
      <w:start w:val="3"/>
    </w:lvl>
  </w:abstractNum>
  <w:abstractNum w:abstractNumId="130">
    <w:nsid w:val="25973E32"/>
    <w:multiLevelType w:val="hybridMultilevel"/>
    <w:lvl w:ilvl="0">
      <w:lvlJc w:val="left"/>
      <w:lvlText w:val="%1."/>
      <w:numFmt w:val="decimal"/>
      <w:start w:val="6"/>
    </w:lvl>
    <w:lvl w:ilvl="1">
      <w:lvlJc w:val="left"/>
      <w:lvlText w:val="%2"/>
      <w:numFmt w:val="lowerRoman"/>
      <w:start w:val="1"/>
    </w:lvl>
  </w:abstractNum>
  <w:abstractNum w:abstractNumId="131">
    <w:nsid w:val="EAD6F57"/>
    <w:multiLevelType w:val="hybridMultilevel"/>
    <w:lvl w:ilvl="0">
      <w:lvlJc w:val="left"/>
      <w:lvlText w:val="%1."/>
      <w:numFmt w:val="decimal"/>
      <w:start w:val="8"/>
    </w:lvl>
    <w:lvl w:ilvl="1">
      <w:lvlJc w:val="left"/>
      <w:lvlText w:val="(%2)"/>
      <w:numFmt w:val="lowerLetter"/>
      <w:start w:val="1"/>
    </w:lvl>
  </w:abstractNum>
  <w:abstractNum w:abstractNumId="132">
    <w:nsid w:val="6EC9D844"/>
    <w:multiLevelType w:val="hybridMultilevel"/>
    <w:lvl w:ilvl="0">
      <w:lvlJc w:val="left"/>
      <w:lvlText w:val="(%1)"/>
      <w:numFmt w:val="lowerRoman"/>
      <w:start w:val="1"/>
    </w:lvl>
  </w:abstractNum>
  <w:abstractNum w:abstractNumId="133">
    <w:nsid w:val="5C49EAEE"/>
    <w:multiLevelType w:val="hybridMultilevel"/>
    <w:lvl w:ilvl="0">
      <w:lvlJc w:val="left"/>
      <w:lvlText w:val="%1"/>
      <w:numFmt w:val="decimal"/>
      <w:start w:val="1"/>
    </w:lvl>
    <w:lvl w:ilvl="1">
      <w:lvlJc w:val="left"/>
      <w:lvlText w:val="(%2)"/>
      <w:numFmt w:val="lowerLetter"/>
      <w:start w:val="4"/>
    </w:lvl>
  </w:abstractNum>
  <w:abstractNum w:abstractNumId="134">
    <w:nsid w:val="64AF49B"/>
    <w:multiLevelType w:val="hybridMultilevel"/>
    <w:lvl w:ilvl="0">
      <w:lvlJc w:val="left"/>
      <w:lvlText w:val="%1."/>
      <w:numFmt w:val="decimal"/>
      <w:start w:val="9"/>
    </w:lvl>
    <w:lvl w:ilvl="1">
      <w:lvlJc w:val="left"/>
      <w:lvlText w:val="(%2)"/>
      <w:numFmt w:val="lowerLetter"/>
      <w:start w:val="1"/>
    </w:lvl>
  </w:abstractNum>
  <w:abstractNum w:abstractNumId="135">
    <w:nsid w:val="397C46BC"/>
    <w:multiLevelType w:val="hybridMultilevel"/>
    <w:lvl w:ilvl="0">
      <w:lvlJc w:val="left"/>
      <w:lvlText w:val="%1"/>
      <w:numFmt w:val="decimal"/>
      <w:start w:val="1"/>
    </w:lvl>
    <w:lvl w:ilvl="1">
      <w:lvlJc w:val="left"/>
      <w:lvlText w:val="(%2)"/>
      <w:numFmt w:val="lowerLetter"/>
      <w:start w:val="2"/>
    </w:lvl>
  </w:abstractNum>
  <w:abstractNum w:abstractNumId="136">
    <w:nsid w:val="7E448DE9"/>
    <w:multiLevelType w:val="hybridMultilevel"/>
    <w:lvl w:ilvl="0">
      <w:lvlJc w:val="left"/>
      <w:lvlText w:val="%1."/>
      <w:numFmt w:val="decimal"/>
      <w:start w:val="10"/>
    </w:lvl>
    <w:lvl w:ilvl="1">
      <w:lvlJc w:val="left"/>
      <w:lvlText w:val="(%2)"/>
      <w:numFmt w:val="lowerLetter"/>
      <w:start w:val="1"/>
    </w:lvl>
  </w:abstractNum>
  <w:abstractNum w:abstractNumId="137">
    <w:nsid w:val="5A9CC3E5"/>
    <w:multiLevelType w:val="hybridMultilevel"/>
    <w:lvl w:ilvl="0">
      <w:lvlJc w:val="left"/>
      <w:lvlText w:val="%1"/>
      <w:numFmt w:val="decimal"/>
      <w:start w:val="1"/>
    </w:lvl>
    <w:lvl w:ilvl="1">
      <w:lvlJc w:val="left"/>
      <w:lvlText w:val="(%2)"/>
      <w:numFmt w:val="lowerLetter"/>
      <w:start w:val="3"/>
    </w:lvl>
  </w:abstractNum>
  <w:abstractNum w:abstractNumId="138">
    <w:nsid w:val="1AFE3625"/>
    <w:multiLevelType w:val="hybridMultilevel"/>
    <w:lvl w:ilvl="0">
      <w:lvlJc w:val="left"/>
      <w:lvlText w:val="%1."/>
      <w:numFmt w:val="decimal"/>
      <w:start w:val="14"/>
    </w:lvl>
    <w:lvl w:ilvl="1">
      <w:lvlJc w:val="left"/>
      <w:lvlText w:val="(%2)"/>
      <w:numFmt w:val="lowerLetter"/>
      <w:start w:val="1"/>
    </w:lvl>
  </w:abstractNum>
  <w:abstractNum w:abstractNumId="139">
    <w:nsid w:val="3CA88ECF"/>
    <w:multiLevelType w:val="hybridMultilevel"/>
    <w:lvl w:ilvl="0">
      <w:lvlJc w:val="left"/>
      <w:lvlText w:val="%1."/>
      <w:numFmt w:val="decimal"/>
      <w:start w:val="17"/>
    </w:lvl>
    <w:lvl w:ilvl="1">
      <w:lvlJc w:val="left"/>
      <w:lvlText w:val="(%2)"/>
      <w:numFmt w:val="lowerLetter"/>
      <w:start w:val="1"/>
    </w:lvl>
  </w:abstractNum>
  <w:abstractNum w:abstractNumId="140">
    <w:nsid w:val="6EBE4208"/>
    <w:multiLevelType w:val="hybridMultilevel"/>
    <w:lvl w:ilvl="0">
      <w:lvlJc w:val="left"/>
      <w:lvlText w:val="%1"/>
      <w:numFmt w:val="decimal"/>
      <w:start w:val="1"/>
    </w:lvl>
    <w:lvl w:ilvl="1">
      <w:lvlJc w:val="left"/>
      <w:lvlText w:val="%2."/>
      <w:numFmt w:val="upperLetter"/>
      <w:start w:val="1"/>
    </w:lvl>
  </w:abstractNum>
  <w:abstractNum w:abstractNumId="141">
    <w:nsid w:val="C058DF5"/>
    <w:multiLevelType w:val="hybridMultilevel"/>
    <w:lvl w:ilvl="0">
      <w:lvlJc w:val="left"/>
      <w:lvlText w:val="(%1)"/>
      <w:numFmt w:val="decimal"/>
      <w:start w:val="55"/>
    </w:lvl>
    <w:lvl w:ilvl="1">
      <w:lvlJc w:val="left"/>
      <w:lvlText w:val="%2"/>
      <w:numFmt w:val="upperLetter"/>
      <w:start w:val="1"/>
    </w:lvl>
  </w:abstractNum>
  <w:abstractNum w:abstractNumId="142">
    <w:nsid w:val="CBE5BE9"/>
    <w:multiLevelType w:val="hybridMultilevel"/>
    <w:lvl w:ilvl="0">
      <w:lvlJc w:val="left"/>
      <w:lvlText w:val="%1."/>
      <w:numFmt w:val="upperLetter"/>
      <w:start w:val="10"/>
    </w:lvl>
  </w:abstractNum>
  <w:abstractNum w:abstractNumId="143">
    <w:nsid w:val="3102BBE2"/>
    <w:multiLevelType w:val="hybridMultilevel"/>
    <w:lvl w:ilvl="0">
      <w:lvlJc w:val="left"/>
      <w:lvlText w:val="%1."/>
      <w:numFmt w:val="upperLetter"/>
      <w:start w:val="20"/>
    </w:lvl>
    <w:lvl w:ilvl="1">
      <w:lvlJc w:val="left"/>
      <w:lvlText w:val="(%2)"/>
      <w:numFmt w:val="lowerRoman"/>
      <w:start w:val="1"/>
    </w:lvl>
  </w:abstractNum>
  <w:abstractNum w:abstractNumId="144">
    <w:nsid w:val="26A02C5E"/>
    <w:multiLevelType w:val="hybridMultilevel"/>
    <w:lvl w:ilvl="0">
      <w:lvlJc w:val="left"/>
      <w:lvlText w:val="%1."/>
      <w:numFmt w:val="lowerLetter"/>
      <w:start w:val="1"/>
    </w:lvl>
  </w:abstractNum>
  <w:abstractNum w:abstractNumId="145">
    <w:nsid w:val="541C8153"/>
    <w:multiLevelType w:val="hybridMultilevel"/>
    <w:lvl w:ilvl="0">
      <w:lvlJc w:val="left"/>
      <w:lvlText w:val="(%1)"/>
      <w:numFmt w:val="lowerRoman"/>
      <w:start w:val="4"/>
    </w:lvl>
  </w:abstractNum>
  <w:abstractNum w:abstractNumId="146">
    <w:nsid w:val="67906F60"/>
    <w:multiLevelType w:val="hybridMultilevel"/>
    <w:lvl w:ilvl="0">
      <w:lvlJc w:val="left"/>
      <w:lvlText w:val="%1."/>
      <w:numFmt w:val="upperLetter"/>
      <w:start w:val="22"/>
    </w:lvl>
  </w:abstractNum>
  <w:abstractNum w:abstractNumId="147">
    <w:nsid w:val="10DB9DAA"/>
    <w:multiLevelType w:val="hybridMultilevel"/>
    <w:lvl w:ilvl="0">
      <w:lvlJc w:val="left"/>
      <w:lvlText w:val="(%1)"/>
      <w:numFmt w:val="lowerLetter"/>
      <w:start w:val="1"/>
    </w:lvl>
  </w:abstractNum>
  <w:abstractNum w:abstractNumId="148">
    <w:nsid w:val="697D2D2"/>
    <w:multiLevelType w:val="hybridMultilevel"/>
    <w:lvl w:ilvl="0">
      <w:lvlJc w:val="left"/>
      <w:lvlText w:val="(%1)"/>
      <w:numFmt w:val="lowerLetter"/>
      <w:start w:val="1"/>
    </w:lvl>
  </w:abstractNum>
  <w:abstractNum w:abstractNumId="149">
    <w:nsid w:val="6D68AB2"/>
    <w:multiLevelType w:val="hybridMultilevel"/>
    <w:lvl w:ilvl="0">
      <w:lvlJc w:val="left"/>
      <w:lvlText w:val="%1."/>
      <w:numFmt w:val="upperLetter"/>
      <w:start w:val="1"/>
    </w:lvl>
  </w:abstractNum>
  <w:abstractNum w:abstractNumId="150">
    <w:nsid w:val="3A966CD0"/>
    <w:multiLevelType w:val="hybridMultilevel"/>
    <w:lvl w:ilvl="0">
      <w:lvlJc w:val="left"/>
      <w:lvlText w:val="%1."/>
      <w:numFmt w:val="decimal"/>
      <w:start w:val="1"/>
    </w:lvl>
  </w:abstractNum>
  <w:abstractNum w:abstractNumId="151">
    <w:nsid w:val="63F37E85"/>
    <w:multiLevelType w:val="hybridMultilevel"/>
    <w:lvl w:ilvl="0">
      <w:lvlJc w:val="left"/>
      <w:lvlText w:val="(%1)"/>
      <w:numFmt w:val="lowerLetter"/>
      <w:start w:val="1"/>
    </w:lvl>
    <w:lvl w:ilvl="1">
      <w:lvlJc w:val="left"/>
      <w:lvlText w:val="(%2)"/>
      <w:numFmt w:val="lowerRoman"/>
      <w:start w:val="1"/>
    </w:lvl>
  </w:abstractNum>
  <w:abstractNum w:abstractNumId="152">
    <w:nsid w:val="5895F5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53">
    <w:nsid w:val="38A5D054"/>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54">
    <w:nsid w:val="F3F09D8"/>
    <w:multiLevelType w:val="hybridMultilevel"/>
    <w:lvl w:ilvl="0">
      <w:lvlJc w:val="left"/>
      <w:lvlText w:val="(%1)"/>
      <w:numFmt w:val="lowerRoman"/>
      <w:start w:val="2"/>
    </w:lvl>
  </w:abstractNum>
  <w:abstractNum w:abstractNumId="155">
    <w:nsid w:val="4B793735"/>
    <w:multiLevelType w:val="hybridMultilevel"/>
    <w:lvl w:ilvl="0">
      <w:lvlJc w:val="left"/>
      <w:lvlText w:val="%1"/>
      <w:numFmt w:val="lowerLetter"/>
      <w:start w:val="1"/>
    </w:lvl>
    <w:lvl w:ilvl="1">
      <w:lvlJc w:val="left"/>
      <w:lvlText w:val="(%2)"/>
      <w:numFmt w:val="lowerRoman"/>
      <w:start w:val="3"/>
    </w:lvl>
  </w:abstractNum>
  <w:abstractNum w:abstractNumId="156">
    <w:nsid w:val="4A10B4E8"/>
    <w:multiLevelType w:val="hybridMultilevel"/>
    <w:lvl w:ilvl="0">
      <w:lvlJc w:val="left"/>
      <w:lvlText w:val="(%1)"/>
      <w:numFmt w:val="lowerLetter"/>
      <w:start w:val="2"/>
    </w:lvl>
    <w:lvl w:ilvl="1">
      <w:lvlJc w:val="left"/>
      <w:lvlText w:val="%2"/>
      <w:numFmt w:val="lowerRoman"/>
      <w:start w:val="1"/>
    </w:lvl>
  </w:abstractNum>
  <w:abstractNum w:abstractNumId="157">
    <w:nsid w:val="43D3BCD4"/>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9"/>
    </w:lvl>
  </w:abstractNum>
  <w:abstractNum w:abstractNumId="158">
    <w:nsid w:val="4C2A7166"/>
    <w:multiLevelType w:val="hybridMultilevel"/>
    <w:lvl w:ilvl="0">
      <w:lvlJc w:val="left"/>
      <w:lvlText w:val="(%1)"/>
      <w:numFmt w:val="lowerLetter"/>
      <w:start w:val="26"/>
    </w:lvl>
    <w:lvl w:ilvl="1">
      <w:lvlJc w:val="left"/>
      <w:lvlText w:val="%2"/>
      <w:numFmt w:val="lowerLetter"/>
      <w:start w:val="1"/>
    </w:lvl>
    <w:lvl w:ilvl="2">
      <w:lvlJc w:val="left"/>
      <w:lvlText w:val="(%3)"/>
      <w:numFmt w:val="lowerLetter"/>
      <w:start w:val="35"/>
    </w:lvl>
  </w:abstractNum>
  <w:abstractNum w:abstractNumId="159">
    <w:nsid w:val="2E534A82"/>
    <w:multiLevelType w:val="hybridMultilevel"/>
    <w:lvl w:ilvl="0">
      <w:lvlJc w:val="left"/>
      <w:lvlText w:val="(%1)"/>
      <w:numFmt w:val="lowerRoman"/>
      <w:start w:val="3"/>
    </w:lvl>
  </w:abstractNum>
  <w:abstractNum w:abstractNumId="160">
    <w:nsid w:val="26F2D364"/>
    <w:multiLevelType w:val="hybridMultilevel"/>
    <w:lvl w:ilvl="0">
      <w:lvlJc w:val="left"/>
      <w:lvlText w:val="%1"/>
      <w:numFmt w:val="decimal"/>
      <w:start w:val="1"/>
    </w:lvl>
    <w:lvl w:ilvl="1">
      <w:lvlJc w:val="left"/>
      <w:lvlText w:val="(%2)"/>
      <w:numFmt w:val="lowerRoman"/>
      <w:start w:val="4"/>
    </w:lvl>
  </w:abstractNum>
  <w:abstractNum w:abstractNumId="161">
    <w:nsid w:val="71C1AF98"/>
    <w:multiLevelType w:val="hybridMultilevel"/>
    <w:lvl w:ilvl="0">
      <w:lvlJc w:val="left"/>
      <w:lvlText w:val="%1."/>
      <w:numFmt w:val="decimal"/>
      <w:start w:val="6"/>
    </w:lvl>
    <w:lvl w:ilvl="1">
      <w:lvlJc w:val="left"/>
      <w:lvlText w:val="%2"/>
      <w:numFmt w:val="lowerRoman"/>
      <w:start w:val="1"/>
    </w:lvl>
  </w:abstractNum>
  <w:abstractNum w:abstractNumId="162">
    <w:nsid w:val="3D00B9D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63">
    <w:nsid w:val="15BCABA8"/>
    <w:multiLevelType w:val="hybridMultilevel"/>
    <w:lvl w:ilvl="0">
      <w:lvlJc w:val="left"/>
      <w:lvlText w:val="%1"/>
      <w:numFmt w:val="decimal"/>
      <w:start w:val="1"/>
    </w:lvl>
    <w:lvl w:ilvl="1">
      <w:lvlJc w:val="left"/>
      <w:lvlText w:val="(%2)"/>
      <w:numFmt w:val="lowerLetter"/>
      <w:start w:val="4"/>
    </w:lvl>
  </w:abstractNum>
  <w:abstractNum w:abstractNumId="164">
    <w:nsid w:val="4E0B9A87"/>
    <w:multiLevelType w:val="hybridMultilevel"/>
    <w:lvl w:ilvl="0">
      <w:lvlJc w:val="left"/>
      <w:lvlText w:val="%1."/>
      <w:numFmt w:val="decimal"/>
      <w:start w:val="9"/>
    </w:lvl>
    <w:lvl w:ilvl="1">
      <w:lvlJc w:val="left"/>
      <w:lvlText w:val="(%2)"/>
      <w:numFmt w:val="lowerLetter"/>
      <w:start w:val="1"/>
    </w:lvl>
  </w:abstractNum>
  <w:abstractNum w:abstractNumId="165">
    <w:nsid w:val="434BAE75"/>
    <w:multiLevelType w:val="hybridMultilevel"/>
    <w:lvl w:ilvl="0">
      <w:lvlJc w:val="left"/>
      <w:lvlText w:val="%1"/>
      <w:numFmt w:val="decimal"/>
      <w:start w:val="1"/>
    </w:lvl>
    <w:lvl w:ilvl="1">
      <w:lvlJc w:val="left"/>
      <w:lvlText w:val="(%2)"/>
      <w:numFmt w:val="lowerLetter"/>
      <w:start w:val="2"/>
    </w:lvl>
  </w:abstractNum>
  <w:abstractNum w:abstractNumId="166">
    <w:nsid w:val="4F38F265"/>
    <w:multiLevelType w:val="hybridMultilevel"/>
    <w:lvl w:ilvl="0">
      <w:lvlJc w:val="left"/>
      <w:lvlText w:val="%1."/>
      <w:numFmt w:val="decimal"/>
      <w:start w:val="10"/>
    </w:lvl>
    <w:lvl w:ilvl="1">
      <w:lvlJc w:val="left"/>
      <w:lvlText w:val="(%2)"/>
      <w:numFmt w:val="lowerLetter"/>
      <w:start w:val="1"/>
    </w:lvl>
  </w:abstractNum>
  <w:abstractNum w:abstractNumId="167">
    <w:nsid w:val="4C502870"/>
    <w:multiLevelType w:val="hybridMultilevel"/>
    <w:lvl w:ilvl="0">
      <w:lvlJc w:val="left"/>
      <w:lvlText w:val="%1."/>
      <w:numFmt w:val="decimal"/>
      <w:start w:val="14"/>
    </w:lvl>
    <w:lvl w:ilvl="1">
      <w:lvlJc w:val="left"/>
      <w:lvlText w:val="(%2)"/>
      <w:numFmt w:val="lowerLetter"/>
      <w:start w:val="1"/>
    </w:lvl>
  </w:abstractNum>
  <w:abstractNum w:abstractNumId="168">
    <w:nsid w:val="1DE8725A"/>
    <w:multiLevelType w:val="hybridMultilevel"/>
    <w:lvl w:ilvl="0">
      <w:lvlJc w:val="left"/>
      <w:lvlText w:val="%1."/>
      <w:numFmt w:val="decimal"/>
      <w:start w:val="17"/>
    </w:lvl>
    <w:lvl w:ilvl="1">
      <w:lvlJc w:val="left"/>
      <w:lvlText w:val="(%2)"/>
      <w:numFmt w:val="lowerLetter"/>
      <w:start w:val="1"/>
    </w:lvl>
  </w:abstractNum>
  <w:abstractNum w:abstractNumId="169">
    <w:nsid w:val="6A37288A"/>
    <w:multiLevelType w:val="hybridMultilevel"/>
    <w:lvl w:ilvl="0">
      <w:lvlJc w:val="left"/>
      <w:lvlText w:val="%1"/>
      <w:numFmt w:val="decimal"/>
      <w:start w:val="1"/>
    </w:lvl>
    <w:lvl w:ilvl="1">
      <w:lvlJc w:val="left"/>
      <w:lvlText w:val="%2."/>
      <w:numFmt w:val="upperLetter"/>
      <w:start w:val="1"/>
    </w:lvl>
  </w:abstractNum>
  <w:abstractNum w:abstractNumId="170">
    <w:nsid w:val="8F8B73F"/>
    <w:multiLevelType w:val="hybridMultilevel"/>
    <w:lvl w:ilvl="0">
      <w:lvlJc w:val="left"/>
      <w:lvlText w:val="(%1)"/>
      <w:numFmt w:val="decimal"/>
      <w:start w:val="55"/>
    </w:lvl>
    <w:lvl w:ilvl="1">
      <w:lvlJc w:val="left"/>
      <w:lvlText w:val="%2."/>
      <w:numFmt w:val="upperLetter"/>
      <w:start w:val="10"/>
    </w:lvl>
  </w:abstractNum>
  <w:abstractNum w:abstractNumId="171">
    <w:nsid w:val="CA6B462"/>
    <w:multiLevelType w:val="hybridMultilevel"/>
    <w:lvl w:ilvl="0">
      <w:lvlJc w:val="left"/>
      <w:lvlText w:val="%1."/>
      <w:numFmt w:val="upperLetter"/>
      <w:start w:val="11"/>
    </w:lvl>
  </w:abstractNum>
  <w:abstractNum w:abstractNumId="172">
    <w:nsid w:val="763CB680"/>
    <w:multiLevelType w:val="hybridMultilevel"/>
    <w:lvl w:ilvl="0">
      <w:lvlJc w:val="left"/>
      <w:lvlText w:val="(%1)"/>
      <w:numFmt w:val="lowerLetter"/>
      <w:start w:val="3"/>
    </w:lvl>
    <w:lvl w:ilvl="1">
      <w:lvlJc w:val="left"/>
      <w:lvlText w:val="%2."/>
      <w:numFmt w:val="upperLetter"/>
      <w:start w:val="21"/>
    </w:lvl>
    <w:lvl w:ilvl="2">
      <w:lvlJc w:val="left"/>
      <w:lvlText w:val="(%3)"/>
      <w:numFmt w:val="lowerRoman"/>
      <w:start w:val="1"/>
    </w:lvl>
    <w:lvl w:ilvl="3">
      <w:lvlJc w:val="left"/>
      <w:lvlText w:val="%4."/>
      <w:numFmt w:val="lowerLetter"/>
      <w:start w:val="1"/>
    </w:lvl>
  </w:abstractNum>
  <w:abstractNum w:abstractNumId="173">
    <w:nsid w:val="15B71329"/>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2"/>
    </w:lvl>
  </w:abstractNum>
  <w:abstractNum w:abstractNumId="174">
    <w:nsid w:val="3DA97044"/>
    <w:multiLevelType w:val="hybridMultilevel"/>
    <w:lvl w:ilvl="0">
      <w:lvlJc w:val="left"/>
      <w:lvlText w:val="%1"/>
      <w:numFmt w:val="upperLetter"/>
      <w:start w:val="1"/>
    </w:lvl>
    <w:lvl w:ilvl="1">
      <w:lvlJc w:val="left"/>
      <w:lvlText w:val="(%2)"/>
      <w:numFmt w:val="lowerRoman"/>
      <w:start w:val="4"/>
    </w:lvl>
    <w:lvl w:ilvl="2">
      <w:lvlJc w:val="left"/>
      <w:lvlText w:val="%3"/>
      <w:numFmt w:val="lowerLetter"/>
      <w:start w:val="1"/>
    </w:lvl>
  </w:abstractNum>
  <w:abstractNum w:abstractNumId="175">
    <w:nsid w:val="1CDCE2DE"/>
    <w:multiLevelType w:val="hybridMultilevel"/>
    <w:lvl w:ilvl="0">
      <w:lvlJc w:val="left"/>
      <w:lvlText w:val="%1."/>
      <w:numFmt w:val="upperLetter"/>
      <w:start w:val="22"/>
    </w:lvl>
    <w:lvl w:ilvl="1">
      <w:lvlJc w:val="left"/>
      <w:lvlText w:val="%2"/>
      <w:numFmt w:val="lowerRoman"/>
      <w:start w:val="1"/>
    </w:lvl>
    <w:lvl w:ilvl="2">
      <w:lvlJc w:val="left"/>
      <w:lvlText w:val="%3"/>
      <w:numFmt w:val="lowerLetter"/>
      <w:start w:val="1"/>
    </w:lvl>
  </w:abstractNum>
  <w:abstractNum w:abstractNumId="176">
    <w:nsid w:val="69D3947C"/>
    <w:multiLevelType w:val="hybridMultilevel"/>
    <w:lvl w:ilvl="0">
      <w:lvlJc w:val="left"/>
      <w:lvlText w:val="(%1)"/>
      <w:numFmt w:val="lowerLetter"/>
      <w:start w:val="1"/>
    </w:lvl>
  </w:abstractNum>
  <w:abstractNum w:abstractNumId="177">
    <w:nsid w:val="2539DFA5"/>
    <w:multiLevelType w:val="hybridMultilevel"/>
    <w:lvl w:ilvl="0">
      <w:lvlJc w:val="left"/>
      <w:lvlText w:val="(%1)"/>
      <w:numFmt w:val="lowerLetter"/>
      <w:start w:val="1"/>
    </w:lvl>
  </w:abstractNum>
  <w:abstractNum w:abstractNumId="178">
    <w:nsid w:val="2DB88089"/>
    <w:multiLevelType w:val="hybridMultilevel"/>
    <w:lvl w:ilvl="0">
      <w:lvlJc w:val="left"/>
      <w:lvlText w:val="(%1)"/>
      <w:numFmt w:val="lowerLetter"/>
      <w:start w:val="2"/>
    </w:lvl>
  </w:abstractNum>
  <w:abstractNum w:abstractNumId="179">
    <w:nsid w:val="706B674E"/>
    <w:multiLevelType w:val="hybridMultilevel"/>
    <w:lvl w:ilvl="0">
      <w:lvlJc w:val="left"/>
      <w:lvlText w:val="%1."/>
      <w:numFmt w:val="upperLetter"/>
      <w:start w:val="1"/>
    </w:lvl>
  </w:abstractNum>
  <w:abstractNum w:abstractNumId="180">
    <w:nsid w:val="2C106A57"/>
    <w:multiLevelType w:val="hybridMultilevel"/>
    <w:lvl w:ilvl="0">
      <w:lvlJc w:val="left"/>
      <w:lvlText w:val="%1."/>
      <w:numFmt w:val="decimal"/>
      <w:start w:val="1"/>
    </w:lvl>
  </w:abstractNum>
  <w:abstractNum w:abstractNumId="181">
    <w:nsid w:val="684EED59"/>
    <w:multiLevelType w:val="hybridMultilevel"/>
    <w:lvl w:ilvl="0">
      <w:lvlJc w:val="left"/>
      <w:lvlText w:val="%1."/>
      <w:numFmt w:val="decimal"/>
      <w:start w:val="3"/>
    </w:lvl>
    <w:lvl w:ilvl="1">
      <w:lvlJc w:val="left"/>
      <w:lvlText w:val="(%2)"/>
      <w:numFmt w:val="lowerLetter"/>
      <w:start w:val="1"/>
    </w:lvl>
  </w:abstractNum>
  <w:abstractNum w:abstractNumId="182">
    <w:nsid w:val="545EE5D3"/>
    <w:multiLevelType w:val="hybridMultilevel"/>
    <w:lvl w:ilvl="0">
      <w:lvlJc w:val="left"/>
      <w:lvlText w:val="%1."/>
      <w:numFmt w:val="decimal"/>
      <w:start w:val="5"/>
    </w:lvl>
    <w:lvl w:ilvl="1">
      <w:lvlJc w:val="left"/>
      <w:lvlText w:val="(%2)"/>
      <w:numFmt w:val="lowerLetter"/>
      <w:start w:val="1"/>
    </w:lvl>
  </w:abstractNum>
  <w:abstractNum w:abstractNumId="183">
    <w:nsid w:val="4A6605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84">
    <w:nsid w:val="20F4BDA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85">
    <w:nsid w:val="639DEFAC"/>
    <w:multiLevelType w:val="hybridMultilevel"/>
    <w:lvl w:ilvl="0">
      <w:lvlJc w:val="left"/>
      <w:lvlText w:val="(%1)"/>
      <w:numFmt w:val="lowerRoman"/>
      <w:start w:val="3"/>
    </w:lvl>
  </w:abstractNum>
  <w:abstractNum w:abstractNumId="186">
    <w:nsid w:val="501F9786"/>
    <w:multiLevelType w:val="hybridMultilevel"/>
    <w:lvl w:ilvl="0">
      <w:lvlJc w:val="left"/>
      <w:lvlText w:val="%1"/>
      <w:numFmt w:val="lowerLetter"/>
      <w:start w:val="1"/>
    </w:lvl>
    <w:lvl w:ilvl="1">
      <w:lvlJc w:val="left"/>
      <w:lvlText w:val="(%2)"/>
      <w:numFmt w:val="lowerRoman"/>
      <w:start w:val="7"/>
    </w:lvl>
  </w:abstractNum>
  <w:abstractNum w:abstractNumId="187">
    <w:nsid w:val="6B057295"/>
    <w:multiLevelType w:val="hybridMultilevel"/>
    <w:lvl w:ilvl="0">
      <w:lvlJc w:val="left"/>
      <w:lvlText w:val="(%1)"/>
      <w:numFmt w:val="lowerLetter"/>
      <w:start w:val="2"/>
    </w:lvl>
    <w:lvl w:ilvl="1">
      <w:lvlJc w:val="left"/>
      <w:lvlText w:val="(%2)"/>
      <w:numFmt w:val="lowerRoman"/>
      <w:start w:val="1"/>
    </w:lvl>
  </w:abstractNum>
  <w:abstractNum w:abstractNumId="188">
    <w:nsid w:val="2771AC80"/>
    <w:multiLevelType w:val="hybridMultilevel"/>
    <w:lvl w:ilvl="0">
      <w:lvlJc w:val="left"/>
      <w:lvlText w:val="%1"/>
      <w:numFmt w:val="decimal"/>
      <w:start w:val="1"/>
    </w:lvl>
    <w:lvl w:ilvl="1">
      <w:lvlJc w:val="left"/>
      <w:lvlText w:val="(%2)"/>
      <w:numFmt w:val="lowerLetter"/>
      <w:start w:val="4"/>
    </w:lvl>
  </w:abstractNum>
  <w:abstractNum w:abstractNumId="189">
    <w:nsid w:val="1C4A08EC"/>
    <w:multiLevelType w:val="hybridMultilevel"/>
    <w:lvl w:ilvl="0">
      <w:lvlJc w:val="left"/>
      <w:lvlText w:val="%1."/>
      <w:numFmt w:val="decimal"/>
      <w:start w:val="8"/>
    </w:lvl>
    <w:lvl w:ilvl="1">
      <w:lvlJc w:val="left"/>
      <w:lvlText w:val="(%2)"/>
      <w:numFmt w:val="lowerLetter"/>
      <w:start w:val="1"/>
    </w:lvl>
  </w:abstractNum>
  <w:abstractNum w:abstractNumId="190">
    <w:nsid w:val="1958BD17"/>
    <w:multiLevelType w:val="hybridMultilevel"/>
    <w:lvl w:ilvl="0">
      <w:lvlJc w:val="left"/>
      <w:lvlText w:val="%1"/>
      <w:numFmt w:val="decimal"/>
      <w:start w:val="1"/>
    </w:lvl>
    <w:lvl w:ilvl="1">
      <w:lvlJc w:val="left"/>
      <w:lvlText w:val="(%2)"/>
      <w:numFmt w:val="lowerLetter"/>
      <w:start w:val="2"/>
    </w:lvl>
  </w:abstractNum>
  <w:abstractNum w:abstractNumId="191">
    <w:nsid w:val="4E647FE4"/>
    <w:multiLevelType w:val="hybridMultilevel"/>
    <w:lvl w:ilvl="0">
      <w:lvlJc w:val="left"/>
      <w:lvlText w:val="%1."/>
      <w:numFmt w:val="decimal"/>
      <w:start w:val="9"/>
    </w:lvl>
    <w:lvl w:ilvl="1">
      <w:lvlJc w:val="left"/>
      <w:lvlText w:val="(%2)"/>
      <w:numFmt w:val="lowerLetter"/>
      <w:start w:val="1"/>
    </w:lvl>
  </w:abstractNum>
  <w:abstractNum w:abstractNumId="192">
    <w:nsid w:val="E0BB885"/>
    <w:multiLevelType w:val="hybridMultilevel"/>
    <w:lvl w:ilvl="0">
      <w:lvlJc w:val="left"/>
      <w:lvlText w:val="%1"/>
      <w:numFmt w:val="decimal"/>
      <w:start w:val="1"/>
    </w:lvl>
    <w:lvl w:ilvl="1">
      <w:lvlJc w:val="left"/>
      <w:lvlText w:val="(%2)"/>
      <w:numFmt w:val="lowerLetter"/>
      <w:start w:val="2"/>
    </w:lvl>
  </w:abstractNum>
  <w:abstractNum w:abstractNumId="193">
    <w:nsid w:val="565976F1"/>
    <w:multiLevelType w:val="hybridMultilevel"/>
    <w:lvl w:ilvl="0">
      <w:lvlJc w:val="left"/>
      <w:lvlText w:val="%1."/>
      <w:numFmt w:val="decimal"/>
      <w:start w:val="14"/>
    </w:lvl>
    <w:lvl w:ilvl="1">
      <w:lvlJc w:val="left"/>
      <w:lvlText w:val="(%2)"/>
      <w:numFmt w:val="lowerLetter"/>
      <w:start w:val="1"/>
    </w:lvl>
  </w:abstractNum>
  <w:abstractNum w:abstractNumId="194">
    <w:nsid w:val="64212B8C"/>
    <w:multiLevelType w:val="hybridMultilevel"/>
    <w:lvl w:ilvl="0">
      <w:lvlJc w:val="left"/>
      <w:lvlText w:val="%1"/>
      <w:numFmt w:val="decimal"/>
      <w:start w:val="1"/>
    </w:lvl>
    <w:lvl w:ilvl="1">
      <w:lvlJc w:val="left"/>
      <w:lvlText w:val="(%2)"/>
      <w:numFmt w:val="lowerLetter"/>
      <w:start w:val="2"/>
    </w:lvl>
  </w:abstractNum>
  <w:abstractNum w:abstractNumId="195">
    <w:nsid w:val="5C17530C"/>
    <w:multiLevelType w:val="hybridMultilevel"/>
    <w:lvl w:ilvl="0">
      <w:lvlJc w:val="left"/>
      <w:lvlText w:val="%1."/>
      <w:numFmt w:val="decimal"/>
      <w:start w:val="16"/>
    </w:lvl>
    <w:lvl w:ilvl="1">
      <w:lvlJc w:val="left"/>
      <w:lvlText w:val="(%2)"/>
      <w:numFmt w:val="lowerLetter"/>
      <w:start w:val="1"/>
    </w:lvl>
  </w:abstractNum>
  <w:abstractNum w:abstractNumId="196">
    <w:nsid w:val="19A52566"/>
    <w:multiLevelType w:val="hybridMultilevel"/>
    <w:lvl w:ilvl="0">
      <w:lvlJc w:val="left"/>
      <w:lvlText w:val="%1."/>
      <w:numFmt w:val="decimal"/>
      <w:start w:val="20"/>
    </w:lvl>
  </w:abstractNum>
  <w:abstractNum w:abstractNumId="197">
    <w:nsid w:val="335A1DF1"/>
    <w:multiLevelType w:val="hybridMultilevel"/>
    <w:lvl w:ilvl="0">
      <w:lvlJc w:val="left"/>
      <w:lvlText w:val="%1"/>
      <w:numFmt w:val="decimal"/>
      <w:start w:val="1"/>
    </w:lvl>
    <w:lvl w:ilvl="1">
      <w:lvlJc w:val="left"/>
      <w:lvlText w:val="%2."/>
      <w:numFmt w:val="upperLetter"/>
      <w:start w:val="1"/>
    </w:lvl>
  </w:abstractNum>
  <w:abstractNum w:abstractNumId="198">
    <w:nsid w:val="28677B7C"/>
    <w:multiLevelType w:val="hybridMultilevel"/>
    <w:lvl w:ilvl="0">
      <w:lvlJc w:val="left"/>
      <w:lvlText w:val="(%1)"/>
      <w:numFmt w:val="decimal"/>
      <w:start w:val="55"/>
    </w:lvl>
    <w:lvl w:ilvl="1">
      <w:lvlJc w:val="left"/>
      <w:lvlText w:val="%2."/>
      <w:numFmt w:val="upperLetter"/>
      <w:start w:val="9"/>
    </w:lvl>
  </w:abstractNum>
  <w:abstractNum w:abstractNumId="199">
    <w:nsid w:val="378D97C0"/>
    <w:multiLevelType w:val="hybridMultilevel"/>
    <w:lvl w:ilvl="0">
      <w:lvlJc w:val="left"/>
      <w:lvlText w:val="%1."/>
      <w:numFmt w:val="upperLetter"/>
      <w:start w:val="10"/>
    </w:lvl>
  </w:abstractNum>
  <w:abstractNum w:abstractNumId="200">
    <w:nsid w:val="1D91467C"/>
    <w:multiLevelType w:val="hybridMultilevel"/>
    <w:lvl w:ilvl="0">
      <w:lvlJc w:val="left"/>
      <w:lvlText w:val="(%1)"/>
      <w:numFmt w:val="lowerRoman"/>
      <w:start w:val="1"/>
    </w:lvl>
    <w:lvl w:ilvl="1">
      <w:lvlJc w:val="left"/>
      <w:lvlText w:val="%2."/>
      <w:numFmt w:val="lowerLetter"/>
      <w:start w:val="1"/>
    </w:lvl>
  </w:abstractNum>
  <w:abstractNum w:abstractNumId="201">
    <w:nsid w:val="316032BB"/>
    <w:multiLevelType w:val="hybridMultilevel"/>
    <w:lvl w:ilvl="0">
      <w:lvlJc w:val="left"/>
      <w:lvlText w:val="(%1)"/>
      <w:numFmt w:val="lowerLetter"/>
      <w:start w:val="1"/>
    </w:lvl>
  </w:abstractNum>
  <w:abstractNum w:abstractNumId="202">
    <w:nsid w:val="44344C22"/>
    <w:multiLevelType w:val="hybridMultilevel"/>
    <w:lvl w:ilvl="0">
      <w:lvlJc w:val="left"/>
      <w:lvlText w:val="(%1)"/>
      <w:numFmt w:val="lowerLetter"/>
      <w:start w:val="2"/>
    </w:lvl>
  </w:abstractNum>
  <w:abstractNum w:abstractNumId="203">
    <w:nsid w:val="13CDFCFC"/>
    <w:multiLevelType w:val="hybridMultilevel"/>
    <w:lvl w:ilvl="0">
      <w:lvlJc w:val="left"/>
      <w:lvlText w:val="%1."/>
      <w:numFmt w:val="upperLetter"/>
      <w:start w:val="1"/>
    </w:lvl>
  </w:abstractNum>
  <w:abstractNum w:abstractNumId="204">
    <w:nsid w:val="471745E4"/>
    <w:multiLevelType w:val="hybridMultilevel"/>
    <w:lvl w:ilvl="0">
      <w:lvlJc w:val="left"/>
      <w:lvlText w:val="%1."/>
      <w:numFmt w:val="decimal"/>
      <w:start w:val="1"/>
    </w:lvl>
  </w:abstractNum>
  <w:abstractNum w:abstractNumId="205">
    <w:nsid w:val="1DDBC66"/>
    <w:multiLevelType w:val="hybridMultilevel"/>
    <w:lvl w:ilvl="0">
      <w:lvlJc w:val="left"/>
      <w:lvlText w:val="%1."/>
      <w:numFmt w:val="decimal"/>
      <w:start w:val="3"/>
    </w:lvl>
    <w:lvl w:ilvl="1">
      <w:lvlJc w:val="left"/>
      <w:lvlText w:val="(%2)"/>
      <w:numFmt w:val="lowerLetter"/>
      <w:start w:val="1"/>
    </w:lvl>
  </w:abstractNum>
  <w:abstractNum w:abstractNumId="206">
    <w:nsid w:val="30AADFDA"/>
    <w:multiLevelType w:val="hybridMultilevel"/>
    <w:lvl w:ilvl="0">
      <w:lvlJc w:val="left"/>
      <w:lvlText w:val="%1."/>
      <w:numFmt w:val="decimal"/>
      <w:start w:val="5"/>
    </w:lvl>
    <w:lvl w:ilvl="1">
      <w:lvlJc w:val="left"/>
      <w:lvlText w:val="(%2)"/>
      <w:numFmt w:val="lowerLetter"/>
      <w:start w:val="1"/>
    </w:lvl>
  </w:abstractNum>
  <w:abstractNum w:abstractNumId="207">
    <w:nsid w:val="30EADA6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08">
    <w:nsid w:val="27179C0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09">
    <w:nsid w:val="5E636063"/>
    <w:multiLevelType w:val="hybridMultilevel"/>
    <w:lvl w:ilvl="0">
      <w:lvlJc w:val="left"/>
      <w:lvlText w:val="(%1)"/>
      <w:numFmt w:val="lowerRoman"/>
      <w:start w:val="3"/>
    </w:lvl>
  </w:abstractNum>
  <w:abstractNum w:abstractNumId="210">
    <w:nsid w:val="215641AF"/>
    <w:multiLevelType w:val="hybridMultilevel"/>
    <w:lvl w:ilvl="0">
      <w:lvlJc w:val="left"/>
      <w:lvlText w:val="%1"/>
      <w:numFmt w:val="lowerLetter"/>
      <w:start w:val="1"/>
    </w:lvl>
    <w:lvl w:ilvl="1">
      <w:lvlJc w:val="left"/>
      <w:lvlText w:val="(%2)"/>
      <w:numFmt w:val="lowerRoman"/>
      <w:start w:val="7"/>
    </w:lvl>
  </w:abstractNum>
  <w:abstractNum w:abstractNumId="211">
    <w:nsid w:val="53280662"/>
    <w:multiLevelType w:val="hybridMultilevel"/>
    <w:lvl w:ilvl="0">
      <w:lvlJc w:val="left"/>
      <w:lvlText w:val="(%1)"/>
      <w:numFmt w:val="lowerLetter"/>
      <w:start w:val="2"/>
    </w:lvl>
    <w:lvl w:ilvl="1">
      <w:lvlJc w:val="left"/>
      <w:lvlText w:val="(%2)"/>
      <w:numFmt w:val="lowerRoman"/>
      <w:start w:val="1"/>
    </w:lvl>
  </w:abstractNum>
  <w:abstractNum w:abstractNumId="212">
    <w:nsid w:val="46B24DBC"/>
    <w:multiLevelType w:val="hybridMultilevel"/>
    <w:lvl w:ilvl="0">
      <w:lvlJc w:val="left"/>
      <w:lvlText w:val="%1"/>
      <w:numFmt w:val="decimal"/>
      <w:start w:val="1"/>
    </w:lvl>
    <w:lvl w:ilvl="1">
      <w:lvlJc w:val="left"/>
      <w:lvlText w:val="(%2)"/>
      <w:numFmt w:val="lowerLetter"/>
      <w:start w:val="4"/>
    </w:lvl>
  </w:abstractNum>
  <w:abstractNum w:abstractNumId="213">
    <w:nsid w:val="75B52783"/>
    <w:multiLevelType w:val="hybridMultilevel"/>
    <w:lvl w:ilvl="0">
      <w:lvlJc w:val="left"/>
      <w:lvlText w:val="%1."/>
      <w:numFmt w:val="decimal"/>
      <w:start w:val="8"/>
    </w:lvl>
    <w:lvl w:ilvl="1">
      <w:lvlJc w:val="left"/>
      <w:lvlText w:val="(%2)"/>
      <w:numFmt w:val="lowerLetter"/>
      <w:start w:val="1"/>
    </w:lvl>
  </w:abstractNum>
  <w:abstractNum w:abstractNumId="214">
    <w:nsid w:val="57CE66B4"/>
    <w:multiLevelType w:val="hybridMultilevel"/>
    <w:lvl w:ilvl="0">
      <w:lvlJc w:val="left"/>
      <w:lvlText w:val="%1"/>
      <w:numFmt w:val="decimal"/>
      <w:start w:val="1"/>
    </w:lvl>
    <w:lvl w:ilvl="1">
      <w:lvlJc w:val="left"/>
      <w:lvlText w:val="(%2)"/>
      <w:numFmt w:val="lowerLetter"/>
      <w:start w:val="2"/>
    </w:lvl>
  </w:abstractNum>
  <w:abstractNum w:abstractNumId="215">
    <w:nsid w:val="67A70B69"/>
    <w:multiLevelType w:val="hybridMultilevel"/>
    <w:lvl w:ilvl="0">
      <w:lvlJc w:val="left"/>
      <w:lvlText w:val="%1."/>
      <w:numFmt w:val="decimal"/>
      <w:start w:val="9"/>
    </w:lvl>
    <w:lvl w:ilvl="1">
      <w:lvlJc w:val="left"/>
      <w:lvlText w:val="(%2)"/>
      <w:numFmt w:val="lowerLetter"/>
      <w:start w:val="1"/>
    </w:lvl>
  </w:abstractNum>
  <w:abstractNum w:abstractNumId="216">
    <w:nsid w:val="5953172F"/>
    <w:multiLevelType w:val="hybridMultilevel"/>
    <w:lvl w:ilvl="0">
      <w:lvlJc w:val="left"/>
      <w:lvlText w:val="%1"/>
      <w:numFmt w:val="decimal"/>
      <w:start w:val="1"/>
    </w:lvl>
    <w:lvl w:ilvl="1">
      <w:lvlJc w:val="left"/>
      <w:lvlText w:val="(%2)"/>
      <w:numFmt w:val="lowerLetter"/>
      <w:start w:val="2"/>
    </w:lvl>
  </w:abstractNum>
  <w:abstractNum w:abstractNumId="217">
    <w:nsid w:val="27EDFE3A"/>
    <w:multiLevelType w:val="hybridMultilevel"/>
    <w:lvl w:ilvl="0">
      <w:lvlJc w:val="left"/>
      <w:lvlText w:val="%1."/>
      <w:numFmt w:val="decimal"/>
      <w:start w:val="14"/>
    </w:lvl>
    <w:lvl w:ilvl="1">
      <w:lvlJc w:val="left"/>
      <w:lvlText w:val="(%2)"/>
      <w:numFmt w:val="lowerLetter"/>
      <w:start w:val="1"/>
    </w:lvl>
  </w:abstractNum>
  <w:abstractNum w:abstractNumId="218">
    <w:nsid w:val="52AC7DFF"/>
    <w:multiLevelType w:val="hybridMultilevel"/>
    <w:lvl w:ilvl="0">
      <w:lvlJc w:val="left"/>
      <w:lvlText w:val="%1"/>
      <w:numFmt w:val="decimal"/>
      <w:start w:val="1"/>
    </w:lvl>
    <w:lvl w:ilvl="1">
      <w:lvlJc w:val="left"/>
      <w:lvlText w:val="(%2)"/>
      <w:numFmt w:val="lowerLetter"/>
      <w:start w:val="2"/>
    </w:lvl>
  </w:abstractNum>
  <w:abstractNum w:abstractNumId="219">
    <w:nsid w:val="C4C3AF"/>
    <w:multiLevelType w:val="hybridMultilevel"/>
    <w:lvl w:ilvl="0">
      <w:lvlJc w:val="left"/>
      <w:lvlText w:val="%1."/>
      <w:numFmt w:val="decimal"/>
      <w:start w:val="16"/>
    </w:lvl>
    <w:lvl w:ilvl="1">
      <w:lvlJc w:val="left"/>
      <w:lvlText w:val="(%2)"/>
      <w:numFmt w:val="lowerLetter"/>
      <w:start w:val="1"/>
    </w:lvl>
  </w:abstractNum>
  <w:abstractNum w:abstractNumId="220">
    <w:nsid w:val="44380727"/>
    <w:multiLevelType w:val="hybridMultilevel"/>
    <w:lvl w:ilvl="0">
      <w:lvlJc w:val="left"/>
      <w:lvlText w:val="%1."/>
      <w:numFmt w:val="decimal"/>
      <w:start w:val="20"/>
    </w:lvl>
  </w:abstractNum>
  <w:abstractNum w:abstractNumId="221">
    <w:nsid w:val="6C053B16"/>
    <w:multiLevelType w:val="hybridMultilevel"/>
    <w:lvl w:ilvl="0">
      <w:lvlJc w:val="left"/>
      <w:lvlText w:val="%1"/>
      <w:numFmt w:val="decimal"/>
      <w:start w:val="1"/>
    </w:lvl>
    <w:lvl w:ilvl="1">
      <w:lvlJc w:val="left"/>
      <w:lvlText w:val="%2."/>
      <w:numFmt w:val="upperLetter"/>
      <w:start w:val="1"/>
    </w:lvl>
  </w:abstractNum>
  <w:abstractNum w:abstractNumId="222">
    <w:nsid w:val="4F294393"/>
    <w:multiLevelType w:val="hybridMultilevel"/>
    <w:lvl w:ilvl="0">
      <w:lvlJc w:val="left"/>
      <w:lvlText w:val="(%1)"/>
      <w:numFmt w:val="decimal"/>
      <w:start w:val="55"/>
    </w:lvl>
    <w:lvl w:ilvl="1">
      <w:lvlJc w:val="left"/>
      <w:lvlText w:val="%2."/>
      <w:numFmt w:val="upperLetter"/>
      <w:start w:val="9"/>
    </w:lvl>
  </w:abstractNum>
  <w:abstractNum w:abstractNumId="223">
    <w:nsid w:val="5243BFAC"/>
    <w:multiLevelType w:val="hybridMultilevel"/>
    <w:lvl w:ilvl="0">
      <w:lvlJc w:val="left"/>
      <w:lvlText w:val="%1."/>
      <w:numFmt w:val="upperLetter"/>
      <w:start w:val="10"/>
    </w:lvl>
  </w:abstractNum>
  <w:abstractNum w:abstractNumId="224">
    <w:nsid w:val="425EB207"/>
    <w:multiLevelType w:val="hybridMultilevel"/>
    <w:lvl w:ilvl="0">
      <w:lvlJc w:val="left"/>
      <w:lvlText w:val="(%1)"/>
      <w:numFmt w:val="lowerRoman"/>
      <w:start w:val="1"/>
    </w:lvl>
    <w:lvl w:ilvl="1">
      <w:lvlJc w:val="left"/>
      <w:lvlText w:val="%2."/>
      <w:numFmt w:val="lowerLetter"/>
      <w:start w:val="1"/>
    </w:lvl>
  </w:abstractNum>
  <w:abstractNum w:abstractNumId="225">
    <w:nsid w:val="334A6F1F"/>
    <w:multiLevelType w:val="hybridMultilevel"/>
    <w:lvl w:ilvl="0">
      <w:lvlJc w:val="left"/>
      <w:lvlText w:val="%1."/>
      <w:numFmt w:val="upperLetter"/>
      <w:start w:val="1"/>
    </w:lvl>
  </w:abstractNum>
  <w:abstractNum w:abstractNumId="226">
    <w:nsid w:val="2E5B12B8"/>
    <w:multiLevelType w:val="hybridMultilevel"/>
    <w:lvl w:ilvl="0">
      <w:lvlJc w:val="left"/>
      <w:lvlText w:val="%1."/>
      <w:numFmt w:val="decimal"/>
      <w:start w:val="1"/>
    </w:lvl>
  </w:abstractNum>
  <w:abstractNum w:abstractNumId="227">
    <w:nsid w:val="5C03D76D"/>
    <w:multiLevelType w:val="hybridMultilevel"/>
    <w:lvl w:ilvl="0">
      <w:lvlJc w:val="left"/>
      <w:lvlText w:val="%1."/>
      <w:numFmt w:val="decimal"/>
      <w:start w:val="2"/>
    </w:lvl>
    <w:lvl w:ilvl="1">
      <w:lvlJc w:val="left"/>
      <w:lvlText w:val="(%2)"/>
      <w:numFmt w:val="lowerLetter"/>
      <w:start w:val="1"/>
    </w:lvl>
  </w:abstractNum>
  <w:abstractNum w:abstractNumId="228">
    <w:nsid w:val="66A48D11"/>
    <w:multiLevelType w:val="hybridMultilevel"/>
    <w:lvl w:ilvl="0">
      <w:lvlJc w:val="left"/>
      <w:lvlText w:val="%1."/>
      <w:numFmt w:val="decimal"/>
      <w:start w:val="5"/>
    </w:lvl>
    <w:lvl w:ilvl="1">
      <w:lvlJc w:val="left"/>
      <w:lvlText w:val="(%2)"/>
      <w:numFmt w:val="lowerLetter"/>
      <w:start w:val="1"/>
    </w:lvl>
  </w:abstractNum>
  <w:abstractNum w:abstractNumId="229">
    <w:nsid w:val="56C28E34"/>
    <w:multiLevelType w:val="hybridMultilevel"/>
    <w:lvl w:ilvl="0">
      <w:lvlJc w:val="left"/>
      <w:lvlText w:val="%1"/>
      <w:numFmt w:val="decimal"/>
      <w:start w:val="1"/>
    </w:lvl>
    <w:lvl w:ilvl="1">
      <w:lvlJc w:val="left"/>
      <w:lvlText w:val="(%2)"/>
      <w:numFmt w:val="lowerLetter"/>
      <w:start w:val="2"/>
    </w:lvl>
  </w:abstractNum>
  <w:abstractNum w:abstractNumId="230">
    <w:nsid w:val="13916F2D"/>
    <w:multiLevelType w:val="hybridMultilevel"/>
    <w:lvl w:ilvl="0">
      <w:lvlJc w:val="left"/>
      <w:lvlText w:val="%1."/>
      <w:numFmt w:val="decimal"/>
      <w:start w:val="8"/>
    </w:lvl>
    <w:lvl w:ilvl="1">
      <w:lvlJc w:val="left"/>
      <w:lvlText w:val="(%2)"/>
      <w:numFmt w:val="lowerLetter"/>
      <w:start w:val="1"/>
    </w:lvl>
  </w:abstractNum>
  <w:abstractNum w:abstractNumId="231">
    <w:nsid w:val="435D38D"/>
    <w:multiLevelType w:val="hybridMultilevel"/>
    <w:lvl w:ilvl="0">
      <w:lvlJc w:val="left"/>
      <w:lvlText w:val="%1."/>
      <w:numFmt w:val="decimal"/>
      <w:start w:val="12"/>
    </w:lvl>
  </w:abstractNum>
  <w:abstractNum w:abstractNumId="232">
    <w:nsid w:val="822C0EF"/>
    <w:multiLevelType w:val="hybridMultilevel"/>
    <w:lvl w:ilvl="0">
      <w:lvlJc w:val="left"/>
      <w:lvlText w:val="%1."/>
      <w:numFmt w:val="upperLetter"/>
      <w:start w:val="1"/>
    </w:lvl>
  </w:abstractNum>
  <w:abstractNum w:abstractNumId="233">
    <w:nsid w:val="57C5BB4F"/>
    <w:multiLevelType w:val="hybridMultilevel"/>
    <w:lvl w:ilvl="0">
      <w:lvlJc w:val="left"/>
      <w:lvlText w:val="%1."/>
      <w:numFmt w:val="upperLetter"/>
      <w:start w:val="1"/>
    </w:lvl>
  </w:abstractNum>
  <w:abstractNum w:abstractNumId="234">
    <w:nsid w:val="1803D089"/>
    <w:multiLevelType w:val="hybridMultilevel"/>
    <w:lvl w:ilvl="0">
      <w:lvlJc w:val="left"/>
      <w:lvlText w:val="%1."/>
      <w:numFmt w:val="decimal"/>
      <w:start w:val="1"/>
    </w:lvl>
  </w:abstractNum>
  <w:abstractNum w:abstractNumId="235">
    <w:nsid w:val="4F3A06D4"/>
    <w:multiLevelType w:val="hybridMultilevel"/>
    <w:lvl w:ilvl="0">
      <w:lvlJc w:val="left"/>
      <w:lvlText w:val="%1."/>
      <w:numFmt w:val="decimal"/>
      <w:start w:val="2"/>
    </w:lvl>
    <w:lvl w:ilvl="1">
      <w:lvlJc w:val="left"/>
      <w:lvlText w:val="(%2)"/>
      <w:numFmt w:val="lowerLetter"/>
      <w:start w:val="1"/>
    </w:lvl>
  </w:abstractNum>
  <w:abstractNum w:abstractNumId="236">
    <w:nsid w:val="59A377B6"/>
    <w:multiLevelType w:val="hybridMultilevel"/>
    <w:lvl w:ilvl="0">
      <w:lvlJc w:val="left"/>
      <w:lvlText w:val="%1."/>
      <w:numFmt w:val="decimal"/>
      <w:start w:val="5"/>
    </w:lvl>
    <w:lvl w:ilvl="1">
      <w:lvlJc w:val="left"/>
      <w:lvlText w:val="(%2)"/>
      <w:numFmt w:val="lowerLetter"/>
      <w:start w:val="1"/>
    </w:lvl>
  </w:abstractNum>
  <w:abstractNum w:abstractNumId="237">
    <w:nsid w:val="48AEB063"/>
    <w:multiLevelType w:val="hybridMultilevel"/>
    <w:lvl w:ilvl="0">
      <w:lvlJc w:val="left"/>
      <w:lvlText w:val="%1"/>
      <w:numFmt w:val="decimal"/>
      <w:start w:val="1"/>
    </w:lvl>
    <w:lvl w:ilvl="1">
      <w:lvlJc w:val="left"/>
      <w:lvlText w:val="(%2)"/>
      <w:numFmt w:val="lowerLetter"/>
      <w:start w:val="2"/>
    </w:lvl>
  </w:abstractNum>
  <w:abstractNum w:abstractNumId="238">
    <w:nsid w:val="24E135"/>
    <w:multiLevelType w:val="hybridMultilevel"/>
    <w:lvl w:ilvl="0">
      <w:lvlJc w:val="left"/>
      <w:lvlText w:val="%1."/>
      <w:numFmt w:val="decimal"/>
      <w:start w:val="8"/>
    </w:lvl>
    <w:lvl w:ilvl="1">
      <w:lvlJc w:val="left"/>
      <w:lvlText w:val="(%2)"/>
      <w:numFmt w:val="lowerLetter"/>
      <w:start w:val="1"/>
    </w:lvl>
  </w:abstractNum>
  <w:abstractNum w:abstractNumId="239">
    <w:nsid w:val="BB13C1"/>
    <w:multiLevelType w:val="hybridMultilevel"/>
    <w:lvl w:ilvl="0">
      <w:lvlJc w:val="left"/>
      <w:lvlText w:val="%1"/>
      <w:numFmt w:val="decimal"/>
      <w:start w:val="1"/>
    </w:lvl>
    <w:lvl w:ilvl="1">
      <w:lvlJc w:val="left"/>
      <w:lvlText w:val="(%2)"/>
      <w:numFmt w:val="lowerLetter"/>
      <w:start w:val="3"/>
    </w:lvl>
  </w:abstractNum>
  <w:abstractNum w:abstractNumId="240">
    <w:nsid w:val="271210C7"/>
    <w:multiLevelType w:val="hybridMultilevel"/>
    <w:lvl w:ilvl="0">
      <w:lvlJc w:val="left"/>
      <w:lvlText w:val="%1."/>
      <w:numFmt w:val="decimal"/>
      <w:start w:val="12"/>
    </w:lvl>
    <w:lvl w:ilvl="1">
      <w:lvlJc w:val="left"/>
      <w:lvlText w:val="%2"/>
      <w:numFmt w:val="lowerLetter"/>
      <w:start w:val="1"/>
    </w:lvl>
  </w:abstractNum>
  <w:abstractNum w:abstractNumId="241">
    <w:nsid w:val="217B22E4"/>
    <w:multiLevelType w:val="hybridMultilevel"/>
    <w:lvl w:ilvl="0">
      <w:lvlJc w:val="left"/>
      <w:lvlText w:val="%1."/>
      <w:numFmt w:val="upperLetter"/>
      <w:start w:val="1"/>
    </w:lvl>
  </w:abstractNum>
  <w:abstractNum w:abstractNumId="242">
    <w:nsid w:val="53E31A24"/>
    <w:multiLevelType w:val="hybridMultilevel"/>
    <w:lvl w:ilvl="0">
      <w:lvlJc w:val="left"/>
      <w:lvlText w:val="%1."/>
      <w:numFmt w:val="upperLetter"/>
      <w:start w:val="3"/>
    </w:lvl>
  </w:abstractNum>
  <w:abstractNum w:abstractNumId="243">
    <w:nsid w:val="6DC45E83"/>
    <w:multiLevelType w:val="hybridMultilevel"/>
    <w:lvl w:ilvl="0">
      <w:lvlJc w:val="left"/>
      <w:lvlText w:val="%1."/>
      <w:numFmt w:val="decimal"/>
      <w:start w:val="1"/>
    </w:lvl>
    <w:lvl w:ilvl="1">
      <w:lvlJc w:val="left"/>
      <w:lvlText w:val="(%2)"/>
      <w:numFmt w:val="lowerLetter"/>
      <w:start w:val="1"/>
    </w:lvl>
  </w:abstractNum>
  <w:abstractNum w:abstractNumId="244">
    <w:nsid w:val="17304A67"/>
    <w:multiLevelType w:val="hybridMultilevel"/>
    <w:lvl w:ilvl="0">
      <w:lvlJc w:val="left"/>
      <w:lvlText w:val="%1."/>
      <w:numFmt w:val="decimal"/>
      <w:start w:val="1"/>
    </w:lvl>
    <w:lvl w:ilvl="1">
      <w:lvlJc w:val="left"/>
      <w:lvlText w:val="(%2)"/>
      <w:numFmt w:val="lowerLetter"/>
      <w:start w:val="1"/>
    </w:lvl>
  </w:abstractNum>
  <w:abstractNum w:abstractNumId="245">
    <w:nsid w:val="2BB180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35" Type="http://schemas.openxmlformats.org/officeDocument/2006/relationships/image" Target="media/image118.png"/><Relationship Id="rId149" Type="http://schemas.openxmlformats.org/officeDocument/2006/relationships/image" Target="media/image119.png"/><Relationship Id="rId164" Type="http://schemas.openxmlformats.org/officeDocument/2006/relationships/image" Target="media/image120.png"/><Relationship Id="rId179" Type="http://schemas.openxmlformats.org/officeDocument/2006/relationships/image" Target="media/image121.png"/><Relationship Id="rId182" Type="http://schemas.openxmlformats.org/officeDocument/2006/relationships/image" Target="media/image122.png"/><Relationship Id="rId183" Type="http://schemas.openxmlformats.org/officeDocument/2006/relationships/image" Target="media/image123.png"/><Relationship Id="rId184" Type="http://schemas.openxmlformats.org/officeDocument/2006/relationships/image" Target="media/image124.png"/><Relationship Id="rId185" Type="http://schemas.openxmlformats.org/officeDocument/2006/relationships/image" Target="media/image125.png"/><Relationship Id="rId186" Type="http://schemas.openxmlformats.org/officeDocument/2006/relationships/image" Target="media/image126.png"/><Relationship Id="rId187" Type="http://schemas.openxmlformats.org/officeDocument/2006/relationships/image" Target="media/image127.png"/><Relationship Id="rId188" Type="http://schemas.openxmlformats.org/officeDocument/2006/relationships/image" Target="media/image128.png"/><Relationship Id="rId189" Type="http://schemas.openxmlformats.org/officeDocument/2006/relationships/image" Target="media/image129.png"/><Relationship Id="rId190" Type="http://schemas.openxmlformats.org/officeDocument/2006/relationships/image" Target="media/image130.png"/><Relationship Id="rId191" Type="http://schemas.openxmlformats.org/officeDocument/2006/relationships/image" Target="media/image131.png"/><Relationship Id="rId192" Type="http://schemas.openxmlformats.org/officeDocument/2006/relationships/image" Target="media/image132.png"/><Relationship Id="rId193" Type="http://schemas.openxmlformats.org/officeDocument/2006/relationships/image" Target="media/image133.png"/><Relationship Id="rId194" Type="http://schemas.openxmlformats.org/officeDocument/2006/relationships/image" Target="media/image134.png"/><Relationship Id="rId195" Type="http://schemas.openxmlformats.org/officeDocument/2006/relationships/image" Target="media/image135.png"/><Relationship Id="rId196" Type="http://schemas.openxmlformats.org/officeDocument/2006/relationships/image" Target="media/image136.png"/><Relationship Id="rId197" Type="http://schemas.openxmlformats.org/officeDocument/2006/relationships/image" Target="media/image137.png"/><Relationship Id="rId198" Type="http://schemas.openxmlformats.org/officeDocument/2006/relationships/image" Target="media/image138.png"/><Relationship Id="rId199" Type="http://schemas.openxmlformats.org/officeDocument/2006/relationships/image" Target="media/image139.png"/><Relationship Id="rId200" Type="http://schemas.openxmlformats.org/officeDocument/2006/relationships/image" Target="media/image140.png"/><Relationship Id="rId201" Type="http://schemas.openxmlformats.org/officeDocument/2006/relationships/image" Target="media/image141.png"/><Relationship Id="rId202" Type="http://schemas.openxmlformats.org/officeDocument/2006/relationships/image" Target="media/image142.png"/><Relationship Id="rId203" Type="http://schemas.openxmlformats.org/officeDocument/2006/relationships/image" Target="media/image143.png"/><Relationship Id="rId204" Type="http://schemas.openxmlformats.org/officeDocument/2006/relationships/image" Target="media/image144.png"/><Relationship Id="rId205" Type="http://schemas.openxmlformats.org/officeDocument/2006/relationships/image" Target="media/image145.png"/><Relationship Id="rId206" Type="http://schemas.openxmlformats.org/officeDocument/2006/relationships/image" Target="media/image146.png"/><Relationship Id="rId207" Type="http://schemas.openxmlformats.org/officeDocument/2006/relationships/image" Target="media/image147.png"/><Relationship Id="rId208" Type="http://schemas.openxmlformats.org/officeDocument/2006/relationships/image" Target="media/image148.png"/><Relationship Id="rId209" Type="http://schemas.openxmlformats.org/officeDocument/2006/relationships/image" Target="media/image149.png"/><Relationship Id="rId210" Type="http://schemas.openxmlformats.org/officeDocument/2006/relationships/image" Target="media/image150.png"/><Relationship Id="rId211" Type="http://schemas.openxmlformats.org/officeDocument/2006/relationships/image" Target="media/image151.png"/><Relationship Id="rId212" Type="http://schemas.openxmlformats.org/officeDocument/2006/relationships/image" Target="media/image152.png"/><Relationship Id="rId213" Type="http://schemas.openxmlformats.org/officeDocument/2006/relationships/image" Target="media/image153.png"/><Relationship Id="rId214" Type="http://schemas.openxmlformats.org/officeDocument/2006/relationships/image" Target="media/image154.png"/><Relationship Id="rId215" Type="http://schemas.openxmlformats.org/officeDocument/2006/relationships/image" Target="media/image155.png"/><Relationship Id="rId216" Type="http://schemas.openxmlformats.org/officeDocument/2006/relationships/image" Target="media/image156.png"/><Relationship Id="rId217" Type="http://schemas.openxmlformats.org/officeDocument/2006/relationships/image" Target="media/image157.png"/><Relationship Id="rId218" Type="http://schemas.openxmlformats.org/officeDocument/2006/relationships/image" Target="media/image158.png"/><Relationship Id="rId219" Type="http://schemas.openxmlformats.org/officeDocument/2006/relationships/image" Target="media/image159.png"/><Relationship Id="rId220" Type="http://schemas.openxmlformats.org/officeDocument/2006/relationships/image" Target="media/image160.png"/><Relationship Id="rId221" Type="http://schemas.openxmlformats.org/officeDocument/2006/relationships/image" Target="media/image161.png"/><Relationship Id="rId222" Type="http://schemas.openxmlformats.org/officeDocument/2006/relationships/image" Target="media/image162.png"/><Relationship Id="rId223" Type="http://schemas.openxmlformats.org/officeDocument/2006/relationships/image" Target="media/image163.png"/><Relationship Id="rId224" Type="http://schemas.openxmlformats.org/officeDocument/2006/relationships/image" Target="media/image164.png"/><Relationship Id="rId225" Type="http://schemas.openxmlformats.org/officeDocument/2006/relationships/image" Target="media/image165.png"/><Relationship Id="rId226" Type="http://schemas.openxmlformats.org/officeDocument/2006/relationships/image" Target="media/image166.png"/><Relationship Id="rId227" Type="http://schemas.openxmlformats.org/officeDocument/2006/relationships/image" Target="media/image167.png"/><Relationship Id="rId228" Type="http://schemas.openxmlformats.org/officeDocument/2006/relationships/image" Target="media/image168.png"/><Relationship Id="rId229" Type="http://schemas.openxmlformats.org/officeDocument/2006/relationships/image" Target="media/image169.png"/><Relationship Id="rId230" Type="http://schemas.openxmlformats.org/officeDocument/2006/relationships/image" Target="media/image170.png"/><Relationship Id="rId231" Type="http://schemas.openxmlformats.org/officeDocument/2006/relationships/image" Target="media/image171.png"/><Relationship Id="rId232" Type="http://schemas.openxmlformats.org/officeDocument/2006/relationships/image" Target="media/image172.png"/><Relationship Id="rId233" Type="http://schemas.openxmlformats.org/officeDocument/2006/relationships/image" Target="media/image173.png"/><Relationship Id="rId234" Type="http://schemas.openxmlformats.org/officeDocument/2006/relationships/image" Target="media/image174.png"/><Relationship Id="rId235" Type="http://schemas.openxmlformats.org/officeDocument/2006/relationships/image" Target="media/image175.png"/><Relationship Id="rId236" Type="http://schemas.openxmlformats.org/officeDocument/2006/relationships/image" Target="media/image176.png"/><Relationship Id="rId237" Type="http://schemas.openxmlformats.org/officeDocument/2006/relationships/image" Target="media/image177.png"/><Relationship Id="rId238" Type="http://schemas.openxmlformats.org/officeDocument/2006/relationships/image" Target="media/image178.png"/><Relationship Id="rId239" Type="http://schemas.openxmlformats.org/officeDocument/2006/relationships/image" Target="media/image179.png"/><Relationship Id="rId240" Type="http://schemas.openxmlformats.org/officeDocument/2006/relationships/image" Target="media/image180.png"/><Relationship Id="rId241" Type="http://schemas.openxmlformats.org/officeDocument/2006/relationships/image" Target="media/image181.png"/><Relationship Id="rId242" Type="http://schemas.openxmlformats.org/officeDocument/2006/relationships/image" Target="media/image182.png"/><Relationship Id="rId243" Type="http://schemas.openxmlformats.org/officeDocument/2006/relationships/image" Target="media/image183.png"/><Relationship Id="rId244" Type="http://schemas.openxmlformats.org/officeDocument/2006/relationships/image" Target="media/image184.png"/><Relationship Id="rId245" Type="http://schemas.openxmlformats.org/officeDocument/2006/relationships/image" Target="media/image185.png"/><Relationship Id="rId246" Type="http://schemas.openxmlformats.org/officeDocument/2006/relationships/image" Target="media/image186.png"/><Relationship Id="rId247" Type="http://schemas.openxmlformats.org/officeDocument/2006/relationships/image" Target="media/image187.png"/><Relationship Id="rId248" Type="http://schemas.openxmlformats.org/officeDocument/2006/relationships/image" Target="media/image188.png"/><Relationship Id="rId249" Type="http://schemas.openxmlformats.org/officeDocument/2006/relationships/image" Target="media/image189.png"/><Relationship Id="rId250" Type="http://schemas.openxmlformats.org/officeDocument/2006/relationships/image" Target="media/image190.png"/><Relationship Id="rId251" Type="http://schemas.openxmlformats.org/officeDocument/2006/relationships/image" Target="media/image191.png"/><Relationship Id="rId252" Type="http://schemas.openxmlformats.org/officeDocument/2006/relationships/image" Target="media/image192.png"/><Relationship Id="rId253" Type="http://schemas.openxmlformats.org/officeDocument/2006/relationships/image" Target="media/image193.png"/><Relationship Id="rId254" Type="http://schemas.openxmlformats.org/officeDocument/2006/relationships/image" Target="media/image194.png"/><Relationship Id="rId255" Type="http://schemas.openxmlformats.org/officeDocument/2006/relationships/image" Target="media/image195.png"/><Relationship Id="rId256" Type="http://schemas.openxmlformats.org/officeDocument/2006/relationships/image" Target="media/image196.png"/><Relationship Id="rId257" Type="http://schemas.openxmlformats.org/officeDocument/2006/relationships/image" Target="media/image197.png"/><Relationship Id="rId258" Type="http://schemas.openxmlformats.org/officeDocument/2006/relationships/image" Target="media/image198.png"/><Relationship Id="rId259" Type="http://schemas.openxmlformats.org/officeDocument/2006/relationships/image" Target="media/image199.png"/><Relationship Id="rId260" Type="http://schemas.openxmlformats.org/officeDocument/2006/relationships/image" Target="media/image200.png"/><Relationship Id="rId261" Type="http://schemas.openxmlformats.org/officeDocument/2006/relationships/image" Target="media/image201.png"/><Relationship Id="rId262" Type="http://schemas.openxmlformats.org/officeDocument/2006/relationships/image" Target="media/image202.png"/><Relationship Id="rId263" Type="http://schemas.openxmlformats.org/officeDocument/2006/relationships/image" Target="media/image203.png"/><Relationship Id="rId264" Type="http://schemas.openxmlformats.org/officeDocument/2006/relationships/image" Target="media/image204.png"/><Relationship Id="rId265" Type="http://schemas.openxmlformats.org/officeDocument/2006/relationships/image" Target="media/image205.png"/><Relationship Id="rId266" Type="http://schemas.openxmlformats.org/officeDocument/2006/relationships/image" Target="media/image206.png"/><Relationship Id="rId267" Type="http://schemas.openxmlformats.org/officeDocument/2006/relationships/image" Target="media/image207.png"/><Relationship Id="rId268" Type="http://schemas.openxmlformats.org/officeDocument/2006/relationships/image" Target="media/image208.png"/><Relationship Id="rId269" Type="http://schemas.openxmlformats.org/officeDocument/2006/relationships/image" Target="media/image209.png"/><Relationship Id="rId270" Type="http://schemas.openxmlformats.org/officeDocument/2006/relationships/image" Target="media/image210.png"/><Relationship Id="rId271" Type="http://schemas.openxmlformats.org/officeDocument/2006/relationships/image" Target="media/image211.png"/><Relationship Id="rId272" Type="http://schemas.openxmlformats.org/officeDocument/2006/relationships/image" Target="media/image212.png"/><Relationship Id="rId273" Type="http://schemas.openxmlformats.org/officeDocument/2006/relationships/image" Target="media/image213.png"/><Relationship Id="rId274" Type="http://schemas.openxmlformats.org/officeDocument/2006/relationships/image" Target="media/image214.png"/><Relationship Id="rId275" Type="http://schemas.openxmlformats.org/officeDocument/2006/relationships/image" Target="media/image215.png"/><Relationship Id="rId276" Type="http://schemas.openxmlformats.org/officeDocument/2006/relationships/image" Target="media/image216.png"/><Relationship Id="rId277" Type="http://schemas.openxmlformats.org/officeDocument/2006/relationships/image" Target="media/image217.png"/><Relationship Id="rId278" Type="http://schemas.openxmlformats.org/officeDocument/2006/relationships/image" Target="media/image218.png"/><Relationship Id="rId279" Type="http://schemas.openxmlformats.org/officeDocument/2006/relationships/image" Target="media/image219.png"/><Relationship Id="rId280" Type="http://schemas.openxmlformats.org/officeDocument/2006/relationships/image" Target="media/image220.png"/><Relationship Id="rId281" Type="http://schemas.openxmlformats.org/officeDocument/2006/relationships/image" Target="media/image221.png"/><Relationship Id="rId282" Type="http://schemas.openxmlformats.org/officeDocument/2006/relationships/image" Target="media/image222.png"/><Relationship Id="rId283" Type="http://schemas.openxmlformats.org/officeDocument/2006/relationships/image" Target="media/image223.png"/><Relationship Id="rId284" Type="http://schemas.openxmlformats.org/officeDocument/2006/relationships/image" Target="media/image224.png"/><Relationship Id="rId285" Type="http://schemas.openxmlformats.org/officeDocument/2006/relationships/image" Target="media/image225.png"/><Relationship Id="rId286" Type="http://schemas.openxmlformats.org/officeDocument/2006/relationships/image" Target="media/image226.png"/><Relationship Id="rId287" Type="http://schemas.openxmlformats.org/officeDocument/2006/relationships/image" Target="media/image227.png"/><Relationship Id="rId288" Type="http://schemas.openxmlformats.org/officeDocument/2006/relationships/image" Target="media/image228.png"/><Relationship Id="rId289" Type="http://schemas.openxmlformats.org/officeDocument/2006/relationships/image" Target="media/image229.png"/><Relationship Id="rId290" Type="http://schemas.openxmlformats.org/officeDocument/2006/relationships/image" Target="media/image230.png"/><Relationship Id="rId291" Type="http://schemas.openxmlformats.org/officeDocument/2006/relationships/image" Target="media/image231.png"/><Relationship Id="rId292" Type="http://schemas.openxmlformats.org/officeDocument/2006/relationships/image" Target="media/image232.png"/><Relationship Id="rId293" Type="http://schemas.openxmlformats.org/officeDocument/2006/relationships/image" Target="media/image233.png"/><Relationship Id="rId294" Type="http://schemas.openxmlformats.org/officeDocument/2006/relationships/image" Target="media/image234.png"/><Relationship Id="rId295" Type="http://schemas.openxmlformats.org/officeDocument/2006/relationships/image" Target="media/image235.png"/><Relationship Id="rId296" Type="http://schemas.openxmlformats.org/officeDocument/2006/relationships/image" Target="media/image236.png"/><Relationship Id="rId297" Type="http://schemas.openxmlformats.org/officeDocument/2006/relationships/image" Target="media/image237.png"/><Relationship Id="rId298" Type="http://schemas.openxmlformats.org/officeDocument/2006/relationships/image" Target="media/image238.png"/><Relationship Id="rId299" Type="http://schemas.openxmlformats.org/officeDocument/2006/relationships/image" Target="media/image239.png"/><Relationship Id="rId300" Type="http://schemas.openxmlformats.org/officeDocument/2006/relationships/image" Target="media/image240.png"/><Relationship Id="rId301" Type="http://schemas.openxmlformats.org/officeDocument/2006/relationships/image" Target="media/image241.png"/><Relationship Id="rId302" Type="http://schemas.openxmlformats.org/officeDocument/2006/relationships/image" Target="media/image242.png"/><Relationship Id="rId303" Type="http://schemas.openxmlformats.org/officeDocument/2006/relationships/image" Target="media/image243.png"/><Relationship Id="rId304" Type="http://schemas.openxmlformats.org/officeDocument/2006/relationships/image" Target="media/image244.png"/><Relationship Id="rId305" Type="http://schemas.openxmlformats.org/officeDocument/2006/relationships/image" Target="media/image245.png"/><Relationship Id="rId306" Type="http://schemas.openxmlformats.org/officeDocument/2006/relationships/image" Target="media/image246.png"/><Relationship Id="rId307" Type="http://schemas.openxmlformats.org/officeDocument/2006/relationships/image" Target="media/image247.png"/><Relationship Id="rId308" Type="http://schemas.openxmlformats.org/officeDocument/2006/relationships/image" Target="media/image248.png"/><Relationship Id="rId309" Type="http://schemas.openxmlformats.org/officeDocument/2006/relationships/image" Target="media/image249.png"/><Relationship Id="rId310" Type="http://schemas.openxmlformats.org/officeDocument/2006/relationships/image" Target="media/image250.png"/><Relationship Id="rId311" Type="http://schemas.openxmlformats.org/officeDocument/2006/relationships/image" Target="media/image251.png"/><Relationship Id="rId312" Type="http://schemas.openxmlformats.org/officeDocument/2006/relationships/image" Target="media/image252.png"/><Relationship Id="rId313" Type="http://schemas.openxmlformats.org/officeDocument/2006/relationships/image" Target="media/image253.png"/><Relationship Id="rId314" Type="http://schemas.openxmlformats.org/officeDocument/2006/relationships/image" Target="media/image254.png"/><Relationship Id="rId315" Type="http://schemas.openxmlformats.org/officeDocument/2006/relationships/image" Target="media/image255.png"/><Relationship Id="rId316" Type="http://schemas.openxmlformats.org/officeDocument/2006/relationships/image" Target="media/image256.png"/><Relationship Id="rId317" Type="http://schemas.openxmlformats.org/officeDocument/2006/relationships/image" Target="media/image257.png"/><Relationship Id="rId318" Type="http://schemas.openxmlformats.org/officeDocument/2006/relationships/image" Target="media/image258.png"/><Relationship Id="rId319" Type="http://schemas.openxmlformats.org/officeDocument/2006/relationships/image" Target="media/image259.png"/><Relationship Id="rId320" Type="http://schemas.openxmlformats.org/officeDocument/2006/relationships/image" Target="media/image260.png"/><Relationship Id="rId321" Type="http://schemas.openxmlformats.org/officeDocument/2006/relationships/image" Target="media/image261.png"/><Relationship Id="rId322" Type="http://schemas.openxmlformats.org/officeDocument/2006/relationships/image" Target="media/image262.png"/><Relationship Id="rId323" Type="http://schemas.openxmlformats.org/officeDocument/2006/relationships/image" Target="media/image263.png"/><Relationship Id="rId324" Type="http://schemas.openxmlformats.org/officeDocument/2006/relationships/image" Target="media/image264.png"/><Relationship Id="rId325" Type="http://schemas.openxmlformats.org/officeDocument/2006/relationships/image" Target="media/image265.png"/><Relationship Id="rId326" Type="http://schemas.openxmlformats.org/officeDocument/2006/relationships/image" Target="media/image266.png"/><Relationship Id="rId327" Type="http://schemas.openxmlformats.org/officeDocument/2006/relationships/image" Target="media/image267.png"/><Relationship Id="rId328" Type="http://schemas.openxmlformats.org/officeDocument/2006/relationships/image" Target="media/image268.png"/><Relationship Id="rId329" Type="http://schemas.openxmlformats.org/officeDocument/2006/relationships/image" Target="media/image269.png"/><Relationship Id="rId330" Type="http://schemas.openxmlformats.org/officeDocument/2006/relationships/image" Target="media/image270.png"/><Relationship Id="rId331" Type="http://schemas.openxmlformats.org/officeDocument/2006/relationships/image" Target="media/image271.png"/><Relationship Id="rId332" Type="http://schemas.openxmlformats.org/officeDocument/2006/relationships/image" Target="media/image272.png"/><Relationship Id="rId333" Type="http://schemas.openxmlformats.org/officeDocument/2006/relationships/image" Target="media/image273.png"/><Relationship Id="rId334" Type="http://schemas.openxmlformats.org/officeDocument/2006/relationships/image" Target="media/image274.png"/><Relationship Id="rId335" Type="http://schemas.openxmlformats.org/officeDocument/2006/relationships/image" Target="media/image275.png"/><Relationship Id="rId336" Type="http://schemas.openxmlformats.org/officeDocument/2006/relationships/image" Target="media/image276.png"/><Relationship Id="rId337" Type="http://schemas.openxmlformats.org/officeDocument/2006/relationships/image" Target="media/image277.png"/><Relationship Id="rId338" Type="http://schemas.openxmlformats.org/officeDocument/2006/relationships/image" Target="media/image278.png"/><Relationship Id="rId339" Type="http://schemas.openxmlformats.org/officeDocument/2006/relationships/image" Target="media/image279.png"/><Relationship Id="rId340" Type="http://schemas.openxmlformats.org/officeDocument/2006/relationships/image" Target="media/image280.png"/><Relationship Id="rId341" Type="http://schemas.openxmlformats.org/officeDocument/2006/relationships/image" Target="media/image281.png"/><Relationship Id="rId68" Type="http://schemas.openxmlformats.org/officeDocument/2006/relationships/hyperlink" Target="https://www.sec.gov/ix?doc=/Archives/edgar/data/3453/000155837020001757/matx-20191231x10kddf34b.htm" TargetMode="External"/><Relationship Id="rId126" Type="http://schemas.openxmlformats.org/officeDocument/2006/relationships/hyperlink" Target="http://www.sec.gov/Archives/edgar/data/3453/000110465914079225/a14-24264_1ex2d1.htm" TargetMode="External"/><Relationship Id="rId127" Type="http://schemas.openxmlformats.org/officeDocument/2006/relationships/hyperlink" Target="http://www.sec.gov/Archives/edgar/data/3453/000110465915011288/a15-4783_1ex2d1.htm" TargetMode="External"/><Relationship Id="rId128" Type="http://schemas.openxmlformats.org/officeDocument/2006/relationships/hyperlink" Target="http://www.sec.gov/Archives/edgar/data/1302707/000119312514411216/d820290dex22.htm" TargetMode="External"/><Relationship Id="rId129" Type="http://schemas.openxmlformats.org/officeDocument/2006/relationships/hyperlink" Target="http://www.sec.gov/Archives/edgar/data/3453/000110465915056414/a15-12015_1ex2d2.htm" TargetMode="External"/><Relationship Id="rId130" Type="http://schemas.openxmlformats.org/officeDocument/2006/relationships/hyperlink" Target="http://www.sec.gov/Archives/edgar/data/3453/000110465916133224/a16-15104_1ex2d1.htm" TargetMode="External"/><Relationship Id="rId131" Type="http://schemas.openxmlformats.org/officeDocument/2006/relationships/hyperlink" Target="http://www.sec.gov/Archives/edgar/data/3453/000110465912056234/a12-16487_1ex3d1.htm" TargetMode="External"/><Relationship Id="rId132" Type="http://schemas.openxmlformats.org/officeDocument/2006/relationships/hyperlink" Target="http://www.sec.gov/Archives/edgar/data/3453/000110465912071639/a12-24769_1ex4d2.htm" TargetMode="External"/><Relationship Id="rId133" Type="http://schemas.openxmlformats.org/officeDocument/2006/relationships/hyperlink" Target="http://www.sec.gov/Archives/edgar/data/3453/000110465913082371/a13-19562_1ex3d1.htm" TargetMode="External"/><Relationship Id="rId134" Type="http://schemas.openxmlformats.org/officeDocument/2006/relationships/hyperlink" Target="https://www.sec.gov/Archives/edgar/data/3453/000155837020001757/ex-4.htm" TargetMode="External"/><Relationship Id="rId136" Type="http://schemas.openxmlformats.org/officeDocument/2006/relationships/hyperlink" Target="http://www.sec.gov/Archives/edgar/data/3453/000110465917043034/a17-15994_1ex10d1.htm" TargetMode="External"/><Relationship Id="rId137" Type="http://schemas.openxmlformats.org/officeDocument/2006/relationships/hyperlink" Target="http://www.sec.gov/Archives/edgar/data/3453/000110465917043034/a17-15994_1ex10d4.htm" TargetMode="External"/><Relationship Id="rId138" Type="http://schemas.openxmlformats.org/officeDocument/2006/relationships/hyperlink" Target="http://www.sec.gov/Archives/edgar/data/3453/000110465917043034/a17-15994_1ex10d5.htm" TargetMode="External"/><Relationship Id="rId139" Type="http://schemas.openxmlformats.org/officeDocument/2006/relationships/hyperlink" Target="http://www.sec.gov/Archives/edgar/data/3453/000110465916163397/a16-23408_1ex10d1.htm" TargetMode="External"/><Relationship Id="rId140" Type="http://schemas.openxmlformats.org/officeDocument/2006/relationships/hyperlink" Target="http://www.sec.gov/Archives/edgar/data/3453/000110465916144681/a16-18469_1ex10d1.htm" TargetMode="External"/><Relationship Id="rId141" Type="http://schemas.openxmlformats.org/officeDocument/2006/relationships/hyperlink" Target="https://www.sec.gov/Archives/edgar/data/3453/000155837020003631/ex-10d1.htm" TargetMode="External"/><Relationship Id="rId142" Type="http://schemas.openxmlformats.org/officeDocument/2006/relationships/hyperlink" Target="https://www.sec.gov/Archives/edgar/data/3453/000155837020003631/ex-10d4.htm" TargetMode="External"/><Relationship Id="rId143" Type="http://schemas.openxmlformats.org/officeDocument/2006/relationships/hyperlink" Target="https://www.sec.gov/Archives/edgar/data/3453/000155837020003631/ex-10d5.htm" TargetMode="External"/><Relationship Id="rId144" Type="http://schemas.openxmlformats.org/officeDocument/2006/relationships/hyperlink" Target="http://www.sec.gov/Archives/edgar/data/3453/000110465912056234/a12-16487_1ex10d1.htm" TargetMode="External"/><Relationship Id="rId145" Type="http://schemas.openxmlformats.org/officeDocument/2006/relationships/hyperlink" Target="http://www.sec.gov/Archives/edgar/data/3453/000110465912056234/a12-16487_1ex10d2.htm" TargetMode="External"/><Relationship Id="rId146" Type="http://schemas.openxmlformats.org/officeDocument/2006/relationships/hyperlink" Target="http://www.sec.gov/Archives/edgar/data/3453/000000345304000034/title_xi.txt" TargetMode="External"/><Relationship Id="rId147" Type="http://schemas.openxmlformats.org/officeDocument/2006/relationships/hyperlink" Target="http://www.sec.gov/Archives/edgar/data/3453/000000345307000059/exh10.htm" TargetMode="External"/><Relationship Id="rId148" Type="http://schemas.openxmlformats.org/officeDocument/2006/relationships/hyperlink" Target="http://www.sec.gov/Archives/edgar/data/3453/000110465915014988/a14-26312_1ex10d13.htm" TargetMode="External"/><Relationship Id="rId150" Type="http://schemas.openxmlformats.org/officeDocument/2006/relationships/hyperlink" Target="http://www.sec.gov/Archives/edgar/data/3453/000110465914014819/a13-26914_1ex10d21.htm" TargetMode="External"/><Relationship Id="rId151" Type="http://schemas.openxmlformats.org/officeDocument/2006/relationships/hyperlink" Target="http://www.sec.gov/Archives/edgar/data/3453/000110465912071639/a12-24769_1ex99d10.htm" TargetMode="External"/><Relationship Id="rId152" Type="http://schemas.openxmlformats.org/officeDocument/2006/relationships/hyperlink" Target="http://www.sec.gov/Archives/edgar/data/3453/000110465913016637/a12-29099_1ex10d34.htm" TargetMode="External"/><Relationship Id="rId153" Type="http://schemas.openxmlformats.org/officeDocument/2006/relationships/hyperlink" Target="https://www.sec.gov/Archives/edgar/data/3453/000155837020004825/matx-20200427xex10d1.htm" TargetMode="External"/><Relationship Id="rId154" Type="http://schemas.openxmlformats.org/officeDocument/2006/relationships/hyperlink" Target="https://www.sec.gov/Archives/edgar/data/3453/000155837020004825/matx-20200427xex10d2.htm" TargetMode="External"/><Relationship Id="rId155" Type="http://schemas.openxmlformats.org/officeDocument/2006/relationships/hyperlink" Target="https://www.sec.gov/Archives/edgar/data/3453/000155837020004825/matx-20200427xex10d3.htm" TargetMode="External"/><Relationship Id="rId156" Type="http://schemas.openxmlformats.org/officeDocument/2006/relationships/hyperlink" Target="https://www.sec.gov/Archives/edgar/data/3453/000155837020007781/matx-20200622xex10d1.htm" TargetMode="External"/><Relationship Id="rId157" Type="http://schemas.openxmlformats.org/officeDocument/2006/relationships/hyperlink" Target="https://www.sec.gov/Archives/edgar/data/3453/000155837020007781/matx-20200622xex10d2.htm" TargetMode="External"/><Relationship Id="rId158" Type="http://schemas.openxmlformats.org/officeDocument/2006/relationships/hyperlink" Target="https://www.sec.gov/Archives/edgar/data/3453/000155837020007781/matx-20200622xex10d3.htm" TargetMode="External"/><Relationship Id="rId159" Type="http://schemas.openxmlformats.org/officeDocument/2006/relationships/hyperlink" Target="http://www.sec.gov/Archives/edgar/data/3453/000110465914063623/a14-20075_1ex10d1.htm" TargetMode="External"/><Relationship Id="rId160" Type="http://schemas.openxmlformats.org/officeDocument/2006/relationships/hyperlink" Target="http://www.sec.gov/Archives/edgar/data/3453/000110465913016637/a12-29099_1ex10d45.htm" TargetMode="External"/><Relationship Id="rId161" Type="http://schemas.openxmlformats.org/officeDocument/2006/relationships/hyperlink" Target="http://www.sec.gov/Archives/edgar/data/3453/000110465915014988/a14-26312_1ex10d42.htm" TargetMode="External"/><Relationship Id="rId162" Type="http://schemas.openxmlformats.org/officeDocument/2006/relationships/hyperlink" Target="http://www.sec.gov/Archives/edgar/data/3453/000110465914073470/a14-22649_1ex10d1.htm" TargetMode="External"/><Relationship Id="rId163" Type="http://schemas.openxmlformats.org/officeDocument/2006/relationships/hyperlink" Target="http://www.sec.gov/Archives/edgar/data/3453/000110465913016637/a12-29099_1ex10d51.htm" TargetMode="External"/><Relationship Id="rId165" Type="http://schemas.openxmlformats.org/officeDocument/2006/relationships/hyperlink" Target="http://www.sec.gov/Archives/edgar/data/3453/000110465914014819/a13-26914_1ex10d56.htm" TargetMode="External"/><Relationship Id="rId166" Type="http://schemas.openxmlformats.org/officeDocument/2006/relationships/hyperlink" Target="http://www.sec.gov/Archives/edgar/data/3453/000110465914014819/a13-26914_1ex10d57.htm" TargetMode="External"/><Relationship Id="rId167" Type="http://schemas.openxmlformats.org/officeDocument/2006/relationships/hyperlink" Target="http://www.sec.gov/Archives/edgar/data/3453/000110465914014819/a13-26914_1ex10d58.htm" TargetMode="External"/><Relationship Id="rId168" Type="http://schemas.openxmlformats.org/officeDocument/2006/relationships/hyperlink" Target="http://www.sec.gov/Archives/edgar/data/3453/000155837016009602/matx-20160930ex10159fc02.htm" TargetMode="External"/><Relationship Id="rId169" Type="http://schemas.openxmlformats.org/officeDocument/2006/relationships/hyperlink" Target="http://www.sec.gov/Archives/edgar/data/3453/000155837016009602/matx-20160930ex1025f5188.htm" TargetMode="External"/><Relationship Id="rId170" Type="http://schemas.openxmlformats.org/officeDocument/2006/relationships/hyperlink" Target="http://www.sec.gov/Archives/edgar/data/3453/000155837016009602/matx-20160930ex10396752a.htm" TargetMode="External"/><Relationship Id="rId171" Type="http://schemas.openxmlformats.org/officeDocument/2006/relationships/hyperlink" Target="http://www.sec.gov/Archives/edgar/data/3453/000110465914014819/a13-26914_1ex10d60.htm" TargetMode="External"/><Relationship Id="rId172" Type="http://schemas.openxmlformats.org/officeDocument/2006/relationships/hyperlink" Target="http://www.sec.gov/Archives/edgar/data/3453/000110465914079225/a14-24264_1ex10d1.htm" TargetMode="External"/><Relationship Id="rId173" Type="http://schemas.openxmlformats.org/officeDocument/2006/relationships/hyperlink" Target="http://www.sec.gov/Archives/edgar/data/3453/000155837018001004/matx-20171231ex10562f7e4.htm" TargetMode="External"/><Relationship Id="rId174" Type="http://schemas.openxmlformats.org/officeDocument/2006/relationships/hyperlink" Target="http://www.sec.gov/Archives/edgar/data/3453/000155837017000947/matx-20161231ex1063a7bab.htm" TargetMode="External"/><Relationship Id="rId175" Type="http://schemas.openxmlformats.org/officeDocument/2006/relationships/hyperlink" Target="http://www.sec.gov/Archives/edgar/data/3453/000155837017000947/matx-20161231ex1064eae73.htm" TargetMode="External"/><Relationship Id="rId176" Type="http://schemas.openxmlformats.org/officeDocument/2006/relationships/hyperlink" Target="http://www.sec.gov/Archives/edgar/data/3453/000155837017000947/matx-20161231ex1065f8a3a.htm" TargetMode="External"/><Relationship Id="rId177" Type="http://schemas.openxmlformats.org/officeDocument/2006/relationships/hyperlink" Target="http://www.sec.gov/Archives/edgar/data/3453/000155837018001004/matx-20171231ex1060d61df.htm" TargetMode="External"/><Relationship Id="rId178" Type="http://schemas.openxmlformats.org/officeDocument/2006/relationships/hyperlink" Target="http://www.sec.gov/Archives/edgar/data/3453/000155837018001004/matx-20171231ex1061a3715.htm" TargetMode="External"/><Relationship Id="rId180" Type="http://schemas.openxmlformats.org/officeDocument/2006/relationships/hyperlink" Target="http://www.sec.gov/Archives/edgar/data/3453/000155837018001004/matx-20171231ex10620ee80.htm" TargetMode="External"/><Relationship Id="rId181" Type="http://schemas.openxmlformats.org/officeDocument/2006/relationships/hyperlink" Target="http://www.sec.gov/Archives/edgar/data/3453/000155837018001004/matx-20171231ex1063ec9c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2021-02-26T06:41:38Z</dcterms:created>
  <dcterms:modified xsi:type="dcterms:W3CDTF">2021-02-26T06:41:38Z</dcterms:modified>
</cp:coreProperties>
</file>