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2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40" w:right="120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51"/>
        </w:trPr>
        <w:tc>
          <w:tcPr>
            <w:tcW w:w="728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60" w:type="dxa"/>
            <w:vAlign w:val="bottom"/>
          </w:tcPr>
          <w:p>
            <w:pPr>
              <w:spacing w:after="0"/>
              <w:rPr>
                <w:sz w:val="24"/>
                <w:szCs w:val="24"/>
                <w:color w:val="auto"/>
              </w:rPr>
            </w:pPr>
          </w:p>
        </w:tc>
      </w:tr>
      <w:tr>
        <w:trPr>
          <w:trHeight w:val="230"/>
        </w:trPr>
        <w:tc>
          <w:tcPr>
            <w:tcW w:w="728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6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60" w:type="dxa"/>
            <w:vAlign w:val="bottom"/>
          </w:tcPr>
          <w:p>
            <w:pPr>
              <w:jc w:val="center"/>
              <w:ind w:left="85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60" w:type="dxa"/>
            <w:vAlign w:val="bottom"/>
          </w:tcPr>
          <w:p>
            <w:pPr>
              <w:spacing w:after="0"/>
              <w:rPr>
                <w:sz w:val="24"/>
                <w:szCs w:val="24"/>
                <w:color w:val="auto"/>
              </w:rPr>
            </w:pPr>
          </w:p>
        </w:tc>
      </w:tr>
      <w:tr>
        <w:trPr>
          <w:trHeight w:val="193"/>
        </w:trPr>
        <w:tc>
          <w:tcPr>
            <w:tcW w:w="5020" w:type="dxa"/>
            <w:vAlign w:val="bottom"/>
          </w:tcPr>
          <w:p>
            <w:pPr>
              <w:jc w:val="center"/>
              <w:ind w:right="210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6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jc w:val="center"/>
              <w:ind w:left="85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233" w:right="759" w:bottom="1440" w:gutter="0" w:footer="0" w:header="0"/>
        </w:sectPr>
      </w:pPr>
    </w:p>
    <w:p>
      <w:pPr>
        <w:spacing w:after="0" w:line="68" w:lineRule="exact"/>
        <w:rPr>
          <w:sz w:val="24"/>
          <w:szCs w:val="24"/>
          <w:color w:val="auto"/>
        </w:rPr>
      </w:pPr>
    </w:p>
    <w:p>
      <w:pPr>
        <w:ind w:left="17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00" w:space="720"/>
            <w:col w:w="3260"/>
          </w:cols>
          <w:pgMar w:left="760" w:top="233" w:right="759" w:bottom="1440" w:gutter="0" w:footer="0" w:header="0"/>
          <w:type w:val="continuous"/>
        </w:sectPr>
      </w:pPr>
    </w:p>
    <w:p>
      <w:pPr>
        <w:jc w:val="center"/>
        <w:ind w:right="7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31"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000" w:space="720"/>
            <w:col w:w="3660"/>
          </w:cols>
          <w:pgMar w:left="760" w:top="233" w:right="759" w:bottom="1440" w:gutter="0" w:footer="0" w:header="0"/>
          <w:type w:val="continuous"/>
        </w:sectPr>
      </w:pPr>
    </w:p>
    <w:p>
      <w:pPr>
        <w:ind w:left="67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ind w:right="34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right="114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September 30, 2017: </w:t>
      </w:r>
      <w:r>
        <w:rPr>
          <w:rFonts w:ascii="Arial" w:cs="Arial" w:eastAsia="Arial" w:hAnsi="Arial"/>
          <w:sz w:val="18"/>
          <w:szCs w:val="18"/>
          <w:b w:val="1"/>
          <w:bCs w:val="1"/>
          <w:color w:val="auto"/>
        </w:rPr>
        <w:t>42,447,854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00" w:type="dxa"/>
            <w:vAlign w:val="bottom"/>
            <w:gridSpan w:val="2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2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11"/>
          </w:tcPr>
          <w:p>
            <w:pPr>
              <w:jc w:val="center"/>
              <w:ind w:right="174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2840" w:type="dxa"/>
            <w:vAlign w:val="bottom"/>
            <w:gridSpan w:val="12"/>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4940" w:type="dxa"/>
            <w:vAlign w:val="bottom"/>
            <w:gridSpan w:val="10"/>
            <w:vMerge w:val="restart"/>
          </w:tcPr>
          <w:p>
            <w:pPr>
              <w:spacing w:after="0"/>
              <w:rPr>
                <w:sz w:val="24"/>
                <w:szCs w:val="24"/>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2840" w:type="dxa"/>
            <w:vAlign w:val="bottom"/>
            <w:tcBorders>
              <w:bottom w:val="single" w:sz="8" w:color="0000EE"/>
            </w:tcBorders>
            <w:gridSpan w:val="12"/>
            <w:vMerge w:val="continue"/>
          </w:tcPr>
          <w:p>
            <w:pPr>
              <w:spacing w:after="0"/>
              <w:rPr>
                <w:sz w:val="13"/>
                <w:szCs w:val="13"/>
                <w:color w:val="auto"/>
              </w:rPr>
            </w:pPr>
          </w:p>
        </w:tc>
        <w:tc>
          <w:tcPr>
            <w:tcW w:w="4940" w:type="dxa"/>
            <w:vAlign w:val="bottom"/>
            <w:gridSpan w:val="1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and Comprehensive Income</w:t>
              </w:r>
            </w:hyperlink>
          </w:p>
        </w:tc>
        <w:tc>
          <w:tcPr>
            <w:tcW w:w="14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020" w:type="dxa"/>
            <w:vAlign w:val="bottom"/>
            <w:gridSpan w:val="7"/>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240" w:type="dxa"/>
            <w:vAlign w:val="bottom"/>
            <w:gridSpan w:val="6"/>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6960" w:type="dxa"/>
            <w:vAlign w:val="bottom"/>
            <w:gridSpan w:val="19"/>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Part II—OTHER INFORMATION</w:t>
              </w:r>
            </w:hyperlink>
          </w:p>
        </w:tc>
        <w:tc>
          <w:tcPr>
            <w:tcW w:w="526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69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1,181.9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1,135.0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1,530.8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1,422.3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(1,177.2)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Equity in income of related party Terminal Joint Venture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(482.1)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(453.7)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(1,406.7)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(1,304.9)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 in prior service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300"/>
              <w:spacing w:after="0" w:line="201" w:lineRule="exact"/>
              <w:rPr>
                <w:sz w:val="20"/>
                <w:szCs w:val="20"/>
                <w:color w:val="auto"/>
              </w:rPr>
            </w:pPr>
            <w:r>
              <w:rPr>
                <w:rFonts w:ascii="Arial" w:cs="Arial" w:eastAsia="Arial" w:hAnsi="Arial"/>
                <w:sz w:val="18"/>
                <w:szCs w:val="18"/>
                <w:color w:val="auto"/>
                <w:w w:val="97"/>
              </w:rPr>
              <w:t>Amortization of prior service cost included in net periodic pension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included in net periodic pension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adjustments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Investment in related party Terminal Joint Venture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Capital Construction Fund - cash on deposit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Accruals and other liabilities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 plans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Uninsured claims and related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withdrawal liability</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66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65.1</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Reconciling adjustments: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3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30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Equity in income of related party Terminal Joint Venture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300"/>
              <w:spacing w:after="0"/>
              <w:rPr>
                <w:sz w:val="20"/>
                <w:szCs w:val="20"/>
                <w:color w:val="auto"/>
              </w:rPr>
            </w:pPr>
            <w:r>
              <w:rPr>
                <w:rFonts w:ascii="Arial" w:cs="Arial" w:eastAsia="Arial" w:hAnsi="Arial"/>
                <w:sz w:val="16"/>
                <w:szCs w:val="16"/>
                <w:color w:val="auto"/>
              </w:rPr>
              <w:t>Cash distribution received from Terminal Joint Venture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300"/>
              <w:spacing w:after="0"/>
              <w:rPr>
                <w:sz w:val="20"/>
                <w:szCs w:val="20"/>
                <w:color w:val="auto"/>
              </w:rPr>
            </w:pPr>
            <w:r>
              <w:rPr>
                <w:rFonts w:ascii="Arial" w:cs="Arial" w:eastAsia="Arial" w:hAnsi="Arial"/>
                <w:sz w:val="16"/>
                <w:szCs w:val="16"/>
                <w:color w:val="auto"/>
              </w:rPr>
              <w:t>Deferred dry-docking payments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dry-docking amortization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3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payable, accruals and other liabilities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Vessel construction expenditures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capital expenditures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Proceeds from (payments for) disposal of property and equipment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deposits into Capital Construction Fund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Cash withdrawals from Capital Construction Fund</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Payments for membership interests in Span Alaska, net of cash acquired</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issuance of debt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Repayments of debt and capital leases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revolving credit facility</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Repayments of revolving credit facility</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Payment of financing costs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Proceeds from issuance of capital stock</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Dividends paid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Repurchase of Matson common stock</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Payments of Span Alaska debt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Cash and Cash Equivalents, Beginning of the Period</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End of the Period</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Interest paid, net of capitalized interest</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 paid (refund)</w:t>
            </w: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Information: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40" w:type="dxa"/>
            <w:vAlign w:val="bottom"/>
            <w:gridSpan w:val="2"/>
          </w:tcPr>
          <w:p>
            <w:pPr>
              <w:ind w:left="20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Okinawa, Japan and various islands in the South Pacific. In addition, subsidiaries of MatNav provide container stevedoring, container equipment maintenance and other terminal services for MatNav and other ocean carriers on the Hawaiian Islands of Oahu, Hawaii, Maui and Kauai, and in the Alaska locations of Anchorage, Kodiak and Dutch Harbor. Matson's fleet of 22 owned vessels and five chartered vessels includes containerships, combination container and roll-on/roll-off ships and custom-designed barges.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a subsidiary of Carrix, Inc. SSAT provides terminal and stevedoring services to various carriers at seven terminal facilities on the U.S. West Coast, including to MatNav at four of those facilities (“Terminal Joint Venture”). Matson records its share of income in the Terminal Joint Venture in operating costs in the Condensed Consolidated Statements of Income and Comprehensive Income, and within the Ocean Transportation segment due to the nature of SSAT’s operations.</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consolidation (“LCL”) and freight forwarding services (collectively “Freight Forwarding Services”); (iii) warehousing and distribution services; and (iv) supply chain management and other services.</w:t>
      </w:r>
    </w:p>
    <w:p>
      <w:pPr>
        <w:spacing w:after="0" w:line="178"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i w:val="1"/>
          <w:iCs w:val="1"/>
          <w:color w:val="auto"/>
        </w:rPr>
        <w:t xml:space="preserve">Recent Acquisition: </w:t>
      </w:r>
      <w:r>
        <w:rPr>
          <w:rFonts w:ascii="Arial" w:cs="Arial" w:eastAsia="Arial" w:hAnsi="Arial"/>
          <w:sz w:val="16"/>
          <w:szCs w:val="16"/>
          <w:color w:val="auto"/>
        </w:rPr>
        <w:t>On August 4, 2016, Matson Logistics completed its acquisition of Span Intermediate, LLC (“Span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Alaska”), a market leading provider of LCL consolidation and freight forwarding services to Alaska (the “Span Alaska Acquisition”) (see Note 13,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for additional information on the recent acquisition).</w:t>
      </w:r>
    </w:p>
    <w:p>
      <w:pPr>
        <w:spacing w:after="0" w:line="359"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 Matson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all wholly-owned subsidiaries, after elimination of significant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 The Condensed Consolidated Financial Statements include the accounts and activities of Span Alaska from the acquisition date on August 4, 2016 (see Note 13).</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Due to the nature of the Company’s operations, including the acquisition of Span Alaska on August 4, 2016,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2016, filed with the Securities and Exchange Commission (“SEC”) on February 24, 2017.</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covered by this report is September 30, 2017. The period end for MatNav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covered by this report occurred on the last Friday in September, or September 29, 2017, for the third quarter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Part II, Item 8 of the Company’s Annual Report on Form 10-K for the year ended December 31, 2016.</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 xml:space="preserve">Immaterial Correction of an Error in Previously Issued Financial Statements: </w:t>
      </w:r>
      <w:r>
        <w:rPr>
          <w:rFonts w:ascii="Arial" w:cs="Arial" w:eastAsia="Arial" w:hAnsi="Arial"/>
          <w:sz w:val="16"/>
          <w:szCs w:val="16"/>
          <w:color w:val="auto"/>
        </w:rPr>
        <w:t>Subsequent to the filing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Quarterly Report on Form 10-Q for the period ended June 30, 2017, the Company identified an error related to its post-retirement benefit plan liabilities. The Company did not account for the transfer of certain participants belonging to three stevedore union groups in Hawaii, out of the Company’s post-retirement benefit plan and into a multi-employer Stevedore Industry Committee Welfare Benefit Plan (“SIC Plan”), that was approved by the Board of the SIC Plan in August 2016 (the “Transfer”). The SIC Plan assumed the existing unfunded obligation related to the transferred participants who continue to receive substantially the same post-retirement benefits that they previously received under the Company’s post-retirement benefit plan. The Company determined that the Transfer should have been accounted for in August 2016 when the Transfer was approved by the SIC Board as a negative plan amendment in accordance with Accounting Standards Codification (“ASC”) 715-60, </w:t>
      </w:r>
      <w:r>
        <w:rPr>
          <w:rFonts w:ascii="Arial" w:cs="Arial" w:eastAsia="Arial" w:hAnsi="Arial"/>
          <w:sz w:val="16"/>
          <w:szCs w:val="16"/>
          <w:i w:val="1"/>
          <w:iCs w:val="1"/>
          <w:color w:val="auto"/>
        </w:rPr>
        <w:t>Defined Benefit Plans – Other Postretirements</w:t>
      </w:r>
      <w:r>
        <w:rPr>
          <w:rFonts w:ascii="Arial" w:cs="Arial" w:eastAsia="Arial" w:hAnsi="Arial"/>
          <w:sz w:val="16"/>
          <w:szCs w:val="16"/>
          <w:color w:val="auto"/>
        </w:rPr>
        <w:t xml:space="preserve"> since the Company retains significant risks related to the obligation for the transferred participants’ benefits, and will continue to participate in the funding of the transferred benefit obligation through ongoing and increased contributions to the SIC Plan.</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Accordingly, the Company corrected this error by recording a decrease of $36.8 million in employee benefit plan liabilities and $1.6 million in accruals and other liabilities, with a corresponding net gain in prior service costs of $22.5 million in accumulated other comprehensive loss (gain), net of $15.0 million of deferred income taxes, and a $0.9 million increase in retained earnings as of December 31, 2016. The net gain in prior service costs included in accumulated other comprehensive loss will be amortized over a period of approximately 10 years. The correction for the amortization of the net gain in prior service costs resulted in an increase in Ocean Transportation segment operating income of $0.5 million, and income tax expense of $0.2 million in the Company’s Condensed Consolidated Financial Statements for the three and nine months ended September 30, 2016. The Company believes the correction of this error is immaterial to previously issued Consolidated Financial Statements for prior periods. The misstatement had no impact on the Company’s Condensed Consolidated Statements of Cash Flows.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amounts included within cash flows from operating activities of the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Cash Flow for the nine months ended September 30, 2016, have been reclassified to conform to the current period presentation. There was no change in net cash provided by operating activities for the nine months ended September 30, 2016.</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i w:val="1"/>
          <w:iCs w:val="1"/>
          <w:color w:val="auto"/>
        </w:rPr>
        <w:t>Revenue from Contracts with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2014, the Financial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Board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ASU 2014-09 establishes principles regarding the nature, timing, and uncertainty of revenue from contracts with customers. It removes inconsistencies in existing revenue requirements, provides a more robust framework for addressing revenue issues and improves comparability of revenue recognition practices across entities, industries, jurisdictions and capital markets. ASU 2014-09 will be effective for interim and annual reporting periods beginning after December 15, 2017.</w:t>
      </w:r>
    </w:p>
    <w:p>
      <w:pPr>
        <w:spacing w:after="0" w:line="16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is in the process of evaluating the impact of adopting ASU 2014-09 on its Consolidated Financial Statements. The Company is currently reviewing customer contracts in each of its operating segments for all revenue generating services provided by the Company, and is assessing the impact of applying ASU 2014-09, and comparing this to the Company’s historical revenue recognition practices. Based upon the preliminary review of customer contracts, the Company believes that the Company’s revenue recognition policies are consistent with the requirements of ASU 2014-</w:t>
      </w:r>
    </w:p>
    <w:p>
      <w:pPr>
        <w:spacing w:after="0" w:line="2" w:lineRule="exact"/>
        <w:rPr>
          <w:sz w:val="20"/>
          <w:szCs w:val="20"/>
          <w:color w:val="auto"/>
        </w:rPr>
      </w:pPr>
    </w:p>
    <w:p>
      <w:pPr>
        <w:ind w:right="500" w:firstLine="3"/>
        <w:spacing w:after="0" w:line="302" w:lineRule="auto"/>
        <w:tabs>
          <w:tab w:leader="none" w:pos="312" w:val="left"/>
        </w:tabs>
        <w:numPr>
          <w:ilvl w:val="0"/>
          <w:numId w:val="5"/>
        </w:numPr>
        <w:rPr>
          <w:rFonts w:ascii="Arial" w:cs="Arial" w:eastAsia="Arial" w:hAnsi="Arial"/>
          <w:sz w:val="16"/>
          <w:szCs w:val="16"/>
          <w:color w:val="auto"/>
        </w:rPr>
      </w:pPr>
      <w:r>
        <w:rPr>
          <w:rFonts w:ascii="Arial" w:cs="Arial" w:eastAsia="Arial" w:hAnsi="Arial"/>
          <w:sz w:val="16"/>
          <w:szCs w:val="16"/>
          <w:color w:val="auto"/>
        </w:rPr>
        <w:t>While the Company continues to assess all potential impacts of adopting ASU 2014-09, based upon information available to date, the Company does not expect the adoption of ASU 2014-09 to have a significant impact on either the timing or recognition of Ocean Transportation and Logistics revenues. The Company is also evaluating its accounting</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disclosures related to revenue recognition. The Company plans to adopt the requirements of the new standard by recording the impact of adoption as an adjustment to retained earnings at the beginning of the first quarter of 2018.</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record most leases on their balance sheets but recognize the expenses on their statements of income in a manner similar to current practice. ASU 2016-02 states that a lessee would recognize a lease liability for the obligation to make lease payments, and a right-of-use asset for the underlying leased asset for the period of the lease term. ASU 2016-02 will be effective for interim and annual periods beginning after December 15, 2018 and early adoption is permitted. The Company is in the process of evaluating the impact of adopting ASU 2016-02.</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Net Periodic Pension Cost and Benefit Cost: </w:t>
      </w:r>
      <w:r>
        <w:rPr>
          <w:rFonts w:ascii="Arial" w:cs="Arial" w:eastAsia="Arial" w:hAnsi="Arial"/>
          <w:sz w:val="17"/>
          <w:szCs w:val="17"/>
          <w:color w:val="auto"/>
        </w:rPr>
        <w:t>In March 2017, the FASB issued ASU 2017-07. “</w:t>
      </w:r>
      <w:r>
        <w:rPr>
          <w:rFonts w:ascii="Arial" w:cs="Arial" w:eastAsia="Arial" w:hAnsi="Arial"/>
          <w:sz w:val="17"/>
          <w:szCs w:val="17"/>
          <w:i w:val="1"/>
          <w:iCs w:val="1"/>
          <w:color w:val="auto"/>
        </w:rPr>
        <w:t xml:space="preserve">Compensation – Retirement Benefits (Topic 715): Improving the Presentation of Net Periodic Pension Cost and Benefit Cost </w:t>
      </w:r>
      <w:r>
        <w:rPr>
          <w:rFonts w:ascii="Arial" w:cs="Arial" w:eastAsia="Arial" w:hAnsi="Arial"/>
          <w:sz w:val="17"/>
          <w:szCs w:val="17"/>
          <w:color w:val="auto"/>
        </w:rPr>
        <w:t>(“ASU 2017-07”). ASU</w:t>
      </w:r>
      <w:r>
        <w:rPr>
          <w:rFonts w:ascii="Arial" w:cs="Arial" w:eastAsia="Arial" w:hAnsi="Arial"/>
          <w:sz w:val="17"/>
          <w:szCs w:val="17"/>
          <w:i w:val="1"/>
          <w:iCs w:val="1"/>
          <w:color w:val="auto"/>
        </w:rPr>
        <w:t xml:space="preserve"> </w:t>
      </w:r>
      <w:r>
        <w:rPr>
          <w:rFonts w:ascii="Arial" w:cs="Arial" w:eastAsia="Arial" w:hAnsi="Arial"/>
          <w:sz w:val="17"/>
          <w:szCs w:val="17"/>
          <w:color w:val="auto"/>
        </w:rPr>
        <w:t>2017-07 requires employees that sponsor defined benefit pension and other post-retirement plans to present the service cost component of net benefit cost in the same income statement line item as other employee compensation costs arising from services rendered, and that only the service cost component will be eligible for capitalization. The other components of the net periodic benefit cost must be presented separately from the line item that includes the service cost component and outside of the income from operations subtotal. ASU 2017-07 is effective for interim and annual periods beginning after December 15, 2017. The Company does not expect the adoption of ASU 2017-07 to have a significant impact on the Company’s Consolidated Financial Statements.</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i w:val="1"/>
          <w:iCs w:val="1"/>
          <w:color w:val="auto"/>
        </w:rPr>
        <w:t>Environmental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Ocean Transportation business has certain risks that could result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ind w:left="580" w:hanging="577"/>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71" w:lineRule="auto"/>
        <w:tabs>
          <w:tab w:leader="none" w:pos="22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Ocean Transportation segment provides ocean transportation services to the Logistics segment. Accordingly, inter-segment revenue of $12.6 million and $6.7 million for the three months ended September 30, 2017 and 2016, respectively, and $32.0 million and $10.3 million for the nine months ended September 30, 2017 and 2016, respectively, have been eliminated from Logistics segment operating revenue in the table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results for the three and nine months ended September 30, 2017 and 2016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419.2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398.0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1,181.9</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1,135.0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1,530.8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1,422.3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r>
              <w:rPr>
                <w:rFonts w:ascii="Arial" w:cs="Arial" w:eastAsia="Arial" w:hAnsi="Arial"/>
                <w:sz w:val="18"/>
                <w:szCs w:val="18"/>
                <w:u w:val="single" w:color="auto"/>
                <w:color w:val="auto"/>
              </w:rPr>
              <w:t>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00" w:lineRule="exact"/>
        <w:rPr>
          <w:sz w:val="20"/>
          <w:szCs w:val="20"/>
          <w:color w:val="auto"/>
        </w:rPr>
      </w:pPr>
    </w:p>
    <w:p>
      <w:pPr>
        <w:spacing w:after="0" w:line="249" w:lineRule="exact"/>
        <w:rPr>
          <w:sz w:val="20"/>
          <w:szCs w:val="20"/>
          <w:color w:val="auto"/>
        </w:rPr>
      </w:pPr>
    </w:p>
    <w:p>
      <w:pPr>
        <w:ind w:left="580" w:hanging="577"/>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September 30, 2017 and December 31, 2016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Vessels</w:t>
            </w:r>
          </w:p>
        </w:tc>
        <w:tc>
          <w:tcPr>
            <w:tcW w:w="4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1,430.8</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construction in progress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Deprecation</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Vessel construction in progress relates to progress payments paid for the construction of four new vessels to be used within the Hawaii service, and includes capitalized interest of $7.4 million and $2.9 million at September 30, 2017 and December 31, 2016, respectively.</w:t>
      </w:r>
    </w:p>
    <w:p>
      <w:pPr>
        <w:spacing w:after="0" w:line="393" w:lineRule="exact"/>
        <w:rPr>
          <w:sz w:val="20"/>
          <w:szCs w:val="20"/>
          <w:color w:val="auto"/>
        </w:rPr>
      </w:pPr>
    </w:p>
    <w:p>
      <w:pPr>
        <w:ind w:left="580" w:hanging="577"/>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Changes in goodwill for the three and nine months ended September 30, 2017 and 2016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Ocean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Transportation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Ocean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Transportation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1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at September 30, 2017 and December 31, 2016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r>
      <w:tr>
        <w:trPr>
          <w:trHeight w:val="183"/>
        </w:trPr>
        <w:tc>
          <w:tcPr>
            <w:tcW w:w="6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6560" w:type="dxa"/>
            <w:vAlign w:val="bottom"/>
          </w:tcPr>
          <w:p>
            <w:pPr>
              <w:ind w:left="120"/>
              <w:spacing w:after="0" w:line="189" w:lineRule="exact"/>
              <w:rPr>
                <w:sz w:val="20"/>
                <w:szCs w:val="20"/>
                <w:color w:val="auto"/>
              </w:rPr>
            </w:pPr>
            <w:r>
              <w:rPr>
                <w:rFonts w:ascii="Arial" w:cs="Arial" w:eastAsia="Arial" w:hAnsi="Arial"/>
                <w:sz w:val="18"/>
                <w:szCs w:val="18"/>
                <w:color w:val="auto"/>
              </w:rPr>
              <w:t>Ocean Transportation</w:t>
            </w:r>
          </w:p>
        </w:tc>
        <w:tc>
          <w:tcPr>
            <w:tcW w:w="440" w:type="dxa"/>
            <w:vAlign w:val="bottom"/>
            <w:gridSpan w:val="2"/>
          </w:tcPr>
          <w:p>
            <w:pPr>
              <w:jc w:val="right"/>
              <w:ind w:right="39"/>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140.6</w:t>
            </w:r>
          </w:p>
        </w:tc>
        <w:tc>
          <w:tcPr>
            <w:tcW w:w="200" w:type="dxa"/>
            <w:vAlign w:val="bottom"/>
          </w:tcPr>
          <w:p>
            <w:pPr>
              <w:spacing w:after="0"/>
              <w:rPr>
                <w:sz w:val="16"/>
                <w:szCs w:val="16"/>
                <w:color w:val="auto"/>
              </w:rPr>
            </w:pPr>
          </w:p>
        </w:tc>
        <w:tc>
          <w:tcPr>
            <w:tcW w:w="220" w:type="dxa"/>
            <w:vAlign w:val="bottom"/>
            <w:gridSpan w:val="2"/>
          </w:tcPr>
          <w:p>
            <w:pPr>
              <w:jc w:val="right"/>
              <w:ind w:right="47"/>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140.6</w:t>
            </w:r>
          </w:p>
        </w:tc>
        <w:tc>
          <w:tcPr>
            <w:tcW w:w="100" w:type="dxa"/>
            <w:vAlign w:val="bottom"/>
          </w:tcPr>
          <w:p>
            <w:pPr>
              <w:spacing w:after="0"/>
              <w:rPr>
                <w:sz w:val="16"/>
                <w:szCs w:val="16"/>
                <w:color w:val="auto"/>
              </w:rPr>
            </w:pPr>
          </w:p>
        </w:tc>
      </w:tr>
      <w:tr>
        <w:trPr>
          <w:trHeight w:val="189"/>
        </w:trPr>
        <w:tc>
          <w:tcPr>
            <w:tcW w:w="6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Logistics</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6"/>
                <w:szCs w:val="16"/>
                <w:color w:val="auto"/>
              </w:rPr>
            </w:pPr>
          </w:p>
        </w:tc>
      </w:tr>
      <w:tr>
        <w:trPr>
          <w:trHeight w:val="183"/>
        </w:trPr>
        <w:tc>
          <w:tcPr>
            <w:tcW w:w="656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230.7</w:t>
            </w:r>
          </w:p>
        </w:tc>
        <w:tc>
          <w:tcPr>
            <w:tcW w:w="100" w:type="dxa"/>
            <w:vAlign w:val="bottom"/>
          </w:tcPr>
          <w:p>
            <w:pPr>
              <w:spacing w:after="0"/>
              <w:rPr>
                <w:sz w:val="15"/>
                <w:szCs w:val="15"/>
                <w:color w:val="auto"/>
              </w:rPr>
            </w:pPr>
          </w:p>
        </w:tc>
      </w:tr>
      <w:tr>
        <w:trPr>
          <w:trHeight w:val="189"/>
        </w:trPr>
        <w:tc>
          <w:tcPr>
            <w:tcW w:w="6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Less: Accumulated Amortization</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(21.4)</w:t>
            </w:r>
          </w:p>
        </w:tc>
      </w:tr>
      <w:tr>
        <w:trPr>
          <w:trHeight w:val="183"/>
        </w:trPr>
        <w:tc>
          <w:tcPr>
            <w:tcW w:w="6560" w:type="dxa"/>
            <w:vAlign w:val="bottom"/>
          </w:tcPr>
          <w:p>
            <w:pPr>
              <w:ind w:left="120"/>
              <w:spacing w:after="0" w:line="182" w:lineRule="exact"/>
              <w:rPr>
                <w:sz w:val="20"/>
                <w:szCs w:val="20"/>
                <w:color w:val="auto"/>
              </w:rPr>
            </w:pPr>
            <w:r>
              <w:rPr>
                <w:rFonts w:ascii="Arial" w:cs="Arial" w:eastAsia="Arial" w:hAnsi="Arial"/>
                <w:sz w:val="18"/>
                <w:szCs w:val="18"/>
                <w:color w:val="auto"/>
              </w:rPr>
              <w:t>Total Customer Relationships, net</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209.3</w:t>
            </w:r>
          </w:p>
        </w:tc>
        <w:tc>
          <w:tcPr>
            <w:tcW w:w="100" w:type="dxa"/>
            <w:vAlign w:val="bottom"/>
          </w:tcPr>
          <w:p>
            <w:pPr>
              <w:spacing w:after="0"/>
              <w:rPr>
                <w:sz w:val="15"/>
                <w:szCs w:val="15"/>
                <w:color w:val="auto"/>
              </w:rPr>
            </w:pPr>
          </w:p>
        </w:tc>
      </w:tr>
      <w:tr>
        <w:trPr>
          <w:trHeight w:val="189"/>
        </w:trPr>
        <w:tc>
          <w:tcPr>
            <w:tcW w:w="6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Trade name - Logistics</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6"/>
                <w:szCs w:val="16"/>
                <w:color w:val="auto"/>
              </w:rPr>
            </w:pPr>
          </w:p>
        </w:tc>
      </w:tr>
      <w:tr>
        <w:trPr>
          <w:trHeight w:val="190"/>
        </w:trPr>
        <w:tc>
          <w:tcPr>
            <w:tcW w:w="6560" w:type="dxa"/>
            <w:vAlign w:val="bottom"/>
          </w:tcPr>
          <w:p>
            <w:pPr>
              <w:ind w:left="120"/>
              <w:spacing w:after="0" w:line="182" w:lineRule="exact"/>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228.0</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236.6</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308"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Company’s Capital Construction Fund (“CCF”) is described in Note 7 to the Consolidated Financial Statements included in Part II, Item 8 of the Company’s Annual Report on Form 10-K for the year ended December 31, 2016. As of September 30, 2017 and December 31, 2016, the following amounts related to the Company’s CCF:</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183"/>
        </w:trPr>
        <w:tc>
          <w:tcPr>
            <w:tcW w:w="65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Capital Construction Fund:</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67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Cash on deposit</w:t>
            </w:r>
          </w:p>
        </w:tc>
        <w:tc>
          <w:tcPr>
            <w:tcW w:w="24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6"/>
              <w:spacing w:after="0" w:line="189"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r>
      <w:tr>
        <w:trPr>
          <w:trHeight w:val="189"/>
        </w:trPr>
        <w:tc>
          <w:tcPr>
            <w:tcW w:w="67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Assigned accounts receivables</w:t>
            </w:r>
          </w:p>
        </w:tc>
        <w:tc>
          <w:tcPr>
            <w:tcW w:w="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6"/>
                <w:szCs w:val="16"/>
                <w:color w:val="auto"/>
              </w:rPr>
            </w:pPr>
          </w:p>
        </w:tc>
      </w:tr>
    </w:tbl>
    <w:p>
      <w:pPr>
        <w:spacing w:after="0" w:line="16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Cash on deposit in the CCF are held in a money market account and classified as long-term assets in the Company’s Condensed Consolidated Balance Sheets, as the Company intends to use qualified cash withdrawals to fund long-term investment in the construction of new vessels. During the three and nine months ended September 30, 2017, the Company deposited $52.4 million and $64.6 million into the CCF, and made qualifying cash withdrawals of $52.4 million and $95.8 million from the CCF, respectively. Eligible accounts receivable that are assigned into the CCF are classified as part of accounts receivable in the Condensed Consolidated Financial Statements due to the nature of the assignment.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and December 31, 2016, the Company’s debt consisted of the following:</w:t>
      </w:r>
    </w:p>
    <w:p>
      <w:pPr>
        <w:spacing w:after="0" w:line="190" w:lineRule="exact"/>
        <w:rPr>
          <w:sz w:val="20"/>
          <w:szCs w:val="20"/>
          <w:color w:val="auto"/>
        </w:rPr>
      </w:pPr>
    </w:p>
    <w:p>
      <w:pPr>
        <w:jc w:val="right"/>
        <w:ind w:right="240"/>
        <w:spacing w:after="0"/>
        <w:tabs>
          <w:tab w:leader="none" w:pos="8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17" w:lineRule="exact"/>
        <w:rPr>
          <w:sz w:val="20"/>
          <w:szCs w:val="20"/>
          <w:color w:val="auto"/>
        </w:rPr>
      </w:pPr>
    </w:p>
    <w:p>
      <w:pPr>
        <w:spacing w:after="0"/>
        <w:tabs>
          <w:tab w:leader="none" w:pos="7080" w:val="left"/>
          <w:tab w:leader="none" w:pos="8240" w:val="left"/>
        </w:tabs>
        <w:rPr>
          <w:sz w:val="20"/>
          <w:szCs w:val="20"/>
          <w:color w:val="auto"/>
        </w:rPr>
      </w:pPr>
      <w:r>
        <w:rPr>
          <w:rFonts w:ascii="Arial" w:cs="Arial" w:eastAsia="Arial" w:hAnsi="Arial"/>
          <w:sz w:val="14"/>
          <w:szCs w:val="14"/>
          <w:b w:val="1"/>
          <w:bCs w:val="1"/>
          <w:color w:val="auto"/>
        </w:rPr>
        <w:t>(In millions)</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Loans: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5.79 %, payable through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5437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3.66 %, payable through 2023</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4.16 %, payable through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5437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3.37 %, payable through 2027</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3.14 %, payable through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543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4.31 %, payable through 2032</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4.35 %, payable through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543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3.92 %, payable through 2045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XI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5.34 %, payable through 2028</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5.27 %, payable through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543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 leases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4"/>
        </w:trPr>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73.2</w:t>
            </w: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377"/>
        </w:trPr>
        <w:tc>
          <w:tcPr>
            <w:tcW w:w="30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8"/>
        </w:trPr>
        <w:tc>
          <w:tcPr>
            <w:tcW w:w="3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 w:lineRule="exact"/>
        <w:rPr>
          <w:sz w:val="20"/>
          <w:szCs w:val="20"/>
          <w:color w:val="auto"/>
        </w:rPr>
      </w:pPr>
    </w:p>
    <w:p>
      <w:pPr>
        <w:sectPr>
          <w:pgSz w:w="11900" w:h="16838" w:orient="portrait"/>
          <w:cols w:equalWidth="0" w:num="2">
            <w:col w:w="6040" w:space="720"/>
            <w:col w:w="230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4220" w:type="dxa"/>
            <w:vAlign w:val="bottom"/>
            <w:tcBorders>
              <w:top w:val="single" w:sz="8" w:color="CCEEFF"/>
            </w:tcBorders>
            <w:shd w:val="clear" w:color="auto" w:fill="CCEEFF"/>
          </w:tcPr>
          <w:p>
            <w:pPr>
              <w:ind w:left="120"/>
              <w:spacing w:after="0" w:line="185" w:lineRule="exact"/>
              <w:rPr>
                <w:sz w:val="20"/>
                <w:szCs w:val="20"/>
                <w:color w:val="auto"/>
              </w:rPr>
            </w:pPr>
            <w:r>
              <w:rPr>
                <w:rFonts w:ascii="Arial" w:cs="Arial" w:eastAsia="Arial" w:hAnsi="Arial"/>
                <w:sz w:val="18"/>
                <w:szCs w:val="18"/>
                <w:color w:val="auto"/>
              </w:rPr>
              <w:t>Total Debt</w:t>
            </w:r>
          </w:p>
        </w:tc>
        <w:tc>
          <w:tcPr>
            <w:tcW w:w="25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839.3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8"/>
                <w:szCs w:val="18"/>
                <w:color w:val="auto"/>
              </w:rPr>
              <w:t>738.9</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Less: Current portion</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r>
      <w:tr>
        <w:trPr>
          <w:trHeight w:val="190"/>
        </w:trPr>
        <w:tc>
          <w:tcPr>
            <w:tcW w:w="422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Long-term Debt</w:t>
            </w:r>
          </w:p>
        </w:tc>
        <w:tc>
          <w:tcPr>
            <w:tcW w:w="25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810.1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707.1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6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Company’s debt is described in Note 8 to the Consolidated Financial Statements included in Part II, Item 8 of the Company’s Annual Report on Form 10-K for the year ended December 31, 2016, and in Part I, Financial Information of the Company’s Quarterly Report on Form 10-Q for the quarterly period ended June 30, 2017, except as described below.</w:t>
      </w:r>
    </w:p>
    <w:p>
      <w:pPr>
        <w:spacing w:after="0" w:line="10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Classification of Borrowings: </w:t>
      </w:r>
      <w:r>
        <w:rPr>
          <w:rFonts w:ascii="Arial" w:cs="Arial" w:eastAsia="Arial" w:hAnsi="Arial"/>
          <w:sz w:val="16"/>
          <w:szCs w:val="16"/>
          <w:color w:val="auto"/>
        </w:rPr>
        <w:t>Borrowings under the revolving credit facility is classified as long-term debt in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Balance Sheets, as principal payments are not required until the maturity date of June 29, 2022.</w:t>
      </w:r>
    </w:p>
    <w:p>
      <w:pPr>
        <w:spacing w:after="0" w:line="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2017, the Company had $464.5 million of remaining availability under the revolving credit facility. The interest rate on borrowings under the revolving credit facility approximated 2.69 percent during the three months ended September 30, 2017.</w:t>
      </w:r>
    </w:p>
    <w:p>
      <w:pPr>
        <w:spacing w:after="0" w:line="393" w:lineRule="exact"/>
        <w:rPr>
          <w:sz w:val="20"/>
          <w:szCs w:val="20"/>
          <w:color w:val="auto"/>
        </w:rPr>
      </w:pPr>
    </w:p>
    <w:p>
      <w:pPr>
        <w:ind w:left="580" w:hanging="577"/>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8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Changes in accumulated other comprehensive loss by component, net of tax, for the nine months ended September 30, 2017 were as follows:</w:t>
      </w:r>
    </w:p>
    <w:tbl>
      <w:tblPr>
        <w:tblLayout w:type="fixed"/>
        <w:tblInd w:w="0" w:type="dxa"/>
        <w:tblCellMar>
          <w:top w:w="0" w:type="dxa"/>
          <w:left w:w="0" w:type="dxa"/>
          <w:bottom w:w="0" w:type="dxa"/>
          <w:right w:w="0" w:type="dxa"/>
        </w:tblCellMar>
      </w:tblPr>
      <w:tr>
        <w:trPr>
          <w:trHeight w:val="154"/>
        </w:trPr>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Accumulated</w:t>
            </w:r>
          </w:p>
        </w:tc>
      </w:tr>
      <w:tr>
        <w:trPr>
          <w:trHeight w:val="162"/>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r>
      <w:tr>
        <w:trPr>
          <w:trHeight w:val="162"/>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Post</w:t>
            </w:r>
          </w:p>
        </w:tc>
        <w:tc>
          <w:tcPr>
            <w:tcW w:w="2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Qualified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r>
      <w:tr>
        <w:trPr>
          <w:trHeight w:val="185"/>
        </w:trPr>
        <w:tc>
          <w:tcPr>
            <w:tcW w:w="39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Pensions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Plans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r>
      <w:tr>
        <w:trPr>
          <w:trHeight w:val="183"/>
        </w:trPr>
        <w:tc>
          <w:tcPr>
            <w:tcW w:w="39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(41.4)</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(0.4)</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0.1</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3920" w:type="dxa"/>
            <w:vAlign w:val="bottom"/>
          </w:tcPr>
          <w:p>
            <w:pPr>
              <w:ind w:left="120"/>
              <w:spacing w:after="0" w:line="189" w:lineRule="exact"/>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(0.4)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6"/>
                <w:szCs w:val="16"/>
                <w:color w:val="auto"/>
              </w:rPr>
            </w:pPr>
          </w:p>
        </w:tc>
      </w:tr>
      <w:tr>
        <w:trPr>
          <w:trHeight w:val="189"/>
        </w:trPr>
        <w:tc>
          <w:tcPr>
            <w:tcW w:w="3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net loss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6"/>
                <w:szCs w:val="16"/>
                <w:color w:val="auto"/>
              </w:rPr>
            </w:pPr>
          </w:p>
        </w:tc>
      </w:tr>
      <w:tr>
        <w:trPr>
          <w:trHeight w:val="189"/>
        </w:trPr>
        <w:tc>
          <w:tcPr>
            <w:tcW w:w="392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Other adjustments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6"/>
                <w:szCs w:val="16"/>
                <w:color w:val="auto"/>
              </w:rPr>
            </w:pPr>
          </w:p>
        </w:tc>
      </w:tr>
      <w:tr>
        <w:trPr>
          <w:trHeight w:val="183"/>
        </w:trPr>
        <w:tc>
          <w:tcPr>
            <w:tcW w:w="3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March 31, 2017</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5"/>
                <w:szCs w:val="15"/>
                <w:color w:val="auto"/>
              </w:rPr>
            </w:pPr>
          </w:p>
        </w:tc>
      </w:tr>
      <w:tr>
        <w:trPr>
          <w:trHeight w:val="189"/>
        </w:trPr>
        <w:tc>
          <w:tcPr>
            <w:tcW w:w="3920" w:type="dxa"/>
            <w:vAlign w:val="bottom"/>
          </w:tcPr>
          <w:p>
            <w:pPr>
              <w:ind w:left="120"/>
              <w:spacing w:after="0" w:line="189" w:lineRule="exact"/>
              <w:rPr>
                <w:sz w:val="20"/>
                <w:szCs w:val="20"/>
                <w:color w:val="auto"/>
              </w:rPr>
            </w:pPr>
            <w:r>
              <w:rPr>
                <w:rFonts w:ascii="Arial" w:cs="Arial" w:eastAsia="Arial" w:hAnsi="Arial"/>
                <w:sz w:val="18"/>
                <w:szCs w:val="18"/>
                <w:color w:val="auto"/>
              </w:rPr>
              <w:t>Net gain in prior service costs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6"/>
                <w:szCs w:val="16"/>
                <w:color w:val="auto"/>
              </w:rPr>
            </w:pPr>
          </w:p>
        </w:tc>
      </w:tr>
      <w:tr>
        <w:trPr>
          <w:trHeight w:val="189"/>
        </w:trPr>
        <w:tc>
          <w:tcPr>
            <w:tcW w:w="3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6"/>
                <w:szCs w:val="16"/>
                <w:color w:val="auto"/>
              </w:rPr>
            </w:pPr>
          </w:p>
        </w:tc>
      </w:tr>
      <w:tr>
        <w:trPr>
          <w:trHeight w:val="189"/>
        </w:trPr>
        <w:tc>
          <w:tcPr>
            <w:tcW w:w="392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Amortization of net loss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6"/>
                <w:szCs w:val="16"/>
                <w:color w:val="auto"/>
              </w:rPr>
            </w:pPr>
          </w:p>
        </w:tc>
      </w:tr>
      <w:tr>
        <w:trPr>
          <w:trHeight w:val="183"/>
        </w:trPr>
        <w:tc>
          <w:tcPr>
            <w:tcW w:w="3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 June 30, 2017</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5"/>
                <w:szCs w:val="15"/>
                <w:color w:val="auto"/>
              </w:rPr>
            </w:pPr>
          </w:p>
        </w:tc>
      </w:tr>
      <w:tr>
        <w:trPr>
          <w:trHeight w:val="189"/>
        </w:trPr>
        <w:tc>
          <w:tcPr>
            <w:tcW w:w="3920" w:type="dxa"/>
            <w:vAlign w:val="bottom"/>
          </w:tcPr>
          <w:p>
            <w:pPr>
              <w:ind w:left="120"/>
              <w:spacing w:after="0" w:line="189" w:lineRule="exact"/>
              <w:rPr>
                <w:sz w:val="20"/>
                <w:szCs w:val="20"/>
                <w:color w:val="auto"/>
              </w:rPr>
            </w:pPr>
            <w:r>
              <w:rPr>
                <w:rFonts w:ascii="Arial" w:cs="Arial" w:eastAsia="Arial" w:hAnsi="Arial"/>
                <w:sz w:val="18"/>
                <w:szCs w:val="18"/>
                <w:color w:val="auto"/>
              </w:rPr>
              <w:t>Net gain in prior service costs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6"/>
                <w:szCs w:val="16"/>
                <w:color w:val="auto"/>
              </w:rPr>
            </w:pPr>
          </w:p>
        </w:tc>
      </w:tr>
      <w:tr>
        <w:trPr>
          <w:trHeight w:val="189"/>
        </w:trPr>
        <w:tc>
          <w:tcPr>
            <w:tcW w:w="39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6"/>
                <w:szCs w:val="16"/>
                <w:color w:val="auto"/>
              </w:rPr>
            </w:pPr>
          </w:p>
        </w:tc>
      </w:tr>
      <w:tr>
        <w:trPr>
          <w:trHeight w:val="189"/>
        </w:trPr>
        <w:tc>
          <w:tcPr>
            <w:tcW w:w="392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Amortization of net loss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6"/>
                <w:szCs w:val="16"/>
                <w:color w:val="auto"/>
              </w:rPr>
            </w:pPr>
          </w:p>
        </w:tc>
      </w:tr>
      <w:tr>
        <w:trPr>
          <w:trHeight w:val="190"/>
        </w:trPr>
        <w:tc>
          <w:tcPr>
            <w:tcW w:w="39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September 30, 2017</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(40.1)</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17.7</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balance for post-retirement at December 31, 2016 has been corrected for the adjustment described in Note 2, </w:t>
      </w:r>
      <w:r>
        <w:rPr>
          <w:rFonts w:ascii="Arial" w:cs="Arial" w:eastAsia="Arial" w:hAnsi="Arial"/>
          <w:sz w:val="18"/>
          <w:szCs w:val="18"/>
          <w:i w:val="1"/>
          <w:iCs w:val="1"/>
          <w:color w:val="auto"/>
        </w:rPr>
        <w:t>Immaterial</w:t>
      </w:r>
      <w:r>
        <w:rPr>
          <w:rFonts w:ascii="Arial" w:cs="Arial" w:eastAsia="Arial" w:hAnsi="Arial"/>
          <w:sz w:val="18"/>
          <w:szCs w:val="18"/>
          <w:color w:val="auto"/>
        </w:rPr>
        <w:t xml:space="preserve"> </w:t>
      </w:r>
      <w:r>
        <w:rPr>
          <w:rFonts w:ascii="Arial" w:cs="Arial" w:eastAsia="Arial" w:hAnsi="Arial"/>
          <w:sz w:val="18"/>
          <w:szCs w:val="18"/>
          <w:i w:val="1"/>
          <w:iCs w:val="1"/>
          <w:color w:val="auto"/>
        </w:rPr>
        <w:t>Correction of an Error in Previously Issued Financial Statements</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Changes in accumulated other comprehensive loss by component, net of tax, for the nine months ended September 30, 2016 were as follows:</w:t>
      </w:r>
    </w:p>
    <w:tbl>
      <w:tblPr>
        <w:tblLayout w:type="fixed"/>
        <w:tblInd w:w="0" w:type="dxa"/>
        <w:tblCellMar>
          <w:top w:w="0" w:type="dxa"/>
          <w:left w:w="0" w:type="dxa"/>
          <w:bottom w:w="0" w:type="dxa"/>
          <w:right w:w="0" w:type="dxa"/>
        </w:tblCellMar>
      </w:tblPr>
      <w:tr>
        <w:trPr>
          <w:trHeight w:val="141"/>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18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Post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Pensions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1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Plans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net loss (gain)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balance for post-retirement at September 30, 2016 has been corrected for the adjustment described in Note 2, </w:t>
      </w:r>
      <w:r>
        <w:rPr>
          <w:rFonts w:ascii="Arial" w:cs="Arial" w:eastAsia="Arial" w:hAnsi="Arial"/>
          <w:sz w:val="18"/>
          <w:szCs w:val="18"/>
          <w:i w:val="1"/>
          <w:iCs w:val="1"/>
          <w:color w:val="auto"/>
        </w:rPr>
        <w:t>Immaterial</w:t>
      </w:r>
      <w:r>
        <w:rPr>
          <w:rFonts w:ascii="Arial" w:cs="Arial" w:eastAsia="Arial" w:hAnsi="Arial"/>
          <w:sz w:val="18"/>
          <w:szCs w:val="18"/>
          <w:color w:val="auto"/>
        </w:rPr>
        <w:t xml:space="preserve"> </w:t>
      </w:r>
      <w:r>
        <w:rPr>
          <w:rFonts w:ascii="Arial" w:cs="Arial" w:eastAsia="Arial" w:hAnsi="Arial"/>
          <w:sz w:val="18"/>
          <w:szCs w:val="18"/>
          <w:i w:val="1"/>
          <w:iCs w:val="1"/>
          <w:color w:val="auto"/>
        </w:rPr>
        <w:t>Correction of an Error in Previously Issued Financial Statements</w:t>
      </w:r>
      <w:r>
        <w:rPr>
          <w:rFonts w:ascii="Arial" w:cs="Arial" w:eastAsia="Arial" w:hAnsi="Arial"/>
          <w:sz w:val="18"/>
          <w:szCs w:val="18"/>
          <w:color w:val="auto"/>
        </w:rPr>
        <w:t>.</w:t>
      </w:r>
    </w:p>
    <w:p>
      <w:pPr>
        <w:spacing w:after="0" w:line="383" w:lineRule="exact"/>
        <w:rPr>
          <w:sz w:val="20"/>
          <w:szCs w:val="20"/>
          <w:color w:val="auto"/>
        </w:rPr>
      </w:pPr>
    </w:p>
    <w:p>
      <w:pPr>
        <w:ind w:left="580" w:hanging="577"/>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CCF – cash on deposit, and variable and fixed rate debt. The fair values of cash and cash equivalents, CCF – cash on deposit,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September 30, 2017 and December 31, 2016 were as follows:</w:t>
      </w:r>
    </w:p>
    <w:tbl>
      <w:tblPr>
        <w:tblLayout w:type="fixed"/>
        <w:tblInd w:w="0" w:type="dxa"/>
        <w:tblCellMar>
          <w:top w:w="0" w:type="dxa"/>
          <w:left w:w="0" w:type="dxa"/>
          <w:bottom w:w="0" w:type="dxa"/>
          <w:right w:w="0" w:type="dxa"/>
        </w:tblCellMar>
      </w:tblPr>
      <w:tr>
        <w:trPr>
          <w:trHeight w:val="141"/>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2"/>
                <w:szCs w:val="12"/>
                <w:color w:val="auto"/>
              </w:rPr>
            </w:pPr>
          </w:p>
        </w:tc>
        <w:tc>
          <w:tcPr>
            <w:tcW w:w="960" w:type="dxa"/>
            <w:vAlign w:val="bottom"/>
          </w:tcPr>
          <w:p>
            <w:pPr>
              <w:jc w:val="center"/>
              <w:ind w:right="134"/>
              <w:spacing w:after="0" w:line="141" w:lineRule="exact"/>
              <w:rPr>
                <w:sz w:val="20"/>
                <w:szCs w:val="20"/>
                <w:color w:val="auto"/>
              </w:rPr>
            </w:pPr>
            <w:r>
              <w:rPr>
                <w:rFonts w:ascii="Arial" w:cs="Arial" w:eastAsia="Arial" w:hAnsi="Arial"/>
                <w:sz w:val="14"/>
                <w:szCs w:val="14"/>
                <w:b w:val="1"/>
                <w:bCs w:val="1"/>
                <w:color w:val="auto"/>
                <w:w w:val="92"/>
              </w:rPr>
              <w:t>Significant</w:t>
            </w:r>
          </w:p>
        </w:tc>
        <w:tc>
          <w:tcPr>
            <w:tcW w:w="114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2"/>
                <w:szCs w:val="12"/>
                <w:color w:val="auto"/>
              </w:rPr>
            </w:pPr>
          </w:p>
        </w:tc>
        <w:tc>
          <w:tcPr>
            <w:tcW w:w="9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ind w:right="232"/>
              <w:spacing w:after="0"/>
              <w:rPr>
                <w:sz w:val="20"/>
                <w:szCs w:val="20"/>
                <w:color w:val="auto"/>
              </w:rPr>
            </w:pPr>
            <w:r>
              <w:rPr>
                <w:rFonts w:ascii="Arial" w:cs="Arial" w:eastAsia="Arial" w:hAnsi="Arial"/>
                <w:sz w:val="14"/>
                <w:szCs w:val="14"/>
                <w:b w:val="1"/>
                <w:bCs w:val="1"/>
                <w:color w:val="auto"/>
                <w:w w:val="94"/>
              </w:rPr>
              <w:t>(Level 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 2017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740" w:type="dxa"/>
            <w:vAlign w:val="bottom"/>
            <w:tcBorders>
              <w:top w:val="single" w:sz="8" w:color="auto"/>
              <w:bottom w:val="single" w:sz="8" w:color="auto"/>
            </w:tcBorders>
            <w:gridSpan w:val="6"/>
          </w:tcPr>
          <w:p>
            <w:pPr>
              <w:ind w:left="540"/>
              <w:spacing w:after="0" w:line="142" w:lineRule="exact"/>
              <w:rPr>
                <w:sz w:val="20"/>
                <w:szCs w:val="20"/>
                <w:color w:val="auto"/>
              </w:rPr>
            </w:pPr>
            <w:r>
              <w:rPr>
                <w:rFonts w:ascii="Arial" w:cs="Arial" w:eastAsia="Arial" w:hAnsi="Arial"/>
                <w:sz w:val="14"/>
                <w:szCs w:val="14"/>
                <w:b w:val="1"/>
                <w:bCs w:val="1"/>
                <w:color w:val="auto"/>
                <w:w w:val="99"/>
              </w:rPr>
              <w:t>Fair Value Measurements at September 30, 2017</w:t>
            </w: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Variable rate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175.0</w:t>
            </w:r>
          </w:p>
        </w:tc>
        <w:tc>
          <w:tcPr>
            <w:tcW w:w="30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175.0</w:t>
            </w:r>
          </w:p>
        </w:tc>
        <w:tc>
          <w:tcPr>
            <w:tcW w:w="600" w:type="dxa"/>
            <w:vAlign w:val="bottom"/>
          </w:tcPr>
          <w:p>
            <w:pPr>
              <w:spacing w:after="0"/>
              <w:rPr>
                <w:sz w:val="18"/>
                <w:szCs w:val="18"/>
                <w:color w:val="auto"/>
              </w:rPr>
            </w:pPr>
          </w:p>
        </w:tc>
        <w:tc>
          <w:tcPr>
            <w:tcW w:w="5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664.1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664.1</w:t>
            </w:r>
          </w:p>
        </w:tc>
        <w:tc>
          <w:tcPr>
            <w:tcW w:w="6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9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6"/>
          </w:tcPr>
          <w:p>
            <w:pPr>
              <w:ind w:left="540"/>
              <w:spacing w:after="0"/>
              <w:rPr>
                <w:sz w:val="20"/>
                <w:szCs w:val="20"/>
                <w:color w:val="auto"/>
              </w:rPr>
            </w:pPr>
            <w:r>
              <w:rPr>
                <w:rFonts w:ascii="Arial" w:cs="Arial" w:eastAsia="Arial" w:hAnsi="Arial"/>
                <w:sz w:val="14"/>
                <w:szCs w:val="14"/>
                <w:b w:val="1"/>
                <w:bCs w:val="1"/>
                <w:color w:val="auto"/>
              </w:rPr>
              <w:t>Fair Value Measurements at December 31, 2016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CCF - cash on deposit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18"/>
                <w:szCs w:val="18"/>
                <w:color w:val="auto"/>
              </w:rPr>
            </w:pP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55.0</w:t>
            </w:r>
          </w:p>
        </w:tc>
        <w:tc>
          <w:tcPr>
            <w:tcW w:w="6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Fixed rate debt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685.2</w:t>
            </w:r>
          </w:p>
        </w:tc>
        <w:tc>
          <w:tcPr>
            <w:tcW w:w="3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685.2</w:t>
            </w:r>
          </w:p>
        </w:tc>
        <w:tc>
          <w:tcPr>
            <w:tcW w:w="600" w:type="dxa"/>
            <w:vAlign w:val="bottom"/>
          </w:tcPr>
          <w:p>
            <w:pPr>
              <w:spacing w:after="0"/>
              <w:rPr>
                <w:sz w:val="20"/>
                <w:szCs w:val="20"/>
                <w:color w:val="auto"/>
              </w:rPr>
            </w:pP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4"/>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w w:val="89"/>
              </w:rPr>
              <w:t>10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and nine months ended September 30, 2017 and 2016,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4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14"/>
          </w:tcPr>
          <w:p>
            <w:pPr>
              <w:ind w:left="20"/>
              <w:spacing w:after="0"/>
              <w:rPr>
                <w:sz w:val="20"/>
                <w:szCs w:val="20"/>
                <w:color w:val="auto"/>
              </w:rPr>
            </w:pPr>
            <w:r>
              <w:rPr>
                <w:rFonts w:ascii="Arial" w:cs="Arial" w:eastAsia="Arial" w:hAnsi="Arial"/>
                <w:sz w:val="14"/>
                <w:szCs w:val="14"/>
                <w:b w:val="1"/>
                <w:bCs w:val="1"/>
                <w:color w:val="auto"/>
                <w:w w:val="98"/>
              </w:rPr>
              <w:t>Nine Months Ended September 30, 2017</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w w:val="95"/>
              </w:rPr>
              <w:t>Per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Per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Securities: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11"/>
          </w:tcPr>
          <w:p>
            <w:pPr>
              <w:ind w:left="60"/>
              <w:spacing w:after="0"/>
              <w:rPr>
                <w:sz w:val="20"/>
                <w:szCs w:val="20"/>
                <w:color w:val="auto"/>
              </w:rPr>
            </w:pPr>
            <w:r>
              <w:rPr>
                <w:rFonts w:ascii="Arial" w:cs="Arial" w:eastAsia="Arial" w:hAnsi="Arial"/>
                <w:sz w:val="14"/>
                <w:szCs w:val="14"/>
                <w:b w:val="1"/>
                <w:bCs w:val="1"/>
                <w:color w:val="auto"/>
                <w:w w:val="93"/>
              </w:rPr>
              <w:t>Three Months Ended September 30, 2016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13"/>
          </w:tcPr>
          <w:p>
            <w:pPr>
              <w:ind w:left="20"/>
              <w:spacing w:after="0"/>
              <w:rPr>
                <w:sz w:val="20"/>
                <w:szCs w:val="20"/>
                <w:color w:val="auto"/>
              </w:rPr>
            </w:pPr>
            <w:r>
              <w:rPr>
                <w:rFonts w:ascii="Arial" w:cs="Arial" w:eastAsia="Arial" w:hAnsi="Arial"/>
                <w:sz w:val="14"/>
                <w:szCs w:val="14"/>
                <w:b w:val="1"/>
                <w:bCs w:val="1"/>
                <w:color w:val="auto"/>
                <w:w w:val="97"/>
              </w:rPr>
              <w:t>Nine Months Ended September 30, 2016</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w:t>
            </w: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7"/>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399" w:lineRule="exact"/>
        <w:rPr>
          <w:sz w:val="20"/>
          <w:szCs w:val="20"/>
          <w:color w:val="auto"/>
        </w:rPr>
      </w:pPr>
    </w:p>
    <w:p>
      <w:pPr>
        <w:ind w:left="660" w:hanging="657"/>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nine months ended September 30, 2017, the Company granted approximately 6,900 and 304,000 in total of time-based restricted stock units and performance-based shares to certain of its employees at a weighted-average grant date fair value of $24.02 and $35.99, respectively.</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Total share-based compensation cost recognized in the Condensed Consolidated Statements of Income and Comprehensive Income as a component of selling, general and administrative expenses was $2.9 million and $3.0 million for the three months ended September 30, 2017 and 2016, and $7.8 million and $9.2 million for the nine months ended September 30, 2017 and 2016, respectively. Total unrecognized compensation cost related to unvested share-based compensation arrangements was $12.5 million at September 30, 2017, and is expected to be recognized over a weighted-average period of 1.3 years. Total unrecognized compensation cost may be adjusted for any unearned performance shares or forfeited shares.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PLANS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sponsors qualified defined benefit pension and other post-retirement plans (collectively, the “Plans”). The following table provides the components of net periodic benefit cost (benefit) for the Plans for the nine months ended September 30, 2017 and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4"/>
                <w:szCs w:val="14"/>
                <w:color w:val="auto"/>
              </w:rPr>
            </w:pPr>
          </w:p>
        </w:tc>
        <w:tc>
          <w:tcPr>
            <w:tcW w:w="20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Other Post-retirement Benefits</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nine months ended September 30, 2017, the Company contributed $3.0 million to its defined benefit pension plans. No further contributions are expected for 2017.</w:t>
      </w:r>
    </w:p>
    <w:p>
      <w:pPr>
        <w:spacing w:after="0" w:line="383" w:lineRule="exact"/>
        <w:rPr>
          <w:sz w:val="20"/>
          <w:szCs w:val="20"/>
          <w:color w:val="auto"/>
        </w:rPr>
      </w:pPr>
    </w:p>
    <w:p>
      <w:pPr>
        <w:ind w:left="680" w:hanging="677"/>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Span Alaska Acquisition: </w:t>
      </w:r>
      <w:r>
        <w:rPr>
          <w:rFonts w:ascii="Arial" w:cs="Arial" w:eastAsia="Arial" w:hAnsi="Arial"/>
          <w:sz w:val="17"/>
          <w:szCs w:val="17"/>
          <w:color w:val="auto"/>
        </w:rPr>
        <w:t>On August 4, 2016 (the “Effective Date”), Matson Logistics completed the purchase of 100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percent of the membership interests of Span Alaska pursuant to the terms of the Membership Interest Purchase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Agreement. At the Effective Date, Span Alaska became a wholly-owned subsidiary of Matson Logistics. Span Alaska is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asset-light logistics company providing freight forwarding services primarily to the Alaska market. Span Alaska consolidates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freight in Auburn, Washington, for shipment to Alaska and distribution through a network of terminals in Anchorage,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Fairbanks, Wasilla, Kenai, Juneau and Kodiak. Span Alaska’s operations are recorded within the Logistics segment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consideration for the Span Alaska Acquisition was $198.9 million based on the fair value of membership interests of $117.0 million, and Span Alaska’s debt and accrued interest of $81.9 million. Immediately following the close of the Span Alaska Acquisition, the Company paid the assumed debt.</w:t>
      </w:r>
    </w:p>
    <w:p>
      <w:pPr>
        <w:spacing w:after="0" w:line="18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Span Alaska Acquisition was accounted for as a business combination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 </w:t>
      </w:r>
      <w:r>
        <w:rPr>
          <w:rFonts w:ascii="Arial" w:cs="Arial" w:eastAsia="Arial" w:hAnsi="Arial"/>
          <w:sz w:val="18"/>
          <w:szCs w:val="18"/>
          <w:color w:val="auto"/>
        </w:rPr>
        <w:t>(“ASC 805”). The assets acquired and liabilities assumed in the Span Alaska Acquisition were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fair value estimates as of the Effective Date, with the remaining unallocated purchase price of $78.6 million recorded as goodwill. As of December 31, 2016, the purchase price accounting for the Span Alaska Acquisition was considered final.</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Company's Condensed Consolidated Statements of Income and Comprehensive Income for the three and nine months ended September 30, 2017, include operating revenue of $15.3 million and $44.1 million (after elimination of intercompany revenue of $9.5 million and $24.0 million), and operating income of $4.6 million and $10.5 million, from Span Alaska’s operations, respectively. One-time acquisition related costs incurred post December 31, 2016 were not material.</w:t>
      </w:r>
    </w:p>
    <w:p>
      <w:pPr>
        <w:spacing w:after="0" w:line="15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Pro Forma Financial Information (Unaudited): </w:t>
      </w:r>
      <w:r>
        <w:rPr>
          <w:rFonts w:ascii="Arial" w:cs="Arial" w:eastAsia="Arial" w:hAnsi="Arial"/>
          <w:sz w:val="16"/>
          <w:szCs w:val="16"/>
          <w:color w:val="auto"/>
        </w:rPr>
        <w:t>The following unaudited pro forma financial information presents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combined operating results of the Company and Span Alaska, as if the Span Alaska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Unaudited pro forma operating revenue is presented after elimination of intercompany revenue.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unaudited pro forma financial information is presented for informational purposes only and is not indicative of the result of operations that would have been achieved if the Span Alaska Acquisition had taken place at the beginning of the periods presented, nor should it be taken as an indication of our future consolidated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24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2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8"/>
                <w:szCs w:val="18"/>
                <w:color w:val="auto"/>
              </w:rPr>
              <w:t>Operating revenue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543.9</w:t>
            </w:r>
          </w:p>
        </w:tc>
        <w:tc>
          <w:tcPr>
            <w:tcW w:w="2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505.4</w:t>
            </w:r>
          </w:p>
        </w:tc>
        <w:tc>
          <w:tcPr>
            <w:tcW w:w="14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1,530.8</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1,454.9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after income tax expense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Basic Earnings Per-Share: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Weighted-Average Number of Shares Outstanding: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224" w:lineRule="exact"/>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Securities and Exchange Commission (“SEC”) filings, such as the Forms 10-K, 10-Q and 8-K, the Annual Report to Shareholders, press releases made by the Company, the Company’s Internet Websites (including Websites of its subsidiaries), and oral statements made by the officers of the Company.</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cautions that forward-looking statements are subject to numerous assumptions, risks and uncertainties, which change over time, including, but not limited to, the risk factors that are described in Part II, Item 1A, “Risk Factors” of this Quarterly Report, in Part I, Item 1A, “Risk Factors” of Matson’s Annual Report on Form 10-K for the year ended December 31, 2016, and in Part II, Item 1A, “Risk Factors” of the Company’s Quarterly Report on Form 10-Q for the quarterly period ended March 31, 2017.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2016, the Company’s reports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Hawaii economy experienced modest growth in the third quarter 2017; however,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container volume was 6.4 percent lower year-over-year due primarily to lower construction-related volumes as the construction cycle in Oahu transitions from high-rise projects to the master planned community projects in West Oahu. The Company expects its full year 2017 Hawaii container volume to be lower than the level achieved in 2016, which benefitted from a 53</w:t>
      </w:r>
      <w:r>
        <w:rPr>
          <w:rFonts w:ascii="Arial" w:cs="Arial" w:eastAsia="Arial" w:hAnsi="Arial"/>
          <w:sz w:val="8"/>
          <w:szCs w:val="8"/>
          <w:color w:val="auto"/>
        </w:rPr>
        <w:t>rd</w:t>
      </w:r>
      <w:r>
        <w:rPr>
          <w:rFonts w:ascii="Arial" w:cs="Arial" w:eastAsia="Arial" w:hAnsi="Arial"/>
          <w:sz w:val="18"/>
          <w:szCs w:val="18"/>
          <w:color w:val="auto"/>
        </w:rPr>
        <w:t xml:space="preserve"> week.</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China, the Company’s container volume in the third quarter 2017 was 11.7 percent higher year-over-year due to stronger demand for Matson’s expedited service and an additional sailing. The Company continued to realize a sizeable rate premium in the third quarter 2017 and achieved average freight rates moderately higher than the third quarter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remainder of 2017, the Company expects continued strong demand for our highly differentiated expedited service amid a chronically over-supplied international container shipping market.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Guam, as expected, the Company’s container volume in the third quarter 2017 was lower on a year-over-year basis, the result of competitive losses to a U.S. flagged containership service that increased its service frequency to weekly in December 2016. For the balance of 2017, the Company expects a continued heightened competitive environment and lower volume.</w:t>
      </w:r>
    </w:p>
    <w:p>
      <w:pPr>
        <w:spacing w:after="0" w:line="18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In Alaska, the Company’s container volume for the third quarter 2017 was 8.2 percent higher year-over-year, primarily the result of a better-than-expected seafood harvest that positively impacted southbound volumes and an additional northbound sailing. For the full year, the Company expects volume to approximate the level last year (versus the prior view of modestly lower) as a result of stronger southbound volume from a better-than-expected seafood harvest, offset by weaker northbound volume attributable to the ongoing contraction of Alaska’s energy-based economy.</w:t>
      </w:r>
    </w:p>
    <w:p>
      <w:pPr>
        <w:spacing w:after="0" w:line="173"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a result, the Company expects full year 2017 Ocean Transportation operating income to be lower than the $142.7 million achieved in 2016.</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third quarter 2017, operating income for the Company’s Logistics segment included a full quarter of freight</w:t>
      </w:r>
      <w:r>
        <w:rPr>
          <w:rFonts w:ascii="Arial" w:cs="Arial" w:eastAsia="Arial" w:hAnsi="Arial"/>
          <w:sz w:val="18"/>
          <w:szCs w:val="18"/>
          <w:i w:val="1"/>
          <w:iCs w:val="1"/>
          <w:color w:val="auto"/>
        </w:rPr>
        <w:t xml:space="preserve"> </w:t>
      </w:r>
      <w:r>
        <w:rPr>
          <w:rFonts w:ascii="Arial" w:cs="Arial" w:eastAsia="Arial" w:hAnsi="Arial"/>
          <w:sz w:val="18"/>
          <w:szCs w:val="18"/>
          <w:color w:val="auto"/>
        </w:rPr>
        <w:t>forwarding operating results from its acquired Span Alaska business versus approximately two months in the year ago period. For the full year 2017, the Company continues to expect Logistics operating income to be approximately $20 million, up significantly from the 2016 level of $11.9 million, primarily due to the inclusion of Span Alaska’s freight forwarding business for a full year.</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2017,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$145 million, inclusive of dry-docking amortization of approximately $46 million, primarily due to the higher levels of maintenance capital and vessel dry-docking expenditures in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The Company expects full year 2017 EBITDA to be modestly higher than the $290.0 million achieved in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2017 to be approximately $24 million.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 the third quarter 2017, the Company’s effective tax rate was 38.7 percent. For the full year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its effective tax rate to be approximately 39 percent.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Capital and Vessel Dry-docking Expenditures: </w:t>
      </w:r>
      <w:r>
        <w:rPr>
          <w:rFonts w:ascii="Arial" w:cs="Arial" w:eastAsia="Arial" w:hAnsi="Arial"/>
          <w:sz w:val="16"/>
          <w:szCs w:val="16"/>
          <w:color w:val="auto"/>
        </w:rPr>
        <w:t>In the third quarter 2017, the Company made maintenance capital expenditure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payments of $6.2 million, vessel construction expenditures of $126.0 million, and dry-docking payments of $12.1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full year 2017, the Company expects to make maintenance capital expenditure payments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$50 million, vessel construction expenditures of approximately $250 million, and dry-docking payments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$50 million.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September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20" w:type="dxa"/>
            <w:vAlign w:val="bottom"/>
          </w:tcPr>
          <w:p>
            <w:pPr>
              <w:spacing w:after="0"/>
              <w:rPr>
                <w:sz w:val="14"/>
                <w:szCs w:val="14"/>
                <w:color w:val="auto"/>
              </w:rPr>
            </w:pPr>
          </w:p>
        </w:tc>
        <w:tc>
          <w:tcPr>
            <w:tcW w:w="2960" w:type="dxa"/>
            <w:vAlign w:val="bottom"/>
            <w:gridSpan w:val="11"/>
          </w:tcPr>
          <w:p>
            <w:pPr>
              <w:jc w:val="right"/>
              <w:ind w:right="45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Change</w:t>
            </w: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(482.1)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(28.4)</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39.6 %</w:t>
            </w:r>
          </w:p>
        </w:tc>
        <w:tc>
          <w:tcPr>
            <w:tcW w:w="0" w:type="dxa"/>
            <w:vAlign w:val="bottom"/>
          </w:tcPr>
          <w:p>
            <w:pPr>
              <w:spacing w:after="0"/>
              <w:rPr>
                <w:sz w:val="1"/>
                <w:szCs w:val="1"/>
                <w:color w:val="auto"/>
              </w:rPr>
            </w:pPr>
          </w:p>
        </w:tc>
      </w:tr>
      <w:tr>
        <w:trPr>
          <w:trHeight w:val="23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0.79</w:t>
            </w:r>
          </w:p>
        </w:tc>
        <w:tc>
          <w:tcPr>
            <w:tcW w:w="1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0.59</w:t>
            </w:r>
          </w:p>
        </w:tc>
        <w:tc>
          <w:tcPr>
            <w:tcW w:w="1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0.20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w w:val="85"/>
              </w:rPr>
              <w:t>33.9</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33.9 %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Consolidated results of operations include the operating results of Span Alaska from the date of acquisition on August 4, 2016. Changes in operating revenue, and operating costs and expenses are further described below in the Analysis of Operating Revenue and Income by Segment.</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increase in interest expense during the three months ended September 30, 2017, compared to the three months ended September 30, 2016, was due to higher average debt borrowings, partially offset by higher capitalized interest.</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Income tax expense was $21.5 million or 38.7 percent of income before income taxes for the three months ended September 30, 2017, compared to $15.4 million or 37.8 percent of income before income taxes for the three months ended September 30, 2016. The increase in the effective income tax rate was primarily due to changes in non-deductible expenses during the three months ended September 30, 2017, compared to the three months ended September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Nine months ended September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(1,406.7)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(1,304.9)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(101.8)</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7.8 %</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8.0 %</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4.1 %</w:t>
            </w:r>
          </w:p>
        </w:tc>
        <w:tc>
          <w:tcPr>
            <w:tcW w:w="0" w:type="dxa"/>
            <w:vAlign w:val="bottom"/>
          </w:tcPr>
          <w:p>
            <w:pPr>
              <w:spacing w:after="0"/>
              <w:rPr>
                <w:sz w:val="1"/>
                <w:szCs w:val="1"/>
                <w:color w:val="auto"/>
              </w:rPr>
            </w:pPr>
          </w:p>
        </w:tc>
      </w:tr>
      <w:tr>
        <w:trPr>
          <w:trHeight w:val="230"/>
        </w:trPr>
        <w:tc>
          <w:tcPr>
            <w:tcW w:w="5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per-share</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1.51</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0.09</w:t>
            </w:r>
          </w:p>
        </w:tc>
        <w:tc>
          <w:tcPr>
            <w:tcW w:w="2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w w:val="95"/>
              </w:rPr>
              <w:t>6.3</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Consolidated results of operations include the operating results of Span Alaska from the date of acquisition on August 4, 2016. Changes in operating revenue, and operating costs and expenses are further described below in the Analysis of Operating Revenue and Income by Segment.</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increase in interest expense during the nine months ended September 30, 2017, compared to the nine months ended September 30, 2016, was due to higher average debt borrowings, partially offset by higher capitalized interest.</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was $40.2 million or 38.2 percent of income before income taxes for the nine months ended September 30, 2017, compared to $38.6 million or 38.6 percent of income before income taxes for the nine months ended September 30, 2016. The decrease in the effective income tax rate was primarily due to the impact of share-based compensation that reduced income tax expense during the nine months ended September 30, 2017, resulting from the adoption of a new accounting standard related to share-based compensation.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September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10"/>
          </w:tcPr>
          <w:p>
            <w:pPr>
              <w:jc w:val="right"/>
              <w:ind w:right="49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17,400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18,200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both"/>
        <w:ind w:left="320" w:right="60" w:hanging="317"/>
        <w:spacing w:after="0" w:line="256"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containers from services in various islands in Micronesia and the South Pacific, and in Okinawa, Japan.</w:t>
      </w:r>
    </w:p>
    <w:p>
      <w:pPr>
        <w:spacing w:after="0" w:line="22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Ocean Transportation revenue increased $21.2 million, or 5.3 percent, during the three months ended September 30, 2017, compared with the three months ended September 30, 2016. This increase was primarily due to higher fuel surcharge revenue, higher average freight rates in China, Hawaii, and Alaska, and higher container volume in Alaska and China, partially offset by lower container volume in Hawaii and Guam.</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 year-over-year FEU basis, Hawaii container volume decreased by 6.4 percent primarily due to lower construction-related volume; Alaska volume increased by 8.2 percent primarily attributable to a stronger seafood season and an additional northbound sailing during the third quarter; China volume was 11.7 percent higher due to stronger demand for the Company’s expedited service and an additional sailing during the third quarter; and Guam volume was 22.6 percent lower due to competitive losses.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Ocean Transportation operating income increased $11.4 million, or 26.4 percent, during the three months ended September 30, 2017, compared with the three months ended September 30, 2016. The increase was primarily due to higher average freight rates and container volume in China, favorable timing of fuel surcharge collections, higher Alaska container volumes, higher freight rates in Hawaii, and a higher contribution from SSAT. Partially offsetting these favorable year-over-year comparisons were higher terminal handling expenses and lower container volume in Hawaii and Guam.</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SSAT terminal joint venture investment contributed $7.5 million during the three months ended September 30, 2017, compared to a $3.6 million contribution during the three months ended September 30, 2016. The increase was primarily attributable to improved lift volume.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Nine months ended September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(1,073.8)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(1,024.9)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(5,800)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(8,500)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7,000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both"/>
        <w:ind w:left="320" w:right="60" w:hanging="317"/>
        <w:spacing w:after="0" w:line="256"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containers from services in various islands in Micronesia and the South Pacific, and in Okinawa, Japan.</w:t>
      </w:r>
    </w:p>
    <w:p>
      <w:pPr>
        <w:spacing w:after="0" w:line="22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Ocean Transportation revenue increased $46.9 million, or 4.1 percent, during the nine months ended September 30, 2017, compared with the nine months ended September 30, 2016. This increase was primarily due to higher fuel surcharge revenue, and higher average freight rates and container volumes in China, partially offset by lower volume in Hawaii and Guam.</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 year-over-year FEU basis, Hawaii container volume decreased by 4.9 percent primarily due to the absence of competitive volume gains in the prior year and lower construction-related volumes; Alaska volume increased by 1.1 percent primarily due to higher southbound volume attributable to the stronger seafood season; China volume was 16.1 percent higher due to stronger demand for the Company’s expedited service and additional sailings during the nine-month period; and Guam volume was 14.8 percent lower due to competitive losses.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Ocean Transportation operating income decreased $2.0 million, or 1.8 percent, during the nine months ended September 30, 2017, compared with the nine months ended September 30, 2016. The decrease was primarily due to lower container volume in Hawaii and Guam and higher terminal handling expenses, partially offset by higher average freight rates and volume in China, favorable timing of fuel surcharge collections, and higher contributions from SSAT.</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SSAT terminal joint venture investment contributed $19.3 million during the nine months ended September 30, 2017, compared to a $9.2 million contribution in the nine months ended September 30, 2016. The increase was primarily attributable to improved lift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September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10"/>
          </w:tcPr>
          <w:p>
            <w:pPr>
              <w:jc w:val="right"/>
              <w:ind w:right="37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(98.9)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(18.6)</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3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Logistics revenue increased $22.3 million, or 21.8 percent, during the three months ended September 30, 2017, compared with the three months ended September 30, 2016. This increase was primarily due to the inclusion of freight forwarding revenue from the acquired Span Alaska business and higher intermodal volume.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Logistics operating income increased $3.7 million during the three months ended September 30, 2017, compared with the three months ended September 30, 2016. The increase was primarily due to the inclusion of freight forwarding operating results attributable to the acquired Span Alaska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Nine months ended September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10"/>
          </w:tcPr>
          <w:p>
            <w:pPr>
              <w:jc w:val="right"/>
              <w:ind w:right="43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119.2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3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Logistics revenue increased $61.6 million, or 21.4 percent, during the nine months ended September 30, 2017, compared to the nine months ended September 30, 2016. This increase was primarily due to the inclusion of freight forwarding revenue from the acquired Span Alaska business and higher intermodal volume.</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Logistics operating income increased $8.7 million during the nine months ended September 30, 2017, compared to the nine months ended September 30, 2016. The increase was primarily due to the inclusion of freight forwarding operating results attributable to the acquired Span Alaska business and higher intermodal volume, partially offset by lower intermodal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September 30, 2017, compared to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tbl>
      <w:tblPr>
        <w:tblLayout w:type="fixed"/>
        <w:tblInd w:w="0" w:type="dxa"/>
        <w:tblCellMar>
          <w:top w:w="0" w:type="dxa"/>
          <w:left w:w="0" w:type="dxa"/>
          <w:bottom w:w="0" w:type="dxa"/>
          <w:right w:w="0" w:type="dxa"/>
        </w:tblCellMar>
      </w:tblPr>
      <w:tr>
        <w:trPr>
          <w:trHeight w:val="14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2"/>
                <w:szCs w:val="12"/>
                <w:color w:val="auto"/>
              </w:rPr>
            </w:pPr>
          </w:p>
        </w:tc>
        <w:tc>
          <w:tcPr>
            <w:tcW w:w="9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213.9</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80" w:hanging="317"/>
        <w:spacing w:after="0" w:line="30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of September 30, 2017 and December 31, 2016, $175.9 million and $174.7 million, respectively, of eligible accounts receivable were assigned to the CCF (see Note 6 of the Condensed Consolidated Financial Statements).</w:t>
      </w:r>
    </w:p>
    <w:p>
      <w:pPr>
        <w:spacing w:after="0" w:line="14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September 30, 2017, the Company had $464.5 million of availability under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maturity date of June 29, 2022. The Company’s revolving credit facility is described in Note 8 to the Consolidated Financial Statements included in Part II, Item 8 of the Company’s Annual Report on Form 10-K for the year ended December 31, 2016, and in Part I, Financial Information of the Company’s Quarterly Report on Form 10-Q for the quarterly period ended June 30, 2017.</w:t>
      </w:r>
    </w:p>
    <w:p>
      <w:pPr>
        <w:spacing w:after="0" w:line="184"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i w:val="1"/>
          <w:iCs w:val="1"/>
          <w:color w:val="auto"/>
        </w:rPr>
        <w:t>Changes in Cash and Cash Equivalents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changes in the Company’s cash and cash equivalents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compared to the nine months ended September 30, 2016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Changes in net cash provided by operating activities for the nine months ended September 30, 2017, compared to the nine months ended September 30, 2016,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Non-cash 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income of related party Terminal Joint Venture, net of distributions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Other non-cash related charges,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Accounts payable, accruals and 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Deferred dry-docking payments increased during the nine months ended September 30, 2017, compared to the nine months ended September 30, 2016, due to an increase in the number of vessels in dry-docking. Changes in accounts receivable were due to the addition of accounts receivables associated with the Span Alaska Acquisition, and due to the timing of billings and collections. Changes in prepaid expenses and other assets primarily consist of $23.6 million related to changes in income tax receivables, and $12.3 million related to the timing of vendor deposits for the purchase of containers and equipment, partially offset by the timing of other prepaid expenses. Changes in accounts payable, accruals and other liabilities were due to the impact of liabilities associated with the acquisitions of Span Alaska and Horizon Lines, Inc. (“Horizon”), and the timing of payments associated with those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Changes in net cash used in investing activities for the nine months ended September 30, 2017, compared to the nine months ended September 30, 2016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Other capital expenditures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(payments for) disposal of property and equipment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Cash deposits into the CCF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withdrawals from the CCF</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for membership interests in Span Alaska, net of cash acquired</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CCEEFF"/>
            </w:tcBorders>
          </w:tcPr>
          <w:p>
            <w:pPr>
              <w:spacing w:after="0"/>
              <w:rPr>
                <w:sz w:val="18"/>
                <w:szCs w:val="18"/>
                <w:color w:val="auto"/>
              </w:rPr>
            </w:pPr>
          </w:p>
        </w:tc>
      </w:tr>
      <w:tr>
        <w:trPr>
          <w:trHeight w:val="21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Vessel construction expenditures including capitalized interest were $172.2 million during the nine months ended September 30, 2017, compared to $39.2 million during the nine months ended September 30, 2016, related to the construction of four new vessels for the Hawaii service. Other capital expenditures decreased from $67.3 million during the nine months ended September 30, 2016, to $43.3 million during the nine months ended September 30, 2017. The decrease was primarily due to higher capital expenditures incurred during 2016 related to the installation of scrubbers on acquired Horizon vessels and other capital expenditures related to the Horizon acquisition. The Company had net withdrawals of $31.2 million from the CCF for the nine months ended September 30, 2017, compared to net deposits of $110.9 million into the CCF for the nine months ended September 30, 2016. The increase in withdrawals was related to the timing of progress payments for the construction of four new vessels for the Hawaii service.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Changes in net cash used in financing activities for the nine months ended September 30, 2017, compared to the nine months ended September 30, 2016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of Span Alaska debt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received from issuance of debt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 and capital leases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Matson common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other payments, net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8"/>
                <w:szCs w:val="18"/>
                <w:color w:val="auto"/>
              </w:rPr>
            </w:pPr>
          </w:p>
        </w:tc>
      </w:tr>
      <w:tr>
        <w:trPr>
          <w:trHeight w:val="21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Company received proceeds of $200.0 million from the issuance of debt during the nine months ended September 30, 2016, that was primarily used to repay $81.9 million of debt and other liabilities related to the Span Alaska</w:t>
      </w:r>
    </w:p>
    <w:p>
      <w:pPr>
        <w:spacing w:after="0" w:line="288" w:lineRule="auto"/>
        <w:rPr>
          <w:sz w:val="20"/>
          <w:szCs w:val="20"/>
          <w:color w:val="auto"/>
        </w:rPr>
      </w:pPr>
      <w:r>
        <w:rPr>
          <w:rFonts w:ascii="Arial" w:cs="Arial" w:eastAsia="Arial" w:hAnsi="Arial"/>
          <w:sz w:val="16"/>
          <w:szCs w:val="16"/>
          <w:color w:val="auto"/>
        </w:rPr>
        <w:t>Acquisition. Repayments of other debt and capital leases increased to $19.5 million during the nine months ended September 30, 2017, compared to $13.7 million during the nine months ended September 30, 2016, primarily due to the timing of term loan repayments. During the nine months ended September 30, 2017, net borrowings under the Company’s revolving credit facility was $120.0 million compared to $195.0 million for the nine months ended September 30, 2016. The decrease in net borrowings from the Company’s revolving credit facility was primarily due to the timing of payments for capital expenditures and other liabilities. During the nine months ended September 30, 2017, the Company paid $18.4 million in repurchases of Matson common stock compared to $37.8 million during the nine months ended September 30, 2016.</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Company had working capital surplus of $18.5 million at September 30, 2017, compared to a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deficiency of $3.4 million at December 31, 2016.</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were no material changes during this quarter to the Company’s contractual obligations, commitments, contingencies and off-balance sheet arrangements that are described in Part II, Item 7 of the Company’s Annual Report on Form 10-K for the year ended December 31, 2016, and Part I, Note 4 “Debt”, and Part II, Item 2 of the Company’s Quarterly Report on Form 10-Q for the quarterly period ended June 30, 2017, which are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Company’s third quarter 2017 cash dividend of $0.20 per-share was paid on September 7, 2017 to shareholders of record as of August 3, 2017. On October 26, 2017, the Company’s Board of Directors declared a cash dividend of $0.20 per-share payable on December 7, 2017 to shareholders of record as of the close of business on November 9,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market risk position from the information provided under</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39"/>
        <w:spacing w:after="0" w:line="29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2017, the Company’s disclosure controls and procedures are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79"/>
        <w:spacing w:after="0" w:line="31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Rules 13a-15(f) and 15d-15(f) under the Exchange Act) that occurred during the three months ended September 30, 2017, that have materially affected, or are reasonably likely to materially affect, the Company’s internal control over financial reporting.</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right="3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9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79"/>
        <w:spacing w:after="0" w:line="259" w:lineRule="auto"/>
        <w:rPr>
          <w:sz w:val="20"/>
          <w:szCs w:val="20"/>
          <w:color w:val="auto"/>
        </w:rPr>
      </w:pPr>
      <w:r>
        <w:rPr>
          <w:rFonts w:ascii="Arial" w:cs="Arial" w:eastAsia="Arial" w:hAnsi="Arial"/>
          <w:sz w:val="18"/>
          <w:szCs w:val="18"/>
          <w:color w:val="auto"/>
        </w:rPr>
        <w:t>Except as described below, and in the risk factor that is described in Part II, Item 1A, “Risk Factors” of the Company’s Quarterly Report on Form 10-Q for the quarterly period ended March 31, 2017, there were no material changes to the Company’s risk factors that are described in Part I, Item 1A, “Risk Factors” of the Company’s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ind w:right="19"/>
        <w:spacing w:after="0" w:line="286" w:lineRule="auto"/>
        <w:rPr>
          <w:sz w:val="20"/>
          <w:szCs w:val="20"/>
          <w:color w:val="auto"/>
        </w:rPr>
      </w:pPr>
      <w:r>
        <w:rPr>
          <w:rFonts w:ascii="Arial" w:cs="Arial" w:eastAsia="Arial" w:hAnsi="Arial"/>
          <w:sz w:val="16"/>
          <w:szCs w:val="16"/>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volumes and rates. For example, in August 2017, TOTE announced its intent to establish a new domestic shipping service to Hawaii with four new containerships with planned deliveries in 2020 and 2021 and that it had begun conversations to secure the new Kapalama Container Terminal in Honolulu for TOTE, which TOTE also stated was a critical step in making its new service a reality. In September 2017, the Hawaii Department of Transportation Harbors Division announced that TOTE will be able to operate at Piers 1 and 2 after Pasha moves to the new Kapalama Container Terminal in 2022 and Piers 1 and 2 undergo modernization and infrastructure improvements. Pasha has stated that it expects the Kapalama Container Terminal to launch between 2022 and 2023. The Company believes uncertainty exists as to whether TOTE will be able to successfully enter the Hawaii trade on its announced terms. In addition in 2016, the Company’s major competitor in the Guam service upgraded its U.S. flagged feeder containership from a bi-weekly service to a weekly service connecting the U.S. West Coast to Guam and Saipan via transshipments over Yokohama, Japan and Busan, South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following is a summary of Matson shares that were repurchased under the Company’s share repurchase program during the three months ended September 30, 2017:</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Total Number of</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 Purchased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Paid Per-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 —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1,829,988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August 1 — 31, 2017</w:t>
            </w:r>
          </w:p>
        </w:tc>
        <w:tc>
          <w:tcPr>
            <w:tcW w:w="1020" w:type="dxa"/>
            <w:vAlign w:val="bottom"/>
          </w:tcPr>
          <w:p>
            <w:pPr>
              <w:jc w:val="right"/>
              <w:spacing w:after="0"/>
              <w:rPr>
                <w:sz w:val="20"/>
                <w:szCs w:val="20"/>
                <w:color w:val="auto"/>
              </w:rPr>
            </w:pPr>
            <w:r>
              <w:rPr>
                <w:rFonts w:ascii="Arial" w:cs="Arial" w:eastAsia="Arial" w:hAnsi="Arial"/>
                <w:sz w:val="18"/>
                <w:szCs w:val="18"/>
                <w:color w:val="auto"/>
              </w:rPr>
              <w:t>425,800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24.52</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425,800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1,404,188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88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680,700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04</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680,700</w:t>
            </w: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380" w:hanging="317"/>
        <w:spacing w:after="0" w:line="259"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16" w:lineRule="exact"/>
        <w:rPr>
          <w:sz w:val="20"/>
          <w:szCs w:val="20"/>
          <w:color w:val="auto"/>
        </w:rPr>
      </w:pPr>
    </w:p>
    <w:p>
      <w:pPr>
        <w:ind w:left="860" w:right="12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7">
        <w:r>
          <w:rPr>
            <w:rFonts w:ascii="Arial" w:cs="Arial" w:eastAsia="Arial" w:hAnsi="Arial"/>
            <w:sz w:val="18"/>
            <w:szCs w:val="18"/>
            <w:u w:val="single" w:color="auto"/>
            <w:color w:val="0000EE"/>
          </w:rPr>
          <w:t>Certification of Chief Executive Officer pursuant to Rule 13a-14(a) or 15d-14(a) of the Securities Exchange Act</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right="16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8">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hanging="857"/>
        <w:spacing w:after="0"/>
        <w:tabs>
          <w:tab w:leader="none" w:pos="860" w:val="left"/>
        </w:tabs>
        <w:numPr>
          <w:ilvl w:val="0"/>
          <w:numId w:val="22"/>
        </w:numPr>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Certification of Chief Executive Officer and Chief Financial Officer pursuant to 18 U.S.C. Section 1350.</w:t>
        </w:r>
      </w:hyperlink>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23</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November 3, 2017</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November 3, 2017</w:t>
      </w:r>
      <w:r>
        <w:rPr>
          <w:sz w:val="20"/>
          <w:szCs w:val="20"/>
          <w:color w:val="auto"/>
        </w:rPr>
        <w:tab/>
      </w:r>
      <w:r>
        <w:rPr>
          <w:rFonts w:ascii="Arial" w:cs="Arial" w:eastAsia="Arial" w:hAnsi="Arial"/>
          <w:sz w:val="16"/>
          <w:szCs w:val="16"/>
          <w:color w:val="auto"/>
        </w:rPr>
        <w:t>/s/ Dale B.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Dale B. Hendler</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8" w:name="page29"/>
    <w:bookmarkEnd w:id="28"/>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September 30, 2017,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0" w:lineRule="exact"/>
        <w:rPr>
          <w:sz w:val="20"/>
          <w:szCs w:val="20"/>
          <w:color w:val="auto"/>
        </w:rPr>
      </w:pPr>
    </w:p>
    <w:p>
      <w:pPr>
        <w:ind w:left="860" w:hanging="857"/>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November 3,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9"/>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1."/>
      <w:numFmt w:val="decimal"/>
      <w:start w:val="12"/>
    </w:lvl>
  </w:abstractNum>
  <w:abstractNum w:abstractNumId="16">
    <w:nsid w:val="75A2A8D4"/>
    <w:multiLevelType w:val="hybridMultilevel"/>
    <w:lvl w:ilvl="0">
      <w:lvlJc w:val="left"/>
      <w:lvlText w:val="%1."/>
      <w:numFmt w:val="decimal"/>
      <w:start w:val="13"/>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32"/>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decimal"/>
      <w:start w:val="5"/>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decimal"/>
      <w:start w:val="5"/>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2019-12-29T03:44:55Z</dcterms:created>
  <dcterms:modified xsi:type="dcterms:W3CDTF">2019-12-29T03:44:55Z</dcterms:modified>
</cp:coreProperties>
</file>