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5320" w:type="dxa"/>
            <w:vAlign w:val="bottom"/>
          </w:tcPr>
          <w:p>
            <w:pPr>
              <w:ind w:left="2540"/>
              <w:spacing w:after="0"/>
              <w:rPr>
                <w:sz w:val="20"/>
                <w:szCs w:val="20"/>
                <w:color w:val="auto"/>
              </w:rPr>
            </w:pPr>
            <w:r>
              <w:rPr>
                <w:rFonts w:ascii="Arial" w:cs="Arial" w:eastAsia="Arial" w:hAnsi="Arial"/>
                <w:sz w:val="18"/>
                <w:szCs w:val="18"/>
                <w:b w:val="1"/>
                <w:bCs w:val="1"/>
                <w:color w:val="auto"/>
              </w:rPr>
              <w:t>For the transition period from</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432"/>
        </w:trPr>
        <w:tc>
          <w:tcPr>
            <w:tcW w:w="7920" w:type="dxa"/>
            <w:vAlign w:val="bottom"/>
            <w:gridSpan w:val="2"/>
          </w:tcPr>
          <w:p>
            <w:pPr>
              <w:jc w:val="center"/>
              <w:ind w:left="66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566"/>
        </w:trPr>
        <w:tc>
          <w:tcPr>
            <w:tcW w:w="5320" w:type="dxa"/>
            <w:vAlign w:val="bottom"/>
          </w:tcPr>
          <w:p>
            <w:pPr>
              <w:jc w:val="center"/>
              <w:ind w:left="3243"/>
              <w:spacing w:after="0"/>
              <w:rPr>
                <w:sz w:val="20"/>
                <w:szCs w:val="20"/>
                <w:color w:val="auto"/>
              </w:rPr>
            </w:pPr>
            <w:r>
              <w:rPr>
                <w:rFonts w:ascii="Arial" w:cs="Arial" w:eastAsia="Arial" w:hAnsi="Arial"/>
                <w:sz w:val="32"/>
                <w:szCs w:val="32"/>
                <w:b w:val="1"/>
                <w:bCs w:val="1"/>
                <w:color w:val="auto"/>
                <w:w w:val="94"/>
              </w:rPr>
              <w:t>Matson, Inc.</w:t>
            </w:r>
          </w:p>
        </w:tc>
        <w:tc>
          <w:tcPr>
            <w:tcW w:w="2600" w:type="dxa"/>
            <w:vAlign w:val="bottom"/>
          </w:tcPr>
          <w:p>
            <w:pPr>
              <w:spacing w:after="0"/>
              <w:rPr>
                <w:sz w:val="24"/>
                <w:szCs w:val="24"/>
                <w:color w:val="auto"/>
              </w:rPr>
            </w:pPr>
          </w:p>
        </w:tc>
      </w:tr>
      <w:tr>
        <w:trPr>
          <w:trHeight w:val="230"/>
        </w:trPr>
        <w:tc>
          <w:tcPr>
            <w:tcW w:w="7920" w:type="dxa"/>
            <w:vAlign w:val="bottom"/>
            <w:gridSpan w:val="2"/>
          </w:tcPr>
          <w:p>
            <w:pPr>
              <w:jc w:val="center"/>
              <w:ind w:left="66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5320" w:type="dxa"/>
            <w:vAlign w:val="bottom"/>
          </w:tcPr>
          <w:p>
            <w:pPr>
              <w:jc w:val="center"/>
              <w:ind w:right="2383"/>
              <w:spacing w:after="0"/>
              <w:rPr>
                <w:sz w:val="20"/>
                <w:szCs w:val="20"/>
                <w:color w:val="auto"/>
              </w:rPr>
            </w:pPr>
            <w:r>
              <w:rPr>
                <w:rFonts w:ascii="Arial" w:cs="Arial" w:eastAsia="Arial" w:hAnsi="Arial"/>
                <w:sz w:val="18"/>
                <w:szCs w:val="18"/>
                <w:b w:val="1"/>
                <w:bCs w:val="1"/>
                <w:color w:val="auto"/>
                <w:w w:val="98"/>
              </w:rPr>
              <w:t>Hawaii</w:t>
            </w:r>
          </w:p>
        </w:tc>
        <w:tc>
          <w:tcPr>
            <w:tcW w:w="260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216"/>
        </w:trPr>
        <w:tc>
          <w:tcPr>
            <w:tcW w:w="5320" w:type="dxa"/>
            <w:vAlign w:val="bottom"/>
          </w:tcPr>
          <w:p>
            <w:pPr>
              <w:jc w:val="center"/>
              <w:ind w:right="2383"/>
              <w:spacing w:after="0"/>
              <w:rPr>
                <w:sz w:val="20"/>
                <w:szCs w:val="20"/>
                <w:color w:val="auto"/>
              </w:rPr>
            </w:pPr>
            <w:r>
              <w:rPr>
                <w:rFonts w:ascii="Arial" w:cs="Arial" w:eastAsia="Arial" w:hAnsi="Arial"/>
                <w:sz w:val="18"/>
                <w:szCs w:val="18"/>
                <w:color w:val="auto"/>
                <w:w w:val="92"/>
              </w:rPr>
              <w:t>(State or other jurisdiction of</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2"/>
              </w:rPr>
              <w:t>(I.R.S. Employer</w:t>
            </w:r>
          </w:p>
        </w:tc>
      </w:tr>
      <w:tr>
        <w:trPr>
          <w:trHeight w:val="230"/>
        </w:trPr>
        <w:tc>
          <w:tcPr>
            <w:tcW w:w="5320" w:type="dxa"/>
            <w:vAlign w:val="bottom"/>
          </w:tcPr>
          <w:p>
            <w:pPr>
              <w:jc w:val="center"/>
              <w:ind w:right="2383"/>
              <w:spacing w:after="0"/>
              <w:rPr>
                <w:sz w:val="20"/>
                <w:szCs w:val="20"/>
                <w:color w:val="auto"/>
              </w:rPr>
            </w:pPr>
            <w:r>
              <w:rPr>
                <w:rFonts w:ascii="Arial" w:cs="Arial" w:eastAsia="Arial" w:hAnsi="Arial"/>
                <w:sz w:val="18"/>
                <w:szCs w:val="18"/>
                <w:color w:val="auto"/>
                <w:w w:val="92"/>
              </w:rPr>
              <w:t>incorporation or organization)</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320" w:type="dxa"/>
            <w:vAlign w:val="bottom"/>
          </w:tcPr>
          <w:p>
            <w:pPr>
              <w:jc w:val="center"/>
              <w:ind w:right="2383"/>
              <w:spacing w:after="0"/>
              <w:rPr>
                <w:sz w:val="20"/>
                <w:szCs w:val="20"/>
                <w:color w:val="auto"/>
              </w:rPr>
            </w:pPr>
            <w:r>
              <w:rPr>
                <w:rFonts w:ascii="Arial" w:cs="Arial" w:eastAsia="Arial" w:hAnsi="Arial"/>
                <w:sz w:val="18"/>
                <w:szCs w:val="18"/>
                <w:b w:val="1"/>
                <w:bCs w:val="1"/>
                <w:color w:val="auto"/>
                <w:w w:val="91"/>
              </w:rPr>
              <w:t>1411 Sand Island Parkway</w:t>
            </w:r>
          </w:p>
        </w:tc>
        <w:tc>
          <w:tcPr>
            <w:tcW w:w="2600" w:type="dxa"/>
            <w:vAlign w:val="bottom"/>
          </w:tcPr>
          <w:p>
            <w:pPr>
              <w:spacing w:after="0"/>
              <w:rPr>
                <w:sz w:val="24"/>
                <w:szCs w:val="24"/>
                <w:color w:val="auto"/>
              </w:rPr>
            </w:pPr>
          </w:p>
        </w:tc>
      </w:tr>
      <w:tr>
        <w:trPr>
          <w:trHeight w:val="220"/>
        </w:trPr>
        <w:tc>
          <w:tcPr>
            <w:tcW w:w="5320" w:type="dxa"/>
            <w:vAlign w:val="bottom"/>
          </w:tcPr>
          <w:p>
            <w:pPr>
              <w:jc w:val="center"/>
              <w:ind w:right="2363"/>
              <w:spacing w:after="0"/>
              <w:rPr>
                <w:sz w:val="20"/>
                <w:szCs w:val="20"/>
                <w:color w:val="auto"/>
              </w:rPr>
            </w:pPr>
            <w:r>
              <w:rPr>
                <w:rFonts w:ascii="Arial" w:cs="Arial" w:eastAsia="Arial" w:hAnsi="Arial"/>
                <w:sz w:val="18"/>
                <w:szCs w:val="18"/>
                <w:b w:val="1"/>
                <w:bCs w:val="1"/>
                <w:color w:val="auto"/>
                <w:w w:val="96"/>
              </w:rPr>
              <w:t>Honolulu, HI</w:t>
            </w:r>
          </w:p>
        </w:tc>
        <w:tc>
          <w:tcPr>
            <w:tcW w:w="2600" w:type="dxa"/>
            <w:vAlign w:val="bottom"/>
          </w:tcPr>
          <w:p>
            <w:pPr>
              <w:jc w:val="right"/>
              <w:ind w:right="350"/>
              <w:spacing w:after="0"/>
              <w:rPr>
                <w:sz w:val="20"/>
                <w:szCs w:val="20"/>
                <w:color w:val="auto"/>
              </w:rPr>
            </w:pPr>
            <w:r>
              <w:rPr>
                <w:rFonts w:ascii="Arial" w:cs="Arial" w:eastAsia="Arial" w:hAnsi="Arial"/>
                <w:sz w:val="18"/>
                <w:szCs w:val="18"/>
                <w:b w:val="1"/>
                <w:bCs w:val="1"/>
                <w:color w:val="auto"/>
              </w:rPr>
              <w:t>96819</w:t>
            </w:r>
          </w:p>
        </w:tc>
      </w:tr>
      <w:tr>
        <w:trPr>
          <w:trHeight w:val="230"/>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2"/>
              </w:rPr>
              <w:t>(Address of principal executive offices)</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fiscal year, if changed since last report)</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44" w:right="239" w:bottom="0" w:gutter="0" w:footer="0" w:header="0"/>
        </w:sectPr>
      </w:pPr>
    </w:p>
    <w:p>
      <w:pPr>
        <w:spacing w:after="0" w:line="147"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544"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544"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Number of shares of common stock outstanding as of March 31, 2015: 43,454,400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4"/>
          <w:szCs w:val="24"/>
          <w:color w:val="auto"/>
        </w:rPr>
      </w:pPr>
    </w:p>
    <w:p>
      <w:pPr>
        <w:jc w:val="center"/>
        <w:ind w:left="2560" w:right="5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(In millions, except per-share amounts) (Unaudited)</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18"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Three-Months Ended</w:t>
      </w:r>
    </w:p>
    <w:p>
      <w:pPr>
        <w:jc w:val="center"/>
        <w:ind w:left="8200"/>
        <w:spacing w:after="0" w:line="235"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Ocean Transportation</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costs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Equity in income of terminal joint venture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 prior service cost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Amortization of prior service cost included in net periodic pension cost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net loss included in net periodic pension cost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center"/>
              <w:ind w:left="323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MATSON, INC. AND SUBSIDIARIES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95"/>
              </w:rPr>
              <w:t>(In millions) (Unaudited)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Investment in terminal joint venture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67.8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678.7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Capital Construction Fund deposits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68.1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debt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Payroll and vacation benefits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Uninsured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and other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349.6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-4606925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-4606925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Employee benefit plans</w:t>
            </w:r>
          </w:p>
        </w:tc>
        <w:tc>
          <w:tcPr>
            <w:tcW w:w="2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119.2</w:t>
            </w:r>
          </w:p>
        </w:tc>
        <w:tc>
          <w:tcPr>
            <w:tcW w:w="4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20"/>
                <w:szCs w:val="20"/>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Uninsured and other liabilities</w:t>
            </w:r>
          </w:p>
        </w:tc>
        <w:tc>
          <w:tcPr>
            <w:tcW w:w="2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r>
      <w:tr>
        <w:trPr>
          <w:trHeight w:val="210"/>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long-term liabilities</w:t>
            </w:r>
          </w:p>
        </w:tc>
        <w:tc>
          <w:tcPr>
            <w:tcW w:w="25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817.8</w:t>
            </w:r>
          </w:p>
        </w:tc>
        <w:tc>
          <w:tcPr>
            <w:tcW w:w="2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7)</w:t>
            </w:r>
          </w:p>
        </w:tc>
        <w:tc>
          <w:tcPr>
            <w:tcW w:w="2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Shareholders’ Equity:</w:t>
            </w:r>
          </w:p>
        </w:tc>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stock</w:t>
            </w:r>
          </w:p>
        </w:tc>
        <w:tc>
          <w:tcPr>
            <w:tcW w:w="2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278.0</w:t>
            </w: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274.9</w:t>
            </w: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4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127.3</w:t>
            </w: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8"/>
                <w:szCs w:val="18"/>
                <w:color w:val="auto"/>
              </w:rPr>
            </w:pPr>
          </w:p>
        </w:tc>
      </w:tr>
      <w:tr>
        <w:trPr>
          <w:trHeight w:val="210"/>
        </w:trPr>
        <w:tc>
          <w:tcPr>
            <w:tcW w:w="57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78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52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1,426.9</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Reconciling adjustments: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from terminal joint venture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payments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Deferred dry-docking amortization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Proceeds from disposal of property and equipment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into Capital Construction Fund</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Withdrawals from Capital Construction Fund</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Proceeds from issuance of capital stock</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00" w:type="dxa"/>
            <w:vAlign w:val="bottom"/>
            <w:gridSpan w:val="3"/>
          </w:tcPr>
          <w:p>
            <w:pPr>
              <w:spacing w:after="0"/>
              <w:rPr>
                <w:sz w:val="20"/>
                <w:szCs w:val="20"/>
                <w:color w:val="auto"/>
              </w:rPr>
            </w:pPr>
            <w:r>
              <w:rPr>
                <w:rFonts w:ascii="Arial" w:cs="Arial" w:eastAsia="Arial" w:hAnsi="Arial"/>
                <w:sz w:val="18"/>
                <w:szCs w:val="18"/>
                <w:color w:val="auto"/>
              </w:rPr>
              <w:t>Cash and cash equivalents, end of the period</w:t>
            </w:r>
          </w:p>
        </w:tc>
        <w:tc>
          <w:tcPr>
            <w:tcW w:w="2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10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Income tax paid (refunded)</w:t>
            </w:r>
          </w:p>
        </w:tc>
        <w:tc>
          <w:tcPr>
            <w:tcW w:w="11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Non-cash Information: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included in accounts payable and accrued liabilities</w:t>
            </w:r>
          </w:p>
        </w:tc>
        <w:tc>
          <w:tcPr>
            <w:tcW w:w="110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40" w:type="dxa"/>
            <w:vAlign w:val="bottom"/>
          </w:tcPr>
          <w:p>
            <w:pPr>
              <w:ind w:left="3380"/>
              <w:spacing w:after="0"/>
              <w:rPr>
                <w:sz w:val="20"/>
                <w:szCs w:val="20"/>
                <w:color w:val="auto"/>
              </w:rPr>
            </w:pPr>
            <w:r>
              <w:rPr>
                <w:rFonts w:ascii="Arial" w:cs="Arial" w:eastAsia="Arial" w:hAnsi="Arial"/>
                <w:sz w:val="18"/>
                <w:szCs w:val="18"/>
                <w:color w:val="auto"/>
                <w:w w:val="92"/>
              </w:rPr>
              <w:t>See Notes to Condensed Consolidated Financial Statements.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40" w:type="dxa"/>
            <w:vAlign w:val="bottom"/>
          </w:tcPr>
          <w:p>
            <w:pPr>
              <w:ind w:left="55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0" w:type="dxa"/>
            <w:vAlign w:val="bottom"/>
            <w:tcBorders>
              <w:bottom w:val="single" w:sz="8" w:color="010101"/>
            </w:tcBorders>
            <w:gridSpan w:val="2"/>
          </w:tcPr>
          <w:p>
            <w:pPr>
              <w:spacing w:after="0"/>
              <w:rPr>
                <w:sz w:val="11"/>
                <w:szCs w:val="11"/>
                <w:color w:val="auto"/>
              </w:rPr>
            </w:pPr>
          </w:p>
        </w:tc>
        <w:tc>
          <w:tcPr>
            <w:tcW w:w="79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1.</w:t>
            </w:r>
          </w:p>
        </w:tc>
        <w:tc>
          <w:tcPr>
            <w:tcW w:w="7940" w:type="dxa"/>
            <w:vAlign w:val="bottom"/>
          </w:tcPr>
          <w:p>
            <w:pPr>
              <w:ind w:left="500"/>
              <w:spacing w:after="0"/>
              <w:rPr>
                <w:sz w:val="20"/>
                <w:szCs w:val="20"/>
                <w:color w:val="auto"/>
              </w:rPr>
            </w:pPr>
            <w:r>
              <w:rPr>
                <w:rFonts w:ascii="Arial" w:cs="Arial" w:eastAsia="Arial" w:hAnsi="Arial"/>
                <w:sz w:val="18"/>
                <w:szCs w:val="18"/>
                <w:b w:val="1"/>
                <w:bCs w:val="1"/>
                <w:color w:val="auto"/>
              </w:rPr>
              <w:t>DESCRIPTION OF THE BUSINESS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 w:name="page4"/>
    <w:bookmarkEnd w:id="3"/>
    <w:p>
      <w:pPr>
        <w:spacing w:after="0" w:line="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 (“MatNav”),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Matson, Inc. Founded in 1882, MatNav is an asset-based business that provides a vital lifeline of ocean freight transportation services to the island economies of Hawaii, Guam, Micronesia, and various islands in the South Pacific. MatNav also operates a premium, expedited service from China to Long Beach, California. In addition, a subsidiary of MatNav provides container stevedoring, container equipment maintenance and other terminal services for MatNav and other ocean carriers on the islands of Oahu, Hawaii, Maui and Kauai.</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a 35 percent ownership interest in SSA Terminals, LLC (“SSAT”) through a joint venture between Matson Ventures, Inc., a wholly-owned subsidiary of MatNav, and SSA Ventures, Inc. (“SSA”), a subsidiary of Carrix, Inc. (the “Terminal Joint Venture”). SSAT provides terminal and stevedoring services to various carriers at six terminal facilities on the Pacific Coast of the United States of America (“U.S.”), including to MatNav at several of those facilities. Matson records its share of income (loss) in the joint venture in operating costs in the Condensed Consolidated Statements of Income and Comprehensive Income, and within the ocean transportation segment due to the nature of SSAT’s operations.</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The Company’s logistics business is conducted through Matson Logistics, Inc. (“Matson Logistics” or “Logistics”), a wholly-owned subsidiary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MatNav. Established in 1987, Matson Logistics is an asset-light business that provides multimodal transportation services, including domestic and international rail intermodal service (“Intermodal”); long-haul and regional highway brokerage, specialized hauling, flat-bed and project services, less-than-truckload services, and expedited freight services (collectively “Highway”); and warehousing and distribution services.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Horizon Acquisition: </w:t>
      </w:r>
      <w:r>
        <w:rPr>
          <w:rFonts w:ascii="Arial" w:cs="Arial" w:eastAsia="Arial" w:hAnsi="Arial"/>
          <w:sz w:val="17"/>
          <w:szCs w:val="17"/>
          <w:color w:val="auto"/>
        </w:rPr>
        <w:t>On November 11, 2014, Matson and Horizon Lines, Inc. (“Horizon”) announced that MatNav and Horizon entered into a definitive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 agreement pursuant to which Horizon will be merged with a subsidiary of MatNav. As a result, Matson will acquire Horizon’s Alaska operations and assume all of Horizon’s non-Hawaii assets and liabilities (the “Horizon Transaction”). Separately, on the same day, Horizon announced that it agreed to sell its Hawaii operations to The Pasha Group (“Pasha”), (the “Pasha Transaction”), and shut-down all of its operations in Puerto Rico.</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total value for the Horizon Transaction is approximately $456 million (before transaction costs), based on Horizon’s net debt outstanding as of March 22, 2015, less the anticipated proceeds from the Pasha Transaction. The Horizon Transaction is conditioned on the Pasha Transaction closing and other customary closing conditions. The Company expects to fund the Horizon Transaction from cash on hand and available borrowings under its revolving credit facility. The Pasha Transaction is also subject to customary closing conditions. The Company expects to close the Horizon Transaction by the end of the second quarter.</w:t>
      </w:r>
    </w:p>
    <w:p>
      <w:pPr>
        <w:spacing w:after="0" w:line="18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are unaudited. Due to the nature of the Company’s operations, the results for</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financial statements. The condensed consolidated financial statements should be read in conjunction with the consolidated financial statements and notes thereto included in the Company’s Annual Report filed on Form 10-K for the year ended December 31, 2014.</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Fiscal Period: </w:t>
      </w:r>
      <w:r>
        <w:rPr>
          <w:rFonts w:ascii="Arial" w:cs="Arial" w:eastAsia="Arial" w:hAnsi="Arial"/>
          <w:sz w:val="18"/>
          <w:szCs w:val="18"/>
          <w:color w:val="auto"/>
        </w:rPr>
        <w:t>The period end for Matson, Inc. is March 31. The period end for MatNav occurred on the last Friday in March, except for Matson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Warehousing for which the period closed on March 31.</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Item 8 of the Company’s Annual Report filed on Form 10-K for the year ended December 31, 2014.</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March 31, 2015 and December 31, 2014, the Company had the following amounts of assigned eligible accounts receivable, and on deposit to the Capital Construction Fund (“CCF”)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CCF on deposit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Eligible accounts receivable assigned to CCF</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r>
      <w:tr>
        <w:trPr>
          <w:trHeight w:val="210"/>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Due to the nature of the assignment of eligible accounts receivables into the CCF, such assigned amounts are classified as part of accounts receivable in the condensed consolidated balance sheets. The Company’s CCF on deposit of $27.5 million at March 31, 2015 and December 31, 2014, was invested in a money market fund, and is classified as a long-term asset in the Company’s condensed consolidated balance sheet.</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CCF is described in Note 6 to the consolidated financial statements included in Item 8 of the Company’s Annual Report filed on Form 10-K for the year ended December 31, 2014.</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2015 and December 31, 2014, the Company’s 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2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w:t>
            </w:r>
          </w:p>
        </w:tc>
      </w:tr>
      <w:tr>
        <w:trPr>
          <w:trHeight w:val="171"/>
        </w:trPr>
        <w:tc>
          <w:tcPr>
            <w:tcW w:w="4720" w:type="dxa"/>
            <w:vAlign w:val="bottom"/>
          </w:tcPr>
          <w:p>
            <w:pPr>
              <w:spacing w:after="0"/>
              <w:rPr>
                <w:sz w:val="14"/>
                <w:szCs w:val="14"/>
                <w:color w:val="auto"/>
              </w:rPr>
            </w:pPr>
          </w:p>
        </w:tc>
        <w:tc>
          <w:tcPr>
            <w:tcW w:w="34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Term Loans:</w:t>
            </w:r>
          </w:p>
        </w:tc>
        <w:tc>
          <w:tcPr>
            <w:tcW w:w="24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5.79%, payable through 2020</w:t>
            </w:r>
          </w:p>
        </w:tc>
        <w:tc>
          <w:tcPr>
            <w:tcW w:w="344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38.5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3.66%, payable through 2023</w:t>
            </w:r>
          </w:p>
        </w:tc>
        <w:tc>
          <w:tcPr>
            <w:tcW w:w="2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77.5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r>
    </w:tbl>
    <w:p>
      <w:pPr>
        <w:sectPr>
          <w:pgSz w:w="11900" w:h="16843" w:orient="portrait"/>
          <w:cols w:equalWidth="0" w:num="1">
            <w:col w:w="11380"/>
          </w:cols>
          <w:pgMar w:left="240" w:top="125" w:right="2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4.16%, payable through 2027</w:t>
            </w:r>
          </w:p>
        </w:tc>
        <w:tc>
          <w:tcPr>
            <w:tcW w:w="2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5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4.31%, payable through 2032</w:t>
            </w:r>
          </w:p>
        </w:tc>
        <w:tc>
          <w:tcPr>
            <w:tcW w:w="2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4.35%, payable through 2044</w:t>
            </w:r>
          </w:p>
        </w:tc>
        <w:tc>
          <w:tcPr>
            <w:tcW w:w="2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Title XI Bonds:</w:t>
            </w:r>
          </w:p>
        </w:tc>
        <w:tc>
          <w:tcPr>
            <w:tcW w:w="2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5.34%, payable through 2028</w:t>
            </w:r>
          </w:p>
        </w:tc>
        <w:tc>
          <w:tcPr>
            <w:tcW w:w="2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29.7</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5.27%, payable through 2029</w:t>
            </w:r>
          </w:p>
        </w:tc>
        <w:tc>
          <w:tcPr>
            <w:tcW w:w="2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Capital leases</w:t>
            </w:r>
          </w:p>
        </w:tc>
        <w:tc>
          <w:tcPr>
            <w:tcW w:w="2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r>
      <w:tr>
        <w:trPr>
          <w:trHeight w:val="210"/>
        </w:trPr>
        <w:tc>
          <w:tcPr>
            <w:tcW w:w="47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Less current portion</w:t>
            </w:r>
          </w:p>
        </w:tc>
        <w:tc>
          <w:tcPr>
            <w:tcW w:w="2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5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r>
      <w:tr>
        <w:trPr>
          <w:trHeight w:val="210"/>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Debt is described in Note 7 to the consolidated financial statements included in Item 8 of the Company’s Annual Report filed on Form 10-K for the year ended December 31, 2014.</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sponsors qualified defined-benefit pension and post-retirement plans (collectively, the “Plans”). The following table provides the components of net periodic benefit cost for the Plans for the three-months periods ended March 31, 2015 and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w w:val="95"/>
              </w:rPr>
              <w:t>Pension Benefits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7"/>
          </w:tcPr>
          <w:p>
            <w:pPr>
              <w:ind w:left="460"/>
              <w:spacing w:after="0"/>
              <w:rPr>
                <w:sz w:val="20"/>
                <w:szCs w:val="20"/>
                <w:color w:val="auto"/>
              </w:rPr>
            </w:pPr>
            <w:r>
              <w:rPr>
                <w:rFonts w:ascii="Arial" w:cs="Arial" w:eastAsia="Arial" w:hAnsi="Arial"/>
                <w:sz w:val="14"/>
                <w:szCs w:val="14"/>
                <w:b w:val="1"/>
                <w:bCs w:val="1"/>
                <w:color w:val="auto"/>
              </w:rPr>
              <w:t>Post-retirement Benefits</w:t>
            </w:r>
          </w:p>
        </w:tc>
      </w:tr>
      <w:tr>
        <w:trPr>
          <w:trHeight w:val="171"/>
        </w:trPr>
        <w:tc>
          <w:tcPr>
            <w:tcW w:w="3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Net Periodic Cost (Benefit)</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April 10, 2015, the Company paid an initial contribution of $1.6 million to its defined benefit pension plans, of total expected contributions of $6.2 million to be made for 2015.</w:t>
      </w:r>
    </w:p>
    <w:p>
      <w:pPr>
        <w:spacing w:after="0" w:line="16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three-months period ended March 31, 2015, the Company granted approximately 226,000 in total of time-based and performance-based shares to certain of its employees at a weighted-average grant date fair value of $35.28. The number of performance shares awarded represents the maximum that can be earned, and will ultimately depend on the Company’s performance.</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stock-based compensation cost recognized in the Condensed Consolidated Financial Statements of Income and Comprehensive Income as a component of selling, general and administrative costs was $2.8 million and $1.8 million for the three-months periods ended March 31, 2015 and 2014, respectively. Total unrecognized compensation cost related to unvested share-based compensation arrangements was $14.8 million at March 31, 2015, and is expected to be recognized over a weighted-average period of 2.2 years. Total unrecognized compensation cost may be adjusted for any unearned performance shares or forfeited shares.</w:t>
      </w:r>
    </w:p>
    <w:p>
      <w:pPr>
        <w:spacing w:after="0" w:line="18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Employee Matters: </w:t>
      </w:r>
      <w:r>
        <w:rPr>
          <w:rFonts w:ascii="Arial" w:cs="Arial" w:eastAsia="Arial" w:hAnsi="Arial"/>
          <w:sz w:val="18"/>
          <w:szCs w:val="18"/>
          <w:color w:val="auto"/>
        </w:rPr>
        <w:t>Matson and SSAT are members of the Pacific Maritime Association (“PMA”), which on behalf of its members negotiates collective</w:t>
      </w:r>
      <w:r>
        <w:rPr>
          <w:rFonts w:ascii="Arial" w:cs="Arial" w:eastAsia="Arial" w:hAnsi="Arial"/>
          <w:sz w:val="18"/>
          <w:szCs w:val="18"/>
          <w:i w:val="1"/>
          <w:iCs w:val="1"/>
          <w:color w:val="auto"/>
        </w:rPr>
        <w:t xml:space="preserve"> </w:t>
      </w:r>
      <w:r>
        <w:rPr>
          <w:rFonts w:ascii="Arial" w:cs="Arial" w:eastAsia="Arial" w:hAnsi="Arial"/>
          <w:sz w:val="18"/>
          <w:szCs w:val="18"/>
          <w:color w:val="auto"/>
        </w:rPr>
        <w:t>bargaining agreements with the International Longshore and Warehouse Union (“ILWU”) on the U.S. West Coast. The PMA/ILWU collective bargaining agreements that cover substantially all U.S. West Coast longshore labor expired on July 1, 2014. On February 20, 2015, the PMA and the ILWU announced a tentative agreement on a new five-year contract covering longshore workers at all 29 U.S. West Coast ports. The tentative agreement is subject to ratification by both the PMA and ILWU, and no assurance can be given that the tentative agreement will be ratified by both parties. If the tentative agreement is not ratified, Matson and SSAT could be subject to future slow-downs, strikes, lock-outs or other disruptions that may adversely impact Matson’s or SSAT’s operations.</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Matson also has collective bargaining agreements with ILWU labor in Hawaii, and ILWU office clerical workers in Oakland, each of which expired on June 30, 2014. Workers under these agreements are operating under extensions with the unions. With a tentative agreement reached between the PMA and the ILWU, negotiations with the ILWU labor in Hawaii have resumed, and negotiations with the ILWU office clerical workers in Oakland are expected to commence; however no assurance can be given that agreements will be reached without slow-downs, strikes, lock-outs or other disruptions that may adversely impact Matson’s operations.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Environmental Matter: </w:t>
      </w:r>
      <w:r>
        <w:rPr>
          <w:rFonts w:ascii="Arial" w:cs="Arial" w:eastAsia="Arial" w:hAnsi="Arial"/>
          <w:sz w:val="17"/>
          <w:szCs w:val="17"/>
          <w:color w:val="auto"/>
        </w:rPr>
        <w:t>Molasses was released into Honolulu Harbor from a pipeline system operated by a subsidiary of the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cooperating with federal and state agencies involved in responding to and investigating the incident.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October 10, 2013, the Company was served with a federal grand jury subpoena seeking documents in connection with a criminal investigation into the release of molasses into Honolulu Harbor. In addition, in April 2014, the Company received two subpoenas from the Hawaii Attorney General and written requests for information regarding the release from the following governmental agencies: (i) the DOH; (ii) the State of Hawaii Office of Hawaiian Affairs; and (iii) the U.S. Environmental Protection Agency (the “EPA”) (Region IX).</w:t>
      </w:r>
    </w:p>
    <w:p>
      <w:pPr>
        <w:sectPr>
          <w:pgSz w:w="11900" w:h="16838" w:orient="portrait"/>
          <w:cols w:equalWidth="0" w:num="1">
            <w:col w:w="11380"/>
          </w:cols>
          <w:pgMar w:left="240" w:top="125" w:right="27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On January 29, 2015, the Company resolved the federal criminal investigation with the U.S. Attorney for the District of Hawaii by pleading guilty to two misdemeanor violations of the Rivers and Harbors Act of 1899 arising from the molasses release and paying $1.0 million, comprised of a $0.4 million fine and restitution payments of $0.6 million to community organizations involved in the protection of Hawaii’s shoreline and ocean resources. In addition, on February 24, 2015, the EPA informed the Company that it will not seek to debar MTI and its affiliates from obtaining future U.S. government contracts.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not yet resolved any potential civil claims by other governmental agencies arising out of the molasses release. However, except with respect to the matters discussed above, government agencies have not initiated any legal actions in connection with the release of molasses. Therefore, the Company is not able to estimate the future costs, penalties, damages or expenses that it may incur related to the incident. As a result, at this time no assurance can be given that the impact of the incident on the Company’s financial position, results of operations, or cash flows will not be material. The Company continues to respond to governmental requests for information, and is engaging in dialogue with governmental agencies in order to reasonably resolve these matters.</w:t>
      </w:r>
    </w:p>
    <w:p>
      <w:pPr>
        <w:spacing w:after="0" w:line="19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addition to the molasses release discussed above, the Company’s shipping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number of shares used to compute basic and diluted earnings per share for the three-months periods ended March 31, 2015 and 2014, is as follows (in millions,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60" w:type="dxa"/>
            <w:vAlign w:val="bottom"/>
            <w:gridSpan w:val="7"/>
          </w:tcPr>
          <w:p>
            <w:pPr>
              <w:jc w:val="center"/>
              <w:ind w:right="920"/>
              <w:spacing w:after="0"/>
              <w:rPr>
                <w:sz w:val="20"/>
                <w:szCs w:val="20"/>
                <w:color w:val="auto"/>
              </w:rPr>
            </w:pPr>
            <w:r>
              <w:rPr>
                <w:rFonts w:ascii="Arial" w:cs="Arial" w:eastAsia="Arial" w:hAnsi="Arial"/>
                <w:sz w:val="14"/>
                <w:szCs w:val="14"/>
                <w:b w:val="1"/>
                <w:bCs w:val="1"/>
                <w:color w:val="auto"/>
                <w:w w:val="94"/>
              </w:rPr>
              <w:t>Three-Months Ended March 31, 2015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5"/>
              </w:rPr>
              <w:t>Three-Months Ended March 31, 2014</w:t>
            </w: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Per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Net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Share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Income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Income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25.0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25.0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Basic earnings per share are determined by dividing net income by the weighted-average common shares outstanding during the period. The calculation of diluted earnings per share includes the dilutive effect of unexercised non-qualified stock options and non-vested restricted stock units.</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computation of weighted 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w:t>
      </w:r>
    </w:p>
    <w:p>
      <w:pPr>
        <w:spacing w:after="0" w:line="17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 uses Level 1 inputs for the fair values of its cash equivalents and Level 2 inputs for its long-term debt. The fair values of cash and cash equivalents, receivables and short-term borrowings approximate their carrying values due to the short-term nature of the instruments. The fair value of the Company’s debt is calculated based upon interest rates available for debt with terms and maturities similar to the Company’s existing debt arrangements.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and fair value of the Company’s financial instruments as of March 31, 2015 and December 31, 2014 are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Quoted Prices in</w:t>
            </w:r>
          </w:p>
        </w:tc>
        <w:tc>
          <w:tcPr>
            <w:tcW w:w="280" w:type="dxa"/>
            <w:vAlign w:val="bottom"/>
          </w:tcPr>
          <w:p>
            <w:pPr>
              <w:spacing w:after="0"/>
              <w:rPr>
                <w:sz w:val="14"/>
                <w:szCs w:val="14"/>
                <w:color w:val="auto"/>
              </w:rPr>
            </w:pPr>
          </w:p>
        </w:tc>
        <w:tc>
          <w:tcPr>
            <w:tcW w:w="13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Carrying Value at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80" w:type="dxa"/>
            <w:vAlign w:val="bottom"/>
          </w:tcPr>
          <w:p>
            <w:pPr>
              <w:spacing w:after="0"/>
              <w:rPr>
                <w:sz w:val="12"/>
                <w:szCs w:val="12"/>
                <w:color w:val="auto"/>
              </w:rPr>
            </w:pPr>
          </w:p>
        </w:tc>
        <w:tc>
          <w:tcPr>
            <w:tcW w:w="136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4"/>
                <w:szCs w:val="14"/>
                <w:color w:val="auto"/>
              </w:rPr>
            </w:pPr>
          </w:p>
        </w:tc>
        <w:tc>
          <w:tcPr>
            <w:tcW w:w="1360" w:type="dxa"/>
            <w:vAlign w:val="bottom"/>
          </w:tcPr>
          <w:p>
            <w:pPr>
              <w:jc w:val="center"/>
              <w:ind w:right="176"/>
              <w:spacing w:after="0"/>
              <w:rPr>
                <w:sz w:val="20"/>
                <w:szCs w:val="20"/>
                <w:color w:val="auto"/>
              </w:rPr>
            </w:pPr>
            <w:r>
              <w:rPr>
                <w:rFonts w:ascii="Arial" w:cs="Arial" w:eastAsia="Arial" w:hAnsi="Arial"/>
                <w:sz w:val="14"/>
                <w:szCs w:val="14"/>
                <w:b w:val="1"/>
                <w:bCs w:val="1"/>
                <w:color w:val="auto"/>
                <w:w w:val="95"/>
              </w:rPr>
              <w:t>Inputs (Level 2)</w:t>
            </w:r>
          </w:p>
        </w:tc>
        <w:tc>
          <w:tcPr>
            <w:tcW w:w="28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March 31, 2015</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520" w:type="dxa"/>
            <w:vAlign w:val="bottom"/>
            <w:tcBorders>
              <w:top w:val="single" w:sz="8" w:color="auto"/>
              <w:bottom w:val="single" w:sz="8" w:color="auto"/>
            </w:tcBorders>
            <w:gridSpan w:val="5"/>
          </w:tcPr>
          <w:p>
            <w:pPr>
              <w:jc w:val="center"/>
              <w:ind w:right="36"/>
              <w:spacing w:after="0" w:line="142" w:lineRule="exact"/>
              <w:rPr>
                <w:sz w:val="20"/>
                <w:szCs w:val="20"/>
                <w:color w:val="auto"/>
              </w:rPr>
            </w:pPr>
            <w:r>
              <w:rPr>
                <w:rFonts w:ascii="Arial" w:cs="Arial" w:eastAsia="Arial" w:hAnsi="Arial"/>
                <w:sz w:val="14"/>
                <w:szCs w:val="14"/>
                <w:b w:val="1"/>
                <w:bCs w:val="1"/>
                <w:color w:val="auto"/>
                <w:w w:val="94"/>
              </w:rPr>
              <w:t>Fair Value Measurements at March 31, 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325.8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397.3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2"/>
        </w:trPr>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Carrying Value at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at December 31, 2014</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December 31, 2014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293.4</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197.6</w:t>
            </w:r>
          </w:p>
        </w:tc>
        <w:tc>
          <w:tcPr>
            <w:tcW w:w="28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395.7</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ectPr>
          <w:pgSz w:w="11900" w:h="16838" w:orient="portrait"/>
          <w:cols w:equalWidth="0" w:num="1">
            <w:col w:w="11420"/>
          </w:cols>
          <w:pgMar w:left="240" w:top="125" w:right="239" w:bottom="0" w:gutter="0" w:footer="0" w:header="0"/>
        </w:sectPr>
      </w:pPr>
    </w:p>
    <w:bookmarkStart w:id="6" w:name="page7"/>
    <w:bookmarkEnd w:id="6"/>
    <w:p>
      <w:pPr>
        <w:ind w:right="220"/>
        <w:spacing w:after="0" w:line="312" w:lineRule="auto"/>
        <w:rPr>
          <w:sz w:val="20"/>
          <w:szCs w:val="20"/>
          <w:color w:val="auto"/>
        </w:rPr>
      </w:pPr>
      <w:r>
        <w:rPr>
          <w:rFonts w:ascii="Arial" w:cs="Arial" w:eastAsia="Arial" w:hAnsi="Arial"/>
          <w:sz w:val="16"/>
          <w:szCs w:val="16"/>
          <w:color w:val="auto"/>
        </w:rPr>
        <w:t>The Company consists of two segments, ocean transportation and logistics, which are further described in Note 1. 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for the three-months periods ended March 31, 2015 and 2014 were as follows (in millions):</w:t>
      </w:r>
    </w:p>
    <w:p>
      <w:pPr>
        <w:spacing w:after="0" w:line="217" w:lineRule="exact"/>
        <w:rPr>
          <w:sz w:val="20"/>
          <w:szCs w:val="20"/>
          <w:color w:val="auto"/>
        </w:rPr>
      </w:pPr>
    </w:p>
    <w:p>
      <w:pPr>
        <w:jc w:val="center"/>
        <w:ind w:left="2840"/>
        <w:spacing w:after="0"/>
        <w:rPr>
          <w:sz w:val="20"/>
          <w:szCs w:val="20"/>
          <w:color w:val="auto"/>
        </w:rPr>
      </w:pPr>
      <w:r>
        <w:rPr>
          <w:rFonts w:ascii="Arial" w:cs="Arial" w:eastAsia="Arial" w:hAnsi="Arial"/>
          <w:sz w:val="14"/>
          <w:szCs w:val="14"/>
          <w:b w:val="1"/>
          <w:bCs w:val="1"/>
          <w:color w:val="auto"/>
        </w:rPr>
        <w:t>Three-Months Ended</w:t>
      </w:r>
    </w:p>
    <w:p>
      <w:pPr>
        <w:jc w:val="center"/>
        <w:ind w:left="28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2720" w:type="dxa"/>
            <w:vAlign w:val="bottom"/>
          </w:tcPr>
          <w:p>
            <w:pPr>
              <w:spacing w:after="0"/>
              <w:rPr>
                <w:sz w:val="12"/>
                <w:szCs w:val="12"/>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20" w:type="dxa"/>
            <w:vAlign w:val="bottom"/>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305.5</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294.6</w:t>
            </w:r>
          </w:p>
        </w:tc>
        <w:tc>
          <w:tcPr>
            <w:tcW w:w="272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2720" w:type="dxa"/>
            <w:vAlign w:val="bottom"/>
          </w:tcPr>
          <w:p>
            <w:pPr>
              <w:spacing w:after="0"/>
              <w:rPr>
                <w:sz w:val="18"/>
                <w:szCs w:val="18"/>
                <w:color w:val="auto"/>
              </w:rPr>
            </w:pPr>
          </w:p>
        </w:tc>
      </w:tr>
      <w:tr>
        <w:trPr>
          <w:trHeight w:val="250"/>
        </w:trPr>
        <w:tc>
          <w:tcPr>
            <w:tcW w:w="56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Revenue</w:t>
            </w:r>
          </w:p>
        </w:tc>
        <w:tc>
          <w:tcPr>
            <w:tcW w:w="90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Borders>
              <w:bottom w:val="single" w:sz="8" w:color="CCEEFF"/>
            </w:tcBorders>
          </w:tcPr>
          <w:p>
            <w:pPr>
              <w:spacing w:after="0"/>
              <w:rPr>
                <w:sz w:val="21"/>
                <w:szCs w:val="21"/>
                <w:color w:val="auto"/>
              </w:rPr>
            </w:pPr>
          </w:p>
        </w:tc>
        <w:tc>
          <w:tcPr>
            <w:tcW w:w="2720" w:type="dxa"/>
            <w:vAlign w:val="bottom"/>
          </w:tcPr>
          <w:p>
            <w:pPr>
              <w:spacing w:after="0"/>
              <w:rPr>
                <w:sz w:val="21"/>
                <w:szCs w:val="21"/>
                <w:color w:val="auto"/>
              </w:rPr>
            </w:pPr>
          </w:p>
        </w:tc>
      </w:tr>
      <w:tr>
        <w:trPr>
          <w:trHeight w:val="170"/>
        </w:trPr>
        <w:tc>
          <w:tcPr>
            <w:tcW w:w="5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20" w:type="dxa"/>
            <w:vAlign w:val="bottom"/>
          </w:tcPr>
          <w:p>
            <w:pPr>
              <w:spacing w:after="0"/>
              <w:rPr>
                <w:sz w:val="14"/>
                <w:szCs w:val="14"/>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272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2720" w:type="dxa"/>
            <w:vAlign w:val="bottom"/>
          </w:tcPr>
          <w:p>
            <w:pPr>
              <w:spacing w:after="0"/>
              <w:rPr>
                <w:sz w:val="18"/>
                <w:szCs w:val="18"/>
                <w:color w:val="auto"/>
              </w:rPr>
            </w:pPr>
          </w:p>
        </w:tc>
      </w:tr>
      <w:tr>
        <w:trPr>
          <w:trHeight w:val="210"/>
        </w:trPr>
        <w:tc>
          <w:tcPr>
            <w:tcW w:w="5620" w:type="dxa"/>
            <w:vAlign w:val="bottom"/>
          </w:tcPr>
          <w:p>
            <w:pPr>
              <w:ind w:left="540"/>
              <w:spacing w:after="0"/>
              <w:rPr>
                <w:sz w:val="20"/>
                <w:szCs w:val="20"/>
                <w:color w:val="auto"/>
              </w:rPr>
            </w:pPr>
            <w:r>
              <w:rPr>
                <w:rFonts w:ascii="Arial" w:cs="Arial" w:eastAsia="Arial" w:hAnsi="Arial"/>
                <w:sz w:val="18"/>
                <w:szCs w:val="18"/>
                <w:color w:val="auto"/>
              </w:rPr>
              <w:t>Total Operating Income</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720" w:type="dxa"/>
            <w:vAlign w:val="bottom"/>
          </w:tcPr>
          <w:p>
            <w:pPr>
              <w:spacing w:after="0"/>
              <w:rPr>
                <w:sz w:val="18"/>
                <w:szCs w:val="18"/>
                <w:color w:val="auto"/>
              </w:rPr>
            </w:pPr>
          </w:p>
        </w:tc>
      </w:tr>
      <w:tr>
        <w:trPr>
          <w:trHeight w:val="210"/>
        </w:trPr>
        <w:tc>
          <w:tcPr>
            <w:tcW w:w="562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720" w:type="dxa"/>
            <w:vAlign w:val="bottom"/>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3"/>
        </w:trPr>
        <w:tc>
          <w:tcPr>
            <w:tcW w:w="5620" w:type="dxa"/>
            <w:vAlign w:val="bottom"/>
          </w:tcPr>
          <w:p>
            <w:pPr>
              <w:spacing w:after="0"/>
              <w:rPr>
                <w:sz w:val="24"/>
                <w:szCs w:val="24"/>
                <w:color w:val="auto"/>
              </w:rPr>
            </w:pPr>
          </w:p>
        </w:tc>
        <w:tc>
          <w:tcPr>
            <w:tcW w:w="900" w:type="dxa"/>
            <w:vAlign w:val="bottom"/>
          </w:tcPr>
          <w:p>
            <w:pPr>
              <w:jc w:val="right"/>
              <w:ind w:right="683"/>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32"/>
        </w:trPr>
        <w:tc>
          <w:tcPr>
            <w:tcW w:w="56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condensed consolidated financial statements and related notes, and the other financial information appearing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the Forms 10-K, 10-Q and 8-K, the Annual Report to Shareholders, press releases made by the Company, the Company’s Internet Web sites (including Web sites of its subsidiaries), and oral statements made by the officers of the Company.</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and similar expressions, or future or conditional verbs such as “will,” “would,” “should,” “could,” “may” or similar expressions.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factors that are described in Part I, Item 1A under the caption of “Risk Factors” of Matson’s Annual Report on Form 10-K for the year ended December 31, 2014, filed with the Securities Exchange Commission (“SEC”) on February 27, 2015. Forward-looking statements speak only as of the date they are made, and the Company assumes no duty to and does not undertake to update forward-looking statements. Actual results could differ materially from those anticipated in forward-looking statements and future results could differ materially from historical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filed on Form 10-K for the year ended December 31, 2014, and the Company’s reports filed on Forms 10-Q and 8-K, and other publicly available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expects to close the pending transaction with Horizon Lines, Inc. by the end of the second quarter. However, the closing remains dependent upon a number of conditions, including the closing of Pasha’s acquisition of Horizon’s Hawaii business. The Company’s 2015 outlook continues to exclude any future effects of the pending transaction. Assuming the pending transaction closes by the end of the second quarter, the Company expects to update its outlook for the effects of the acquisition during its second quarter 2015 earnings conference call, currently scheduled for early August 2015.</w:t>
      </w:r>
    </w:p>
    <w:p>
      <w:pPr>
        <w:spacing w:after="0" w:line="15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 xml:space="preserve">Ocean Transportation: </w:t>
      </w:r>
      <w:r>
        <w:rPr>
          <w:rFonts w:ascii="Arial" w:cs="Arial" w:eastAsia="Arial" w:hAnsi="Arial"/>
          <w:sz w:val="17"/>
          <w:szCs w:val="17"/>
          <w:color w:val="auto"/>
        </w:rPr>
        <w:t>The Company believes that the Hawaii economy is in a multi-year recovery and is anticipating modest market growth in the trade in</w:t>
      </w:r>
      <w:r>
        <w:rPr>
          <w:rFonts w:ascii="Arial" w:cs="Arial" w:eastAsia="Arial" w:hAnsi="Arial"/>
          <w:sz w:val="17"/>
          <w:szCs w:val="17"/>
          <w:i w:val="1"/>
          <w:iCs w:val="1"/>
          <w:color w:val="auto"/>
        </w:rPr>
        <w:t xml:space="preserve"> </w:t>
      </w:r>
      <w:r>
        <w:rPr>
          <w:rFonts w:ascii="Arial" w:cs="Arial" w:eastAsia="Arial" w:hAnsi="Arial"/>
          <w:sz w:val="17"/>
          <w:szCs w:val="17"/>
          <w:color w:val="auto"/>
        </w:rPr>
        <w:t>2015. However, containership capacity is projected to increase in the second quarter of 2015 as a competitor has announced plans to launch an additional new vessel into the trade in May. As a result, the Company expects its 2015 Hawaii container volume to approximate the 2014 level.</w:t>
      </w:r>
    </w:p>
    <w:p>
      <w:pPr>
        <w:spacing w:after="0" w:line="16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During the first quarter 2015, the Company continued to realize significantly higher freight rates in its China trade, reflecting the high demand for its expedited transpacific service, which was amplified by cargo availability delays experienced by other ocean carriers associated with port congestion on the U.S. West Coast. International vessel overcapacity is expected to continue in 2015 with vessel deliveries outpacing demand growth. The Company expects</w:t>
      </w:r>
    </w:p>
    <w:p>
      <w:pPr>
        <w:sectPr>
          <w:pgSz w:w="11900" w:h="16838" w:orient="portrait"/>
          <w:cols w:equalWidth="0" w:num="1">
            <w:col w:w="11460"/>
          </w:cols>
          <w:pgMar w:left="240" w:top="341" w:right="199" w:bottom="0" w:gutter="0" w:footer="0" w:header="0"/>
        </w:sectPr>
      </w:pPr>
    </w:p>
    <w:bookmarkStart w:id="7" w:name="page8"/>
    <w:bookmarkEnd w:id="7"/>
    <w:p>
      <w:pPr>
        <w:spacing w:after="0" w:line="6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strong demand for its expedited service to continue in 2015 resulting in high vessel utilization levels and premium freight rates. In 2015, the Company expects market growth in Guam to result in flat to modestly higher container volume compared to 2014, assuming no new competitors enter the market.</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Notwithstanding the productivity challenges resulting from the port congestion on the U.S. West Coast, the Company expects modest profit at the Company’s terminal joint venture, SSAT, for 2015.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2015, Ocean Transportation operating income is expected to be moderately higher than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outlook for 2015 also excludes any future effects from the September 2013 molasses incident.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The Company expects full year 2015 operating income to exceed the 2014 level of $8.9 million, driven by volume growth, expense control and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in warehouse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2015 to decrease slightly from the 2014 amount of $17.3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The Company expects its 2015 effective tax rate to be approximately 38.5 percent.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Company expects maintenance capital expenditures for 2015 to be approximately $40.0 million and, in addition, has scheduled contract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$33.4 million in 2015 relating to its two vessels under construction. The Company also expects to make additional contributions to its CCF in 2015, which are expected to exceed the $65.5 million net contribution made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Three-months Period ended March 31,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3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ind w:left="1020"/>
              <w:spacing w:after="0"/>
              <w:rPr>
                <w:sz w:val="20"/>
                <w:szCs w:val="20"/>
                <w:color w:val="auto"/>
              </w:rPr>
            </w:pPr>
            <w:r>
              <w:rPr>
                <w:rFonts w:ascii="Arial" w:cs="Arial" w:eastAsia="Arial" w:hAnsi="Arial"/>
                <w:sz w:val="14"/>
                <w:szCs w:val="14"/>
                <w:b w:val="1"/>
                <w:bCs w:val="1"/>
                <w:color w:val="auto"/>
              </w:rPr>
              <w:t>Three-Months Ended March 31</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382.6</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Consolidated operating revenue for the first quarter 2015 increased $5.7 million, or 1.5 percent, compared to 2014. This increase was due to $10.9 million higher revenue from ocean transportation, offset by $5.2 million lower revenue from logistics services, respectively.</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costs and expenses for the first quarter 2015 decreased $29.3 million, or 7.7 percent, compared to 2014. The decrease was due to a $23.6 million and $5.7 million decrease in operating costs and expenses from ocean transportation and logistics segments, respectively. Changes in operating revenue and expense are described below in the Analysis of Operating Revenue and Income by Segment, as part of the discussion of trends in operating revenues and operating costs and expenses.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expense increased $0.2 million to $4.3 million for the first quarter of 2015 compared to $4.1 million in 2014, due to increased borrowings during the first quarter 2015 compared to 2014.</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was $15.6 million, or 38.4 percent of income before income taxes, for the first quarter 2015, compared to $2.4 million, or 41.4 percent of income before income taxes, in 2014. The decrease in the income tax rate was due to impact of uncertainties in income tax liabilities that increased the income tax rate for the first quarter 2014; offset by the impact of non-deductible charges related to the acquisition that increased the income tax rate for the first quarter 2015.</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Three-months Period ended March 31,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ind w:left="1060"/>
              <w:spacing w:after="0"/>
              <w:rPr>
                <w:sz w:val="20"/>
                <w:szCs w:val="20"/>
                <w:color w:val="auto"/>
              </w:rPr>
            </w:pPr>
            <w:r>
              <w:rPr>
                <w:rFonts w:ascii="Arial" w:cs="Arial" w:eastAsia="Arial" w:hAnsi="Arial"/>
                <w:sz w:val="14"/>
                <w:szCs w:val="14"/>
                <w:b w:val="1"/>
                <w:bCs w:val="1"/>
                <w:color w:val="auto"/>
              </w:rPr>
              <w:t>Three-Months Ended March 31</w:t>
            </w: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Volume (Units) (1)</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33,300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Hawaii automobiles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15,900</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23,200</w:t>
            </w: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380"/>
          </w:cols>
          <w:pgMar w:left="240" w:top="125" w:right="2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China containers</w:t>
            </w:r>
          </w:p>
        </w:tc>
        <w:tc>
          <w:tcPr>
            <w:tcW w:w="28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14,400</w:t>
            </w:r>
          </w:p>
        </w:tc>
        <w:tc>
          <w:tcPr>
            <w:tcW w:w="17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13,700</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Guam containers</w:t>
            </w:r>
          </w:p>
        </w:tc>
        <w:tc>
          <w:tcPr>
            <w:tcW w:w="2860" w:type="dxa"/>
            <w:vAlign w:val="bottom"/>
          </w:tcPr>
          <w:p>
            <w:pPr>
              <w:jc w:val="right"/>
              <w:ind w:right="490"/>
              <w:spacing w:after="0"/>
              <w:rPr>
                <w:sz w:val="20"/>
                <w:szCs w:val="20"/>
                <w:color w:val="auto"/>
              </w:rPr>
            </w:pPr>
            <w:r>
              <w:rPr>
                <w:rFonts w:ascii="Arial" w:cs="Arial" w:eastAsia="Arial" w:hAnsi="Arial"/>
                <w:sz w:val="18"/>
                <w:szCs w:val="18"/>
                <w:color w:val="auto"/>
              </w:rPr>
              <w:t>5,700</w:t>
            </w: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6,000</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Micronesia/South Pacific containers</w:t>
            </w:r>
          </w:p>
        </w:tc>
        <w:tc>
          <w:tcPr>
            <w:tcW w:w="28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2,600</w:t>
            </w:r>
          </w:p>
        </w:tc>
        <w:tc>
          <w:tcPr>
            <w:tcW w:w="17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3,200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60" w:hanging="328"/>
        <w:spacing w:after="0" w:line="264" w:lineRule="auto"/>
        <w:tabs>
          <w:tab w:leader="none" w:pos="6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Ocean transportation revenue increased $10.9 million, or 3.7 percent, during the first quarter 2015 compared with the first quarter 2014. This increase was due primarily to higher freight rates in the Company’s expedited China service and container yield improvements in Hawaii and Guam, partially offset by lower fuel surcharge revenue and lower automobile volume.</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On a year over year basis, Hawaii container volume was essentially flat as modest westbound market growth was largely offset by lower eastbound backhaul freight; China volume increased 5.1 percent, reflecting continued strong demand for the Company’s premium expedited service; and Guam volume decreased 5.0 percent due to the timing of select shipments. Hawaii automobile volume decreased 31.5 percent primarily due to certain customer losses.</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Ocean transportation operating income increased $34.5 million during the first quarter 2015 compared with the first quarter 2014. The increase was primarily due to the timing of fuel surcharge collections and higher freight rates in China, and container yield improvements in Hawaii and Guam, partially offset by higher general and administrative expenses and higher outside transportation and terminal handling expenses. In addition, the Company incurred $0.2 million in legal and other expenses related to the molasses released into Honolulu Harbor in September 2013.</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SSAT terminal joint venture investment contributed $3.4 million during the first quarter 2015, compared to a $0.2 million contribution in the first quarter 2014. The increase was partially attributable to increased lift volume.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Three-months Period ended March 31,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vMerge w:val="restart"/>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Three-Months Ended March 31</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Highway revenue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00" w:type="dxa"/>
            <w:vAlign w:val="bottom"/>
          </w:tcPr>
          <w:p>
            <w:pPr>
              <w:spacing w:after="0"/>
              <w:rPr>
                <w:sz w:val="20"/>
                <w:szCs w:val="20"/>
                <w:color w:val="auto"/>
              </w:rPr>
            </w:pPr>
          </w:p>
        </w:tc>
        <w:tc>
          <w:tcPr>
            <w:tcW w:w="1340" w:type="dxa"/>
            <w:vAlign w:val="bottom"/>
            <w:gridSpan w:val="2"/>
          </w:tcPr>
          <w:p>
            <w:pPr>
              <w:jc w:val="right"/>
              <w:ind w:right="68"/>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Logistics revenue decreased $5.2 million, or 5.3 percent, during the first quarter 2015 compared with the first quarter 2014. This decrease was primarily the result of lower international intermodal volume related to port congestion on the U.S. West Coast and lower fuel surcharge revenue, partially offset by changes in customer and business mix.</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Logistics operating income increased by $0.5 million, during the first quarter 2015 compared with the first quarter 2014, primarily due to warehouse operating improvements and yield improvements in highway and intermodal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flows provided by operating activities are generally the Company’s primary source of liquidity. Additional sources of liquidity are available from the Company’s cash and cash equivalent, accounts receivable balances, deposits in the CCF, and borrowings from the Company’s term loans and revolving credit facility. The Company’s term loans and revolving credit facilities are described in Note 7 to the consolidated financial statements included in Item 8 of the Company’s Annual Report filed on Form 10-K for the year ended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Cash flows provided by operating activities were $46.3 million for the first quarter 2015, compared with $30.1 million for 2014. The increase in cash flows provided by operating activities was primarily due to an increase in net income, an increase in accounts payable and accrued liabilities, and a reduction in deferred dry-docking payments; offset by an increase in accounts receivable, and a decrease in other liabilities.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flows used in investing activities were $3.0 million for the first quarter 2015, compared with $4.5 million for 2014. The decrease in cash flows used in investing activities was primarily due to a decrease in capital expenditures. Capital expenditures were $3.3 million for the first quarter 2015, compared to $4.9 million for 2014, and primarily related to the ocean transportation segment.</w:t>
      </w:r>
    </w:p>
    <w:p>
      <w:pPr>
        <w:spacing w:after="0" w:line="18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Cash flows used in financing activities was $10.9 million for the first quarter 2015, compared with cash flows provided by financing activities of $89.6 million for 2014. The change was primarily due to increased proceeds from issuance of long-term debt net of repayments of $91.4 million in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Liquidity:</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Other sources of liquidity totaled $527.6 million at March 31, 2015, consisting of cash and cash equivalents, and accounts receivable, an increase of $36.6 million compared to December 31, 2014. The increase was due primarily to a $32.4 million and $4.2 million increase in cash and cash equivalents, and accounts receivable, respectively.</w:t>
      </w:r>
    </w:p>
    <w:p>
      <w:pPr>
        <w:sectPr>
          <w:pgSz w:w="11900" w:h="16838" w:orient="portrait"/>
          <w:cols w:equalWidth="0" w:num="1">
            <w:col w:w="11400"/>
          </w:cols>
          <w:pgMar w:left="240" w:top="140" w:right="259" w:bottom="123" w:gutter="0" w:footer="0" w:header="0"/>
        </w:sectPr>
      </w:pPr>
    </w:p>
    <w:bookmarkStart w:id="9" w:name="page10"/>
    <w:bookmarkEnd w:id="9"/>
    <w:p>
      <w:pPr>
        <w:spacing w:after="0" w:line="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had working capital of $331.2 million at March 31, 2015, compared to $296.0 million at December 31, 2014. The Company also had $27.5 million of deposits in the CCF as of March 31, 2015 and December 31, 2014.</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Total debt was $371.2 million at March 31, 2015, compared with $373.6 million at December 31, 2014. The decrease in debt is primarily due to debt repayments.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There were no material changes during this quarter to the Company’s contractual obligations and commitments that are described in Item 7 of the Company’s Annual Report filed on Form 10-K for the year ended December 31, 2014. The Company does not have any off-balance sheet arrangements.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description of contingencies at March 31, 2015, is included in Note 7 to the condensed consolidated financial statements of Item 1 in this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Item 7 of the Company’s Annual Report filed on Form 10-K for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fourth quarter 2014 dividend of $0.17 per share was paid on March 5, 2015 to shareholders of record as of February 12, 2015. On April 23, 2015, the Company’s Board of Directors declared a cash dividend of $0.17 per share payable on June 4, 2015 to shareholders of record as of the close of business on May 7, 2015.</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There have been no material changes to the Company’s market risk position from the information provided under Part II, Item 7A, “Quantitative and Qualitative Disclosures About Market Risk,” of our 2014 Annual Report filed on Form 10-K for the year ended December 31,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2015,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three-months period ended March 31, 2015, that have materially affected, or are reasonably likely to materially affect, the Company’s internal control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Employee Matters: </w:t>
      </w:r>
      <w:r>
        <w:rPr>
          <w:rFonts w:ascii="Arial" w:cs="Arial" w:eastAsia="Arial" w:hAnsi="Arial"/>
          <w:sz w:val="18"/>
          <w:szCs w:val="18"/>
          <w:color w:val="auto"/>
        </w:rPr>
        <w:t>Matson and SSAT are members of the Pacific Maritime Association (“PMA”), which on behalf of its members negotiates collective</w:t>
      </w:r>
      <w:r>
        <w:rPr>
          <w:rFonts w:ascii="Arial" w:cs="Arial" w:eastAsia="Arial" w:hAnsi="Arial"/>
          <w:sz w:val="18"/>
          <w:szCs w:val="18"/>
          <w:i w:val="1"/>
          <w:iCs w:val="1"/>
          <w:color w:val="auto"/>
        </w:rPr>
        <w:t xml:space="preserve"> </w:t>
      </w:r>
      <w:r>
        <w:rPr>
          <w:rFonts w:ascii="Arial" w:cs="Arial" w:eastAsia="Arial" w:hAnsi="Arial"/>
          <w:sz w:val="18"/>
          <w:szCs w:val="18"/>
          <w:color w:val="auto"/>
        </w:rPr>
        <w:t>bargaining agreements with the International Longshore and Warehouse Union (“ILWU”) on the U.S. West Coast. The PMA/ILWU collective bargaining agreements that cover substantially all U.S. West Coast longshore labor expired on July 1, 2014. On February 20, 2015, the PMA and the ILWU announced a tentative agreement on a new five-year contract covering longshore workers at all 29 U.S. West Coast ports. The tentative agreement is subject to ratification by both the PMA and ILWU, and no assurance can be given that the tentative agreement will be ratified by both parties. If the tentative agreement is not ratified, Matson and SSAT could be subject to future slow-downs, strikes, lock-outs or other disruptions that may adversely impact Matson’s or SSAT’s operations.</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Matson also has collective bargaining agreements with ILWU labor in Hawaii, and ILWU office clerical workers in Oakland, each of which expired on June 30, 2014. Workers under these agreements are operating under extensions with the unions. With a tentative agreement reached between the PMA and the ILWU, negotiations with the ILWU labor in Hawaii have resumed, and negotiations with the ILWU office clerical workers in Oakland are expected to commence; however no assurance can be given that agreements will be reached without slow-downs, strikes, lock-outs or other disruptions that may adversely impact Matson’s operations.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Environmental Matter: </w:t>
      </w:r>
      <w:r>
        <w:rPr>
          <w:rFonts w:ascii="Arial" w:cs="Arial" w:eastAsia="Arial" w:hAnsi="Arial"/>
          <w:sz w:val="17"/>
          <w:szCs w:val="17"/>
          <w:color w:val="auto"/>
        </w:rPr>
        <w:t>Molasses was released into Honolulu Harbor from a pipeline system operated by a subsidiary of the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cooperating with federal and state agencies involved in responding to and investigating the incident.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October 10, 2013, the Company was served with a federal grand jury subpoena seeking documents in connection with a criminal investigation into the release of molasses into Honolulu Harbor. In addition, in April 2014, the Company received two subpoenas from the Hawaii Attorney General and written</w:t>
      </w:r>
    </w:p>
    <w:p>
      <w:pPr>
        <w:sectPr>
          <w:pgSz w:w="11900" w:h="16908" w:orient="portrait"/>
          <w:cols w:equalWidth="0" w:num="1">
            <w:col w:w="11380"/>
          </w:cols>
          <w:pgMar w:left="240" w:top="125" w:right="279" w:bottom="0" w:gutter="0" w:footer="0" w:header="0"/>
        </w:sectPr>
      </w:pPr>
    </w:p>
    <w:bookmarkStart w:id="10" w:name="page11"/>
    <w:bookmarkEnd w:id="10"/>
    <w:p>
      <w:pPr>
        <w:ind w:right="280"/>
        <w:spacing w:after="0" w:line="277" w:lineRule="auto"/>
        <w:rPr>
          <w:sz w:val="20"/>
          <w:szCs w:val="20"/>
          <w:color w:val="auto"/>
        </w:rPr>
      </w:pPr>
      <w:r>
        <w:rPr>
          <w:rFonts w:ascii="Arial" w:cs="Arial" w:eastAsia="Arial" w:hAnsi="Arial"/>
          <w:sz w:val="18"/>
          <w:szCs w:val="18"/>
          <w:color w:val="auto"/>
        </w:rPr>
        <w:t>requests for information regarding the release from the following governmental agencies: (i) the DOH; (ii) the State of Hawaii Office of Hawaiian Affairs; and (iii) the U.S. Environmental Protection Agency (the “EPA”) (Region IX).</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On January 29, 2015, the Company resolved the federal criminal investigation with the U.S. Attorney for the District of Hawaii by pleading guilty to two misdemeanor violations of the Rivers and Harbors Act of 1899 arising from the molasses release and paying $1.0 million, comprised of a $0.4 million fine and restitution payments of $0.6 million to community organizations involved in the protection of Hawaii’s shoreline and ocean resources. In addition, on February 24, 2015, the EPA informed the Company that it will not seek to debar MTI and its affiliates from obtaining future U.S. government contracts.</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not yet resolved any potential civil claims by other governmental agencies arising out of the molasses release. However, except with respect to the matters discussed above, government agencies have not initiated any legal actions in connection with the release of molasses. Therefore, the Company is not able to estimate the future costs, penalties, damages or expenses that it may incur related to the incident. As a result, at this time no assurance can be given that the impact of the incident on the Company’s financial position, results of operations, or cash flows will not be material. The Company continues to respond to governmental requests for information, and is engaging in dialogue with governmental agencies in order to reasonably resolve these matters.</w:t>
      </w:r>
    </w:p>
    <w:p>
      <w:pPr>
        <w:spacing w:after="0" w:line="19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 addition to the molasses release discussed above, the Company’s shipping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were no material changes to the Company’s risk factors that are disclosed in its Form 10-K for the year ended December 31, 2014 filed with the SEC on February 27,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Issuer Purchases of Equity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Total Number of</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Total Number of Shares</w:t>
            </w: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Maximum Number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2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2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w:t>
            </w:r>
          </w:p>
        </w:tc>
        <w:tc>
          <w:tcPr>
            <w:tcW w:w="1600" w:type="dxa"/>
            <w:vAlign w:val="bottom"/>
            <w:gridSpan w:val="2"/>
            <w:vMerge w:val="continue"/>
          </w:tcPr>
          <w:p>
            <w:pPr>
              <w:spacing w:after="0"/>
              <w:rPr>
                <w:sz w:val="12"/>
                <w:szCs w:val="12"/>
                <w:color w:val="auto"/>
              </w:rPr>
            </w:pPr>
          </w:p>
        </w:tc>
        <w:tc>
          <w:tcPr>
            <w:tcW w:w="2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Publicly Announced</w:t>
            </w:r>
          </w:p>
        </w:tc>
        <w:tc>
          <w:tcPr>
            <w:tcW w:w="2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Purchased</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 per Share</w:t>
            </w: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Plans or Programs</w:t>
            </w: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Plans or Programs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88"/>
              </w:rPr>
              <w:t>January 1 – 31, 2015</w:t>
            </w: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080" w:type="dxa"/>
            <w:vAlign w:val="bottom"/>
            <w:gridSpan w:val="3"/>
          </w:tcPr>
          <w:p>
            <w:pPr>
              <w:jc w:val="center"/>
              <w:ind w:right="1140"/>
              <w:spacing w:after="0"/>
              <w:rPr>
                <w:sz w:val="20"/>
                <w:szCs w:val="20"/>
                <w:color w:val="auto"/>
              </w:rPr>
            </w:pPr>
            <w:r>
              <w:rPr>
                <w:rFonts w:ascii="Arial" w:cs="Arial" w:eastAsia="Arial" w:hAnsi="Arial"/>
                <w:sz w:val="18"/>
                <w:szCs w:val="18"/>
                <w:color w:val="auto"/>
                <w:w w:val="89"/>
              </w:rPr>
              <w:t>February 1 – 28, 2015</w:t>
            </w: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ind w:right="1140"/>
              <w:spacing w:after="0"/>
              <w:rPr>
                <w:sz w:val="20"/>
                <w:szCs w:val="20"/>
                <w:color w:val="auto"/>
              </w:rPr>
            </w:pPr>
            <w:r>
              <w:rPr>
                <w:rFonts w:ascii="Arial" w:cs="Arial" w:eastAsia="Arial" w:hAnsi="Arial"/>
                <w:sz w:val="18"/>
                <w:szCs w:val="18"/>
                <w:color w:val="auto"/>
                <w:w w:val="91"/>
              </w:rPr>
              <w:t>March 1 – 31, 2015</w:t>
            </w:r>
          </w:p>
        </w:tc>
        <w:tc>
          <w:tcPr>
            <w:tcW w:w="16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8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10580" w:type="dxa"/>
            <w:vAlign w:val="bottom"/>
            <w:gridSpan w:val="11"/>
          </w:tcPr>
          <w:p>
            <w:pPr>
              <w:ind w:left="460"/>
              <w:spacing w:after="0"/>
              <w:rPr>
                <w:sz w:val="20"/>
                <w:szCs w:val="20"/>
                <w:color w:val="auto"/>
              </w:rPr>
            </w:pPr>
            <w:r>
              <w:rPr>
                <w:rFonts w:ascii="Arial" w:cs="Arial" w:eastAsia="Arial" w:hAnsi="Arial"/>
                <w:sz w:val="18"/>
                <w:szCs w:val="18"/>
                <w:color w:val="auto"/>
                <w:w w:val="94"/>
              </w:rPr>
              <w:t>Amendment No. 1 to Agreement and Plan of Merger, dated as of February 13, 2015, by and among Matson Navigation Company,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80" w:type="dxa"/>
            <w:vAlign w:val="bottom"/>
            <w:gridSpan w:val="11"/>
          </w:tcPr>
          <w:p>
            <w:pPr>
              <w:ind w:left="460"/>
              <w:spacing w:after="0"/>
              <w:rPr>
                <w:sz w:val="20"/>
                <w:szCs w:val="20"/>
                <w:color w:val="auto"/>
              </w:rPr>
            </w:pPr>
            <w:r>
              <w:rPr>
                <w:rFonts w:ascii="Arial" w:cs="Arial" w:eastAsia="Arial" w:hAnsi="Arial"/>
                <w:sz w:val="18"/>
                <w:szCs w:val="18"/>
                <w:color w:val="auto"/>
                <w:w w:val="93"/>
              </w:rPr>
              <w:t>Hogan Acquisition Inc. and Horizon Lines, Inc. (incorporated by reference to Exhibit 2.1 of Matson’s Form 8-K dated February 13, 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gridSpan w:val="11"/>
          </w:tcPr>
          <w:p>
            <w:pPr>
              <w:ind w:left="460"/>
              <w:spacing w:after="0"/>
              <w:rPr>
                <w:sz w:val="20"/>
                <w:szCs w:val="20"/>
                <w:color w:val="auto"/>
              </w:rPr>
            </w:pPr>
            <w:r>
              <w:rPr>
                <w:rFonts w:ascii="Arial" w:cs="Arial" w:eastAsia="Arial" w:hAnsi="Arial"/>
                <w:sz w:val="18"/>
                <w:szCs w:val="18"/>
                <w:color w:val="auto"/>
                <w:w w:val="92"/>
              </w:rPr>
              <w:t>Matson, Inc. 2007 Incentive Compensation Plan, amended and restated, effective January 29, 2015 (incorporated by reference to Exhibit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280" w:type="dxa"/>
            <w:vAlign w:val="bottom"/>
            <w:gridSpan w:val="7"/>
          </w:tcPr>
          <w:p>
            <w:pPr>
              <w:ind w:left="460"/>
              <w:spacing w:after="0"/>
              <w:rPr>
                <w:sz w:val="20"/>
                <w:szCs w:val="20"/>
                <w:color w:val="auto"/>
              </w:rPr>
            </w:pPr>
            <w:r>
              <w:rPr>
                <w:rFonts w:ascii="Arial" w:cs="Arial" w:eastAsia="Arial" w:hAnsi="Arial"/>
                <w:sz w:val="18"/>
                <w:szCs w:val="18"/>
                <w:color w:val="auto"/>
              </w:rPr>
              <w:t>10.13 of Matson’s Form 10-K for the year ended December 31, 2014).</w:t>
            </w: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80" w:type="dxa"/>
            <w:vAlign w:val="bottom"/>
            <w:gridSpan w:val="11"/>
          </w:tcPr>
          <w:p>
            <w:pPr>
              <w:ind w:left="460"/>
              <w:spacing w:after="0"/>
              <w:rPr>
                <w:sz w:val="20"/>
                <w:szCs w:val="20"/>
                <w:color w:val="auto"/>
              </w:rPr>
            </w:pPr>
            <w:r>
              <w:rPr>
                <w:rFonts w:ascii="Arial" w:cs="Arial" w:eastAsia="Arial" w:hAnsi="Arial"/>
                <w:sz w:val="18"/>
                <w:szCs w:val="18"/>
                <w:color w:val="auto"/>
              </w:rPr>
              <w:t>Certification of Chief Executive Officer pursuant to Rule 13a-14(a) or 15d-14(a) of the Securities Exchange Act of 1934.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80" w:type="dxa"/>
            <w:vAlign w:val="bottom"/>
            <w:gridSpan w:val="11"/>
          </w:tcPr>
          <w:p>
            <w:pPr>
              <w:ind w:left="460"/>
              <w:spacing w:after="0"/>
              <w:rPr>
                <w:sz w:val="20"/>
                <w:szCs w:val="20"/>
                <w:color w:val="auto"/>
              </w:rPr>
            </w:pPr>
            <w:r>
              <w:rPr>
                <w:rFonts w:ascii="Arial" w:cs="Arial" w:eastAsia="Arial" w:hAnsi="Arial"/>
                <w:sz w:val="18"/>
                <w:szCs w:val="18"/>
                <w:color w:val="auto"/>
              </w:rPr>
              <w:t>Certification of Chief Financial Officer pursuant to Rule 13a-14(a) or 15d-14(a) of the Securities Exchange Act of 1934.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8400" w:type="dxa"/>
            <w:vAlign w:val="bottom"/>
            <w:gridSpan w:val="9"/>
          </w:tcPr>
          <w:p>
            <w:pPr>
              <w:ind w:left="460"/>
              <w:spacing w:after="0"/>
              <w:rPr>
                <w:sz w:val="20"/>
                <w:szCs w:val="20"/>
                <w:color w:val="auto"/>
              </w:rPr>
            </w:pPr>
            <w:r>
              <w:rPr>
                <w:rFonts w:ascii="Arial" w:cs="Arial" w:eastAsia="Arial" w:hAnsi="Arial"/>
                <w:sz w:val="18"/>
                <w:szCs w:val="18"/>
                <w:color w:val="auto"/>
                <w:w w:val="97"/>
              </w:rPr>
              <w:t>Certification of Chief Executive Officer and Chief Financial Officer pursuant to 18 U.S.C. Section 1350.</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3080" w:type="dxa"/>
            <w:vAlign w:val="bottom"/>
            <w:gridSpan w:val="3"/>
          </w:tcPr>
          <w:p>
            <w:pPr>
              <w:ind w:left="460"/>
              <w:spacing w:after="0"/>
              <w:rPr>
                <w:sz w:val="20"/>
                <w:szCs w:val="20"/>
                <w:color w:val="auto"/>
              </w:rPr>
            </w:pPr>
            <w:r>
              <w:rPr>
                <w:rFonts w:ascii="Arial" w:cs="Arial" w:eastAsia="Arial" w:hAnsi="Arial"/>
                <w:sz w:val="18"/>
                <w:szCs w:val="18"/>
                <w:color w:val="auto"/>
              </w:rPr>
              <w:t>XBRL Instance Document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4680" w:type="dxa"/>
            <w:vAlign w:val="bottom"/>
            <w:gridSpan w:val="5"/>
          </w:tcPr>
          <w:p>
            <w:pPr>
              <w:ind w:left="460"/>
              <w:spacing w:after="0"/>
              <w:rPr>
                <w:sz w:val="20"/>
                <w:szCs w:val="20"/>
                <w:color w:val="auto"/>
              </w:rPr>
            </w:pPr>
            <w:r>
              <w:rPr>
                <w:rFonts w:ascii="Arial" w:cs="Arial" w:eastAsia="Arial" w:hAnsi="Arial"/>
                <w:sz w:val="18"/>
                <w:szCs w:val="18"/>
                <w:color w:val="auto"/>
              </w:rPr>
              <w:t>XBRL Taxonomy Extension Schema Document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6280" w:type="dxa"/>
            <w:vAlign w:val="bottom"/>
            <w:gridSpan w:val="7"/>
          </w:tcPr>
          <w:p>
            <w:pPr>
              <w:ind w:left="460"/>
              <w:spacing w:after="0"/>
              <w:rPr>
                <w:sz w:val="20"/>
                <w:szCs w:val="20"/>
                <w:color w:val="auto"/>
              </w:rPr>
            </w:pPr>
            <w:r>
              <w:rPr>
                <w:rFonts w:ascii="Arial" w:cs="Arial" w:eastAsia="Arial" w:hAnsi="Arial"/>
                <w:sz w:val="18"/>
                <w:szCs w:val="18"/>
                <w:color w:val="auto"/>
              </w:rPr>
              <w:t>XBRL Taxonomy Extension Calculation Linkbase Document</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6280" w:type="dxa"/>
            <w:vAlign w:val="bottom"/>
            <w:gridSpan w:val="7"/>
          </w:tcPr>
          <w:p>
            <w:pPr>
              <w:ind w:left="460"/>
              <w:spacing w:after="0"/>
              <w:rPr>
                <w:sz w:val="20"/>
                <w:szCs w:val="20"/>
                <w:color w:val="auto"/>
              </w:rPr>
            </w:pPr>
            <w:r>
              <w:rPr>
                <w:rFonts w:ascii="Arial" w:cs="Arial" w:eastAsia="Arial" w:hAnsi="Arial"/>
                <w:sz w:val="18"/>
                <w:szCs w:val="18"/>
                <w:color w:val="auto"/>
              </w:rPr>
              <w:t>XBRL Taxonomy Extension Definition Linkbase Document</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4680" w:type="dxa"/>
            <w:vAlign w:val="bottom"/>
            <w:gridSpan w:val="5"/>
          </w:tcPr>
          <w:p>
            <w:pPr>
              <w:ind w:left="460"/>
              <w:spacing w:after="0"/>
              <w:rPr>
                <w:sz w:val="20"/>
                <w:szCs w:val="20"/>
                <w:color w:val="auto"/>
              </w:rPr>
            </w:pPr>
            <w:r>
              <w:rPr>
                <w:rFonts w:ascii="Arial" w:cs="Arial" w:eastAsia="Arial" w:hAnsi="Arial"/>
                <w:sz w:val="18"/>
                <w:szCs w:val="18"/>
                <w:color w:val="auto"/>
                <w:w w:val="96"/>
              </w:rPr>
              <w:t>XBRL Taxonomy Extension Label Linkbase Document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6280" w:type="dxa"/>
            <w:vAlign w:val="bottom"/>
            <w:gridSpan w:val="7"/>
          </w:tcPr>
          <w:p>
            <w:pPr>
              <w:ind w:left="460"/>
              <w:spacing w:after="0"/>
              <w:rPr>
                <w:sz w:val="20"/>
                <w:szCs w:val="20"/>
                <w:color w:val="auto"/>
              </w:rPr>
            </w:pPr>
            <w:r>
              <w:rPr>
                <w:rFonts w:ascii="Arial" w:cs="Arial" w:eastAsia="Arial" w:hAnsi="Arial"/>
                <w:sz w:val="18"/>
                <w:szCs w:val="18"/>
                <w:color w:val="auto"/>
              </w:rPr>
              <w:t>XBRL Taxonomy Extension Presentation Linkbase Document</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936"/>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60"/>
          </w:cols>
          <w:pgMar w:left="240" w:top="125" w:right="199" w:bottom="77" w:gutter="0" w:footer="0" w:header="0"/>
        </w:sectPr>
      </w:pPr>
    </w:p>
    <w:bookmarkStart w:id="11" w:name="page12"/>
    <w:bookmarkEnd w:id="11"/>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c>
          <w:tcPr>
            <w:tcW w:w="40" w:type="dxa"/>
            <w:vAlign w:val="bottom"/>
          </w:tcPr>
          <w:p>
            <w:pPr>
              <w:spacing w:after="0"/>
              <w:rPr>
                <w:sz w:val="20"/>
                <w:szCs w:val="20"/>
                <w:color w:val="auto"/>
              </w:rPr>
            </w:pPr>
          </w:p>
        </w:tc>
      </w:tr>
      <w:tr>
        <w:trPr>
          <w:trHeight w:val="224"/>
        </w:trPr>
        <w:tc>
          <w:tcPr>
            <w:tcW w:w="3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19"/>
                <w:szCs w:val="19"/>
                <w:color w:val="auto"/>
              </w:rPr>
            </w:pPr>
          </w:p>
        </w:tc>
      </w:tr>
      <w:tr>
        <w:trPr>
          <w:trHeight w:val="634"/>
        </w:trPr>
        <w:tc>
          <w:tcPr>
            <w:tcW w:w="3500" w:type="dxa"/>
            <w:vAlign w:val="bottom"/>
          </w:tcPr>
          <w:p>
            <w:pPr>
              <w:spacing w:after="0"/>
              <w:rPr>
                <w:sz w:val="20"/>
                <w:szCs w:val="20"/>
                <w:color w:val="auto"/>
              </w:rPr>
            </w:pPr>
            <w:r>
              <w:rPr>
                <w:rFonts w:ascii="Arial" w:cs="Arial" w:eastAsia="Arial" w:hAnsi="Arial"/>
                <w:sz w:val="18"/>
                <w:szCs w:val="18"/>
                <w:color w:val="auto"/>
              </w:rPr>
              <w:t>Date: May 5, 2015</w:t>
            </w:r>
          </w:p>
        </w:tc>
        <w:tc>
          <w:tcPr>
            <w:tcW w:w="22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Joel M. Wine</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4"/>
              </w:rPr>
              <w:t>Joel M. Wine</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Senior Vice President and</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4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May 5, 2015</w:t>
            </w:r>
          </w:p>
        </w:tc>
        <w:tc>
          <w:tcPr>
            <w:tcW w:w="22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Dale B. Hendler</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Dale B. Hendler</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Vice President and Controller,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3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225"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220" w:firstLine="8"/>
        <w:spacing w:after="0" w:line="342"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8"/>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20" w:firstLine="8"/>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8"/>
        <w:spacing w:after="0" w:line="264"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8"/>
        <w:spacing w:after="0" w:line="264"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80" w:firstLine="8"/>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8"/>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60" w:firstLine="8"/>
        <w:spacing w:after="0" w:line="277"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Matthew J. Cox</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Matthew J. Cox,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8"/>
        <w:spacing w:after="0" w:line="264" w:lineRule="auto"/>
        <w:tabs>
          <w:tab w:leader="none" w:pos="6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8"/>
        <w:spacing w:after="0" w:line="277" w:lineRule="auto"/>
        <w:tabs>
          <w:tab w:leader="none" w:pos="6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8"/>
        <w:spacing w:after="0" w:line="26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60" w:firstLine="8"/>
        <w:spacing w:after="0" w:line="308" w:lineRule="auto"/>
        <w:tabs>
          <w:tab w:leader="none" w:pos="64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6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Joel M. Wine, 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1042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on Form 10-Q of Matson, Inc. (the “Company”) for the quarterly period ended March 31, 2015, as filed with the Securities and Exchange Commission on the date hereof (the “Report”), Matthew J. Cox, as President and Chief Executive Officer of the Company, and Joel M. Wine, as Senior Vice President and Chief Financial Officer of the Company, each hereby certifies, pursuant to 18 U.S.C. Section 1350, that to their knowledge:</w:t>
      </w:r>
    </w:p>
    <w:p>
      <w:pPr>
        <w:spacing w:after="0" w:line="187"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Matthew J. Cox</w:t>
            </w:r>
          </w:p>
        </w:tc>
        <w:tc>
          <w:tcPr>
            <w:tcW w:w="5740" w:type="dxa"/>
            <w:vAlign w:val="bottom"/>
          </w:tcPr>
          <w:p>
            <w:pPr>
              <w:spacing w:after="0"/>
              <w:rPr>
                <w:sz w:val="16"/>
                <w:szCs w:val="16"/>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c>
          <w:tcPr>
            <w:tcW w:w="57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40"/>
              <w:spacing w:after="0"/>
              <w:rPr>
                <w:sz w:val="20"/>
                <w:szCs w:val="20"/>
                <w:color w:val="auto"/>
              </w:rPr>
            </w:pPr>
            <w:r>
              <w:rPr>
                <w:rFonts w:ascii="Arial" w:cs="Arial" w:eastAsia="Arial" w:hAnsi="Arial"/>
                <w:sz w:val="18"/>
                <w:szCs w:val="18"/>
                <w:color w:val="auto"/>
              </w:rPr>
              <w:t>May 5, 2015</w:t>
            </w:r>
          </w:p>
        </w:tc>
        <w:tc>
          <w:tcPr>
            <w:tcW w:w="5740" w:type="dxa"/>
            <w:vAlign w:val="bottom"/>
          </w:tcPr>
          <w:p>
            <w:pPr>
              <w:spacing w:after="0"/>
              <w:rPr>
                <w:sz w:val="20"/>
                <w:szCs w:val="20"/>
                <w:color w:val="auto"/>
              </w:rPr>
            </w:pPr>
          </w:p>
        </w:tc>
      </w:tr>
      <w:tr>
        <w:trPr>
          <w:trHeight w:val="648"/>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Joel M. Wine</w:t>
            </w:r>
          </w:p>
        </w:tc>
        <w:tc>
          <w:tcPr>
            <w:tcW w:w="5740" w:type="dxa"/>
            <w:vAlign w:val="bottom"/>
          </w:tcPr>
          <w:p>
            <w:pPr>
              <w:spacing w:after="0"/>
              <w:rPr>
                <w:sz w:val="24"/>
                <w:szCs w:val="24"/>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40"/>
              <w:spacing w:after="0" w:line="195" w:lineRule="exact"/>
              <w:rPr>
                <w:sz w:val="20"/>
                <w:szCs w:val="20"/>
                <w:color w:val="auto"/>
              </w:rPr>
            </w:pPr>
            <w:r>
              <w:rPr>
                <w:rFonts w:ascii="Arial" w:cs="Arial" w:eastAsia="Arial" w:hAnsi="Arial"/>
                <w:sz w:val="18"/>
                <w:szCs w:val="18"/>
                <w:color w:val="auto"/>
              </w:rPr>
              <w:t>Joel M. Wine</w:t>
            </w:r>
          </w:p>
        </w:tc>
        <w:tc>
          <w:tcPr>
            <w:tcW w:w="5740" w:type="dxa"/>
            <w:vAlign w:val="bottom"/>
          </w:tcPr>
          <w:p>
            <w:pPr>
              <w:spacing w:after="0"/>
              <w:rPr>
                <w:sz w:val="16"/>
                <w:szCs w:val="16"/>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57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40"/>
              <w:spacing w:after="0"/>
              <w:rPr>
                <w:sz w:val="20"/>
                <w:szCs w:val="20"/>
                <w:color w:val="auto"/>
              </w:rPr>
            </w:pPr>
            <w:r>
              <w:rPr>
                <w:rFonts w:ascii="Arial" w:cs="Arial" w:eastAsia="Arial" w:hAnsi="Arial"/>
                <w:sz w:val="18"/>
                <w:szCs w:val="18"/>
                <w:color w:val="auto"/>
              </w:rPr>
              <w:t>May 5, 2015</w:t>
            </w:r>
          </w:p>
        </w:tc>
        <w:tc>
          <w:tcPr>
            <w:tcW w:w="5740" w:type="dxa"/>
            <w:vAlign w:val="bottom"/>
          </w:tcPr>
          <w:p>
            <w:pPr>
              <w:spacing w:after="0"/>
              <w:rPr>
                <w:sz w:val="20"/>
                <w:szCs w:val="20"/>
                <w:color w:val="auto"/>
              </w:rPr>
            </w:pPr>
          </w:p>
        </w:tc>
      </w:tr>
      <w:tr>
        <w:trPr>
          <w:trHeight w:val="348"/>
        </w:trPr>
        <w:tc>
          <w:tcPr>
            <w:tcW w:w="640" w:type="dxa"/>
            <w:vAlign w:val="bottom"/>
            <w:tcBorders>
              <w:bottom w:val="single" w:sz="8" w:color="010101"/>
            </w:tcBorders>
          </w:tcPr>
          <w:p>
            <w:pPr>
              <w:spacing w:after="0"/>
              <w:rPr>
                <w:sz w:val="24"/>
                <w:szCs w:val="24"/>
                <w:color w:val="auto"/>
              </w:rPr>
            </w:pPr>
          </w:p>
        </w:tc>
        <w:tc>
          <w:tcPr>
            <w:tcW w:w="508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5"/>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2019-12-05T02:10:44Z</dcterms:created>
  <dcterms:modified xsi:type="dcterms:W3CDTF">2019-12-05T02:10:44Z</dcterms:modified>
</cp:coreProperties>
</file>